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F44B98">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F44B98">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(eng. new–to–market) i 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ac)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F44B98">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F44B98">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F44B98">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F44B98">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F44B98">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F44B98">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F44B98">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F44B98">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F44B98">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F44B98">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F44B98">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F44B98">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F44B98">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F44B98">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F44B98">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2D4684"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F44B98">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(indeksiranost,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F44B98">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F44B98">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F44B98">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F44B98">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F44B98">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F44B98">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F44B98">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sredstava.. </w:t>
            </w:r>
          </w:p>
        </w:tc>
      </w:tr>
      <w:tr w:rsidR="00DB399D" w:rsidRPr="00DE6F6C" w:rsidTr="00F44B98">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F44B98">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F44B98">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F44B98">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F44B98">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F44B98">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F44B98">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F44B98">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F44B98">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F44B98">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F44B98">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F44B98">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F44B98">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F44B98">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F44B98">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F44B98">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F44B98">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F44B98">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F44B98">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F44B98">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F44B98">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F44B98">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F44B98">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F44B98">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F44B98">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F44B98">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F44B98">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F44B98">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F44B98">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F44B98">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F44B98">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F44B98">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F44B98">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F44B98">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F44B98">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F44B98">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F44B98">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F44B98">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F44B98">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F44B98">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F44B98">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F44B98">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F44B98">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F44B98">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F44B98">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F44B98">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F44B98">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F44B98">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F44B98">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F44B98">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F44B98">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usluga koji proizilaze iz aktivnosti istraživanja i razvoja“ ref.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F44B98">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F44B98">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F44B98">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F44B98">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44B98">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F44B98">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F44B98">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F44B98">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F44B98">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F44B98">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F44B98">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F44B98">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F44B98">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F44B98">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F44B98">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F44B98">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F44B98">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F44B98">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F44B98">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F44B98">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F44B98">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F44B98">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Treca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F44B98">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F44B98">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F44B98">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UzP).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F44B98">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6C85EDA5" wp14:editId="68FAD730">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F44B98">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F44B98">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F44B98">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F44B98">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F44B98">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F44B98">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F44B98">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F44B98">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 , UzP,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F44B98">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F44B98">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F44B98">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F44B98">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F44B98">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lastRenderedPageBreak/>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 xml:space="preserve">valuirana u 3. fazi evaluacije  (ocjena kvalitete) kroz kriterije koji se tiču zatvaranja financijske konstrukcije i </w:t>
            </w:r>
            <w:r w:rsidRPr="001636D1">
              <w:rPr>
                <w:rFonts w:ascii="Times New Roman" w:hAnsi="Times New Roman" w:cs="Times New Roman"/>
                <w:sz w:val="20"/>
                <w:szCs w:val="20"/>
              </w:rPr>
              <w:lastRenderedPageBreak/>
              <w:t>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w:t>
            </w:r>
            <w:r w:rsidRPr="003600CD">
              <w:rPr>
                <w:rFonts w:ascii="Times New Roman" w:hAnsi="Times New Roman" w:cs="Times New Roman"/>
                <w:sz w:val="20"/>
                <w:szCs w:val="20"/>
              </w:rPr>
              <w:lastRenderedPageBreak/>
              <w:t xml:space="preserve">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 xml:space="preserve">5. Prilikom ponovljene prijave da li se obrazac u MIS mora ponovno učitati </w:t>
            </w:r>
            <w:r w:rsidRPr="00CA16F5">
              <w:rPr>
                <w:rFonts w:ascii="Times New Roman" w:hAnsi="Times New Roman" w:cs="Times New Roman"/>
                <w:sz w:val="20"/>
                <w:szCs w:val="20"/>
              </w:rPr>
              <w:lastRenderedPageBreak/>
              <w:t>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Poglavlje 7.2. Podnošenje projektnih prijedloga  Uputa za prijavitelje navodi 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F44B98">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intenzitetom kao i znanstveno </w:t>
            </w:r>
            <w:r w:rsidR="007D1242">
              <w:rPr>
                <w:rFonts w:ascii="Times New Roman" w:hAnsi="Times New Roman" w:cs="Times New Roman"/>
                <w:sz w:val="20"/>
                <w:szCs w:val="20"/>
              </w:rPr>
              <w:t>istraživačke organizacije  u RH</w:t>
            </w:r>
            <w:bookmarkStart w:id="1" w:name="_GoBack"/>
            <w:bookmarkEnd w:id="1"/>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F44B98">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F44B98">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F44B98">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F44B98">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6E2232" w:rsidTr="006E2232">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w:t>
            </w:r>
            <w:r w:rsidRPr="00973EED">
              <w:rPr>
                <w:rFonts w:ascii="Times New Roman" w:hAnsi="Times New Roman" w:cs="Times New Roman"/>
                <w:sz w:val="20"/>
                <w:szCs w:val="20"/>
              </w:rPr>
              <w:lastRenderedPageBreak/>
              <w:t xml:space="preserve">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lastRenderedPageBreak/>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lastRenderedPageBreak/>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6E2232">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84" w:rsidRDefault="002D4684" w:rsidP="00A93112">
      <w:pPr>
        <w:spacing w:after="0" w:line="240" w:lineRule="auto"/>
      </w:pPr>
      <w:r>
        <w:separator/>
      </w:r>
    </w:p>
  </w:endnote>
  <w:endnote w:type="continuationSeparator" w:id="0">
    <w:p w:rsidR="002D4684" w:rsidRDefault="002D468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32" w:rsidRDefault="006E2232">
    <w:pPr>
      <w:pStyle w:val="Podnoje"/>
      <w:jc w:val="right"/>
    </w:pPr>
  </w:p>
  <w:p w:rsidR="006E2232" w:rsidRDefault="006E223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32" w:rsidRDefault="006E2232">
    <w:pPr>
      <w:pStyle w:val="Podnoje"/>
    </w:pPr>
  </w:p>
  <w:p w:rsidR="006E2232" w:rsidRDefault="006E223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32" w:rsidRDefault="006E2232">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E2232" w:rsidRDefault="006E2232">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84" w:rsidRDefault="002D4684" w:rsidP="00A93112">
      <w:pPr>
        <w:spacing w:after="0" w:line="240" w:lineRule="auto"/>
      </w:pPr>
      <w:r>
        <w:separator/>
      </w:r>
    </w:p>
  </w:footnote>
  <w:footnote w:type="continuationSeparator" w:id="0">
    <w:p w:rsidR="002D4684" w:rsidRDefault="002D468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32" w:rsidRDefault="006E2232">
    <w:pPr>
      <w:pStyle w:val="Zaglavlje"/>
      <w:jc w:val="right"/>
    </w:pPr>
  </w:p>
  <w:p w:rsidR="006E2232" w:rsidRDefault="006E223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6E2232" w:rsidRPr="00855C20" w:rsidTr="00A35068">
      <w:trPr>
        <w:trHeight w:val="903"/>
      </w:trPr>
      <w:tc>
        <w:tcPr>
          <w:tcW w:w="0" w:type="auto"/>
          <w:tcMar>
            <w:top w:w="0" w:type="dxa"/>
            <w:left w:w="108" w:type="dxa"/>
            <w:bottom w:w="0" w:type="dxa"/>
            <w:right w:w="108" w:type="dxa"/>
          </w:tcMar>
          <w:hideMark/>
        </w:tcPr>
        <w:p w:rsidR="006E2232" w:rsidRDefault="006E2232"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6E2232" w:rsidRPr="00855C20" w:rsidRDefault="006E2232"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6E2232" w:rsidRDefault="006E2232"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3"/>
  </w:num>
  <w:num w:numId="3">
    <w:abstractNumId w:val="15"/>
  </w:num>
  <w:num w:numId="4">
    <w:abstractNumId w:val="10"/>
  </w:num>
  <w:num w:numId="5">
    <w:abstractNumId w:val="29"/>
  </w:num>
  <w:num w:numId="6">
    <w:abstractNumId w:val="11"/>
  </w:num>
  <w:num w:numId="7">
    <w:abstractNumId w:val="19"/>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1"/>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3BC1"/>
    <w:rsid w:val="005355F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C018B"/>
    <w:rsid w:val="005C0579"/>
    <w:rsid w:val="005C088B"/>
    <w:rsid w:val="005C3733"/>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345"/>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437E-4EC1-4934-820F-98FEE4CF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96662</Words>
  <Characters>550974</Characters>
  <Application>Microsoft Office Word</Application>
  <DocSecurity>0</DocSecurity>
  <Lines>4591</Lines>
  <Paragraphs>1292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646344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5</cp:revision>
  <cp:lastPrinted>2016-12-12T09:43:00Z</cp:lastPrinted>
  <dcterms:created xsi:type="dcterms:W3CDTF">2017-02-08T15:06:00Z</dcterms:created>
  <dcterms:modified xsi:type="dcterms:W3CDTF">2017-02-08T15:07:00Z</dcterms:modified>
</cp:coreProperties>
</file>