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005C8A">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005C8A">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005C8A">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Obavijest o razvrstavanju poslovnog subjekta po NKD-u 2007.godini od </w:t>
            </w:r>
            <w:r w:rsidRPr="00005C8A">
              <w:rPr>
                <w:rFonts w:ascii="Times New Roman" w:hAnsi="Times New Roman" w:cs="Times New Roman"/>
                <w:sz w:val="20"/>
                <w:szCs w:val="20"/>
              </w:rPr>
              <w:lastRenderedPageBreak/>
              <w:t>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w:t>
            </w:r>
            <w:r w:rsidRPr="00005C8A">
              <w:rPr>
                <w:rFonts w:ascii="Times New Roman" w:hAnsi="Times New Roman" w:cs="Times New Roman"/>
                <w:sz w:val="20"/>
                <w:szCs w:val="20"/>
              </w:rPr>
              <w:lastRenderedPageBreak/>
              <w:t xml:space="preserve">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005C8A">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 Da li poduzetnik –prijavitelj mora imati zaposlene . Firma je </w:t>
            </w:r>
            <w:r w:rsidRPr="00005C8A">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005C8A">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005C8A">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005C8A">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005C8A">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60645B">
              <w:rPr>
                <w:rFonts w:ascii="Times New Roman" w:hAnsi="Times New Roman" w:cs="Times New Roman"/>
                <w:sz w:val="20"/>
                <w:szCs w:val="20"/>
              </w:rPr>
              <w:lastRenderedPageBreak/>
              <w:t>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FD362D">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 xml:space="preserve">,00kn? I porijeklo roba i usluga, da li je usmjereno samo na </w:t>
            </w:r>
            <w:r w:rsidRPr="000673B5">
              <w:rPr>
                <w:rFonts w:ascii="Times New Roman" w:eastAsia="Calibri" w:hAnsi="Times New Roman" w:cs="Times New Roman"/>
                <w:sz w:val="20"/>
                <w:szCs w:val="20"/>
              </w:rPr>
              <w:lastRenderedPageBreak/>
              <w:t>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 xml:space="preserve">Na osnovu navedenog molim Vas konkretan odgovor na pitanje: Je li za </w:t>
            </w:r>
            <w:r w:rsidRPr="000673B5">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7455D8">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BE4D3B"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7455D8">
              <w:rPr>
                <w:rFonts w:ascii="Times New Roman" w:hAnsi="Times New Roman" w:cs="Times New Roman"/>
                <w:sz w:val="20"/>
                <w:szCs w:val="20"/>
              </w:rPr>
              <w:lastRenderedPageBreak/>
              <w:t xml:space="preserve">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7455D8">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A90A9E" w:rsidRDefault="00580146" w:rsidP="00580146">
            <w:pPr>
              <w:autoSpaceDE w:val="0"/>
              <w:autoSpaceDN w:val="0"/>
              <w:rPr>
                <w:rFonts w:ascii="Times New Roman" w:hAnsi="Times New Roman" w:cs="Times New Roman"/>
                <w:sz w:val="20"/>
                <w:szCs w:val="20"/>
              </w:rPr>
            </w:pPr>
          </w:p>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A90A9E">
              <w:rPr>
                <w:rFonts w:ascii="Times New Roman" w:hAnsi="Times New Roman" w:cs="Times New Roman"/>
                <w:sz w:val="20"/>
                <w:szCs w:val="20"/>
              </w:rPr>
              <w:t>.</w:t>
            </w:r>
          </w:p>
          <w:p w:rsidR="00C37CA4" w:rsidRPr="00A90A9E"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lastRenderedPageBreak/>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"IZVORNIK", a na prvoj stranici preslike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C12D9C">
              <w:rPr>
                <w:rFonts w:ascii="Times New Roman" w:hAnsi="Times New Roman" w:cs="Times New Roman"/>
                <w:sz w:val="20"/>
                <w:szCs w:val="20"/>
              </w:rPr>
              <w:t>1.4. Kategorija i intenzitet potpore</w:t>
            </w:r>
            <w:bookmarkEnd w:id="0"/>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Prijavitelj ne može podugovoriti povezano </w:t>
            </w:r>
            <w:proofErr w:type="spellStart"/>
            <w:r w:rsidRPr="00C12D9C">
              <w:rPr>
                <w:rFonts w:ascii="Times New Roman" w:hAnsi="Times New Roman" w:cs="Times New Roman"/>
                <w:sz w:val="20"/>
                <w:szCs w:val="20"/>
              </w:rPr>
              <w:t>društvo.</w:t>
            </w:r>
            <w:proofErr w:type="spellEnd"/>
            <w:r w:rsidR="008A1ECE" w:rsidRPr="00C12D9C">
              <w:rPr>
                <w:rFonts w:ascii="Times New Roman" w:hAnsi="Times New Roman" w:cs="Times New Roman"/>
                <w:sz w:val="20"/>
                <w:szCs w:val="20"/>
              </w:rPr>
              <w:t xml:space="preserve">. </w:t>
            </w:r>
            <w:r w:rsidR="00CF78D4" w:rsidRPr="00C12D9C">
              <w:rPr>
                <w:rFonts w:ascii="Times New Roman" w:hAnsi="Times New Roman" w:cs="Times New Roman"/>
                <w:sz w:val="20"/>
                <w:szCs w:val="20"/>
              </w:rPr>
              <w:t>(pitanje je isto kao i 429)</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8A1EC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r w:rsidR="00CF78D4" w:rsidRPr="00C12D9C">
              <w:rPr>
                <w:rFonts w:ascii="Times New Roman" w:hAnsi="Times New Roman" w:cs="Times New Roman"/>
                <w:sz w:val="20"/>
                <w:szCs w:val="20"/>
              </w:rPr>
              <w:t>(pitanje isto kao i 430)</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CF78D4" w:rsidRPr="00C12D9C" w:rsidRDefault="00A36472" w:rsidP="00CF78D4">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Sukladno Uputama, točka 4.2., Trošak obaveznog informiranja i vidljivosti za projekte vrijednosti do 1.500.00,00 HRK  do maksimalno 20.000,00 HRK, a za projekte iznad 1.500.000,00 HRK do maksimalno 50.000,00 HRK. </w:t>
            </w:r>
            <w:r w:rsidR="00CF78D4" w:rsidRPr="00C12D9C">
              <w:rPr>
                <w:rFonts w:ascii="Times New Roman" w:hAnsi="Times New Roman" w:cs="Times New Roman"/>
                <w:sz w:val="20"/>
                <w:szCs w:val="20"/>
              </w:rPr>
              <w:t>(pitanje isto kao i 431)</w:t>
            </w:r>
          </w:p>
          <w:p w:rsidR="00F530FF" w:rsidRPr="00C12D9C" w:rsidRDefault="00F530FF"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lastRenderedPageBreak/>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86089A">
              <w:rPr>
                <w:rFonts w:ascii="Times New Roman" w:hAnsi="Times New Roman" w:cs="Times New Roman"/>
                <w:sz w:val="20"/>
                <w:szCs w:val="20"/>
                <w:lang w:val="en-US"/>
              </w:rPr>
              <w:t>?</w:t>
            </w:r>
          </w:p>
        </w:tc>
        <w:tc>
          <w:tcPr>
            <w:tcW w:w="6662" w:type="dxa"/>
          </w:tcPr>
          <w:p w:rsidR="00A00A2F" w:rsidRPr="009A4A90" w:rsidRDefault="007A404D" w:rsidP="00A00A2F">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 xml:space="preserve">om predlošku proračuna revizija se spominje u Industrijskom istraživanju  i Eksperimentalnom razvoju, </w:t>
            </w:r>
            <w:r w:rsidRPr="0086089A">
              <w:rPr>
                <w:rFonts w:ascii="Times New Roman" w:hAnsi="Times New Roman" w:cs="Times New Roman"/>
                <w:sz w:val="20"/>
                <w:szCs w:val="20"/>
              </w:rPr>
              <w:lastRenderedPageBreak/>
              <w:t>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 xml:space="preserve">Formule se mogu mijenjati. </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lastRenderedPageBreak/>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lastRenderedPageBreak/>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w:t>
            </w:r>
            <w:r w:rsidRPr="00644B76">
              <w:rPr>
                <w:rFonts w:ascii="Times New Roman" w:hAnsi="Times New Roman" w:cs="Times New Roman"/>
                <w:sz w:val="20"/>
                <w:szCs w:val="20"/>
              </w:rPr>
              <w:lastRenderedPageBreak/>
              <w:t>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t>Navedeno će biti uskoro odgovoreno nakon konzultacija sa PT2.</w:t>
            </w:r>
          </w:p>
        </w:tc>
      </w:tr>
      <w:tr w:rsidR="00DC4D66" w:rsidTr="00AA50E1">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lastRenderedPageBreak/>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„sažetak troškova“ je potrebno unijeti korisnički udio i udio bespovratnih sredstava. Upisuju li se troškovi plaća navedenih osoba u: (i) obje </w:t>
            </w:r>
            <w:r w:rsidRPr="00DC4D66">
              <w:rPr>
                <w:rFonts w:ascii="Times New Roman" w:hAnsi="Times New Roman" w:cs="Times New Roman"/>
                <w:i/>
                <w:iCs/>
                <w:sz w:val="20"/>
                <w:szCs w:val="20"/>
              </w:rPr>
              <w:lastRenderedPageBreak/>
              <w:t>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D26CE1" w:rsidP="00D26CE1">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lastRenderedPageBreak/>
              <w:t>Potvrđujemo da se intenzitet potpore za reviziju cijelog projektnog prijedloga računa prema intenzitetu potpore  za  završnu fazu projekta.</w:t>
            </w:r>
          </w:p>
          <w:p w:rsidR="00D26CE1" w:rsidRPr="000F3CD8" w:rsidRDefault="00D26CE1" w:rsidP="00D26CE1">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A50E1">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AA50E1">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lastRenderedPageBreak/>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AA50E1">
        <w:trPr>
          <w:trHeight w:val="402"/>
        </w:trPr>
        <w:tc>
          <w:tcPr>
            <w:tcW w:w="567" w:type="dxa"/>
          </w:tcPr>
          <w:p w:rsidR="00C37656" w:rsidRPr="007455D8"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AA50E1">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D26CE1" w:rsidP="00B07703">
            <w:pPr>
              <w:autoSpaceDE w:val="0"/>
              <w:autoSpaceDN w:val="0"/>
              <w:rPr>
                <w:rFonts w:ascii="Times New Roman" w:hAnsi="Times New Roman" w:cs="Times New Roman"/>
                <w:color w:val="FF0000"/>
                <w:sz w:val="20"/>
                <w:szCs w:val="20"/>
              </w:rPr>
            </w:pPr>
            <w:r w:rsidRPr="00013523">
              <w:rPr>
                <w:rFonts w:ascii="Times New Roman" w:hAnsi="Times New Roman" w:cs="Times New Roman"/>
                <w:sz w:val="20"/>
                <w:szCs w:val="20"/>
              </w:rPr>
              <w:t>Naknadno ćemo odgovoriti na pitanje nakon konzultacija sa UT-om.</w:t>
            </w:r>
          </w:p>
        </w:tc>
      </w:tr>
      <w:tr w:rsidR="002063F1" w:rsidTr="00AA50E1">
        <w:trPr>
          <w:trHeight w:val="402"/>
        </w:trPr>
        <w:tc>
          <w:tcPr>
            <w:tcW w:w="567" w:type="dxa"/>
          </w:tcPr>
          <w:p w:rsidR="002063F1" w:rsidRPr="00D26CE1"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AA50E1">
        <w:trPr>
          <w:trHeight w:val="402"/>
        </w:trPr>
        <w:tc>
          <w:tcPr>
            <w:tcW w:w="567" w:type="dxa"/>
          </w:tcPr>
          <w:p w:rsidR="002063F1" w:rsidRPr="007455D8"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AA50E1">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 xml:space="preserve">rezultata na jednoj konferenciji omogućuje se stjecanje </w:t>
            </w:r>
            <w:r w:rsidRPr="00C12D9C">
              <w:rPr>
                <w:rFonts w:ascii="Times New Roman" w:hAnsi="Times New Roman" w:cs="Times New Roman"/>
                <w:sz w:val="20"/>
                <w:szCs w:val="20"/>
              </w:rPr>
              <w:lastRenderedPageBreak/>
              <w:t>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lastRenderedPageBreak/>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AA50E1">
        <w:trPr>
          <w:trHeight w:val="402"/>
        </w:trPr>
        <w:tc>
          <w:tcPr>
            <w:tcW w:w="567" w:type="dxa"/>
          </w:tcPr>
          <w:p w:rsidR="00E170E0" w:rsidRPr="007455D8"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D26CE1" w:rsidP="007455D8">
            <w:pPr>
              <w:autoSpaceDE w:val="0"/>
              <w:autoSpaceDN w:val="0"/>
              <w:rPr>
                <w:rFonts w:ascii="Times New Roman" w:hAnsi="Times New Roman" w:cs="Times New Roman"/>
                <w:color w:val="FF0000"/>
                <w:sz w:val="20"/>
                <w:szCs w:val="20"/>
              </w:rPr>
            </w:pPr>
            <w:r w:rsidRPr="00005C8A">
              <w:rPr>
                <w:rFonts w:ascii="Times New Roman" w:hAnsi="Times New Roman" w:cs="Times New Roman"/>
                <w:sz w:val="20"/>
                <w:szCs w:val="20"/>
              </w:rPr>
              <w:t xml:space="preserve">Odgovor na ovo pitanje bit će </w:t>
            </w:r>
            <w:r>
              <w:rPr>
                <w:rFonts w:ascii="Times New Roman" w:hAnsi="Times New Roman" w:cs="Times New Roman"/>
                <w:sz w:val="20"/>
                <w:szCs w:val="20"/>
              </w:rPr>
              <w:t>uskoro</w:t>
            </w:r>
            <w:r w:rsidRPr="00005C8A">
              <w:rPr>
                <w:rFonts w:ascii="Times New Roman" w:hAnsi="Times New Roman" w:cs="Times New Roman"/>
                <w:sz w:val="20"/>
                <w:szCs w:val="20"/>
              </w:rPr>
              <w:t xml:space="preserve"> objavljen nakon konzultacija sa Upravljačkim tijelom.</w:t>
            </w:r>
          </w:p>
        </w:tc>
      </w:tr>
      <w:tr w:rsidR="00066A22" w:rsidTr="00AA50E1">
        <w:trPr>
          <w:trHeight w:val="402"/>
        </w:trPr>
        <w:tc>
          <w:tcPr>
            <w:tcW w:w="567" w:type="dxa"/>
          </w:tcPr>
          <w:p w:rsidR="00066A22" w:rsidRPr="007455D8"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 xml:space="preserve">ufinanciranje projekta </w:t>
            </w:r>
            <w:r>
              <w:rPr>
                <w:rFonts w:ascii="Times New Roman" w:hAnsi="Times New Roman" w:cs="Times New Roman"/>
                <w:sz w:val="20"/>
                <w:szCs w:val="20"/>
              </w:rPr>
              <w:lastRenderedPageBreak/>
              <w:t>(korisnič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ListParagraph"/>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AA50E1">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lang w:val="en-US"/>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2" w:history="1">
              <w:r w:rsidRPr="00C0548A">
                <w:rPr>
                  <w:rStyle w:val="Hyperlink"/>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AA50E1">
        <w:trPr>
          <w:trHeight w:val="402"/>
        </w:trPr>
        <w:tc>
          <w:tcPr>
            <w:tcW w:w="567" w:type="dxa"/>
          </w:tcPr>
          <w:p w:rsidR="00A3247B" w:rsidRPr="007455D8"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 xml:space="preserve">Ako je odgovor da, je li prihvatljiv ukupan trošak opreme? </w:t>
            </w:r>
          </w:p>
          <w:p w:rsidR="00A3247B" w:rsidRPr="00C0548A" w:rsidRDefault="00A3247B" w:rsidP="00C0548A">
            <w:pPr>
              <w:rPr>
                <w:rFonts w:ascii="Times New Roman" w:hAnsi="Times New Roman" w:cs="Times New Roman"/>
                <w:sz w:val="20"/>
                <w:szCs w:val="20"/>
                <w:lang w:val="en-US"/>
              </w:rPr>
            </w:pP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AA50E1">
        <w:trPr>
          <w:trHeight w:val="402"/>
        </w:trPr>
        <w:tc>
          <w:tcPr>
            <w:tcW w:w="567" w:type="dxa"/>
          </w:tcPr>
          <w:p w:rsidR="00707FE0" w:rsidRPr="007455D8"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AA50E1">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3" w:history="1">
              <w:r w:rsidRPr="006E2E06">
                <w:rPr>
                  <w:rStyle w:val="Hyperlink"/>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tc>
      </w:tr>
      <w:tr w:rsidR="0029305B" w:rsidTr="00AA50E1">
        <w:trPr>
          <w:trHeight w:val="402"/>
        </w:trPr>
        <w:tc>
          <w:tcPr>
            <w:tcW w:w="567" w:type="dxa"/>
          </w:tcPr>
          <w:p w:rsidR="0029305B" w:rsidRPr="007455D8"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AA50E1">
        <w:trPr>
          <w:trHeight w:val="402"/>
        </w:trPr>
        <w:tc>
          <w:tcPr>
            <w:tcW w:w="567" w:type="dxa"/>
          </w:tcPr>
          <w:p w:rsidR="00C665BF" w:rsidRPr="007455D8"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AA50E1">
        <w:trPr>
          <w:trHeight w:val="402"/>
        </w:trPr>
        <w:tc>
          <w:tcPr>
            <w:tcW w:w="567" w:type="dxa"/>
          </w:tcPr>
          <w:p w:rsidR="000060D9" w:rsidRPr="007455D8"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p w:rsidR="000060D9" w:rsidRPr="00C665BF" w:rsidRDefault="000060D9" w:rsidP="00C665BF">
            <w:pPr>
              <w:rPr>
                <w:rFonts w:ascii="Times New Roman" w:hAnsi="Times New Roman" w:cs="Times New Roman"/>
                <w:sz w:val="20"/>
                <w:szCs w:val="20"/>
              </w:rPr>
            </w:pP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p w:rsidR="00D26CE1" w:rsidRPr="000060D9" w:rsidRDefault="00D26CE1" w:rsidP="000060D9">
            <w:pPr>
              <w:rPr>
                <w:rFonts w:ascii="Times New Roman" w:hAnsi="Times New Roman" w:cs="Times New Roman"/>
                <w:sz w:val="20"/>
                <w:szCs w:val="20"/>
              </w:rPr>
            </w:pP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AA50E1">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p>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w:t>
            </w:r>
            <w:r w:rsidRPr="00340DD1">
              <w:rPr>
                <w:rFonts w:ascii="Times New Roman" w:hAnsi="Times New Roman" w:cs="Times New Roman"/>
                <w:color w:val="000000"/>
                <w:sz w:val="20"/>
                <w:szCs w:val="20"/>
              </w:rPr>
              <w:lastRenderedPageBreak/>
              <w:t xml:space="preserve">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340DD1" w:rsidP="00B01C63">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w:t>
            </w:r>
            <w:r w:rsidR="00B01C63" w:rsidRPr="00B01C63">
              <w:rPr>
                <w:rFonts w:ascii="Times New Roman" w:hAnsi="Times New Roman" w:cs="Times New Roman"/>
                <w:sz w:val="20"/>
                <w:szCs w:val="20"/>
              </w:rPr>
              <w:lastRenderedPageBreak/>
              <w:t>opremu, dokumentaciji koja potvrđuje suradnju s civilnim društvom, životopise i drugo)?</w:t>
            </w:r>
          </w:p>
          <w:p w:rsidR="00B01C63" w:rsidRPr="00B835C3" w:rsidRDefault="00B01C63" w:rsidP="00B835C3">
            <w:pPr>
              <w:rPr>
                <w:rFonts w:ascii="Times New Roman" w:hAnsi="Times New Roman" w:cs="Times New Roman"/>
                <w:sz w:val="20"/>
                <w:szCs w:val="20"/>
              </w:rPr>
            </w:pP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lastRenderedPageBreak/>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AA50E1">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Molim vas navedite može li se diseminacija rezultata pojedine grupe aktivnosti obaviti odmah nakon završetka te grupe aktivnosti, ukoliko se razvoj i istraživanja na projektu sprovode isključivo kroz fazu industrijskog </w:t>
            </w:r>
            <w:r w:rsidRPr="00B01C63">
              <w:rPr>
                <w:rFonts w:ascii="Times New Roman" w:hAnsi="Times New Roman" w:cs="Times New Roman"/>
                <w:sz w:val="20"/>
                <w:szCs w:val="20"/>
              </w:rPr>
              <w:lastRenderedPageBreak/>
              <w:t>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p w:rsidR="00B01C63" w:rsidRPr="00B01C63" w:rsidRDefault="00B01C63" w:rsidP="00B01C63">
            <w:pPr>
              <w:rPr>
                <w:rFonts w:ascii="Times New Roman" w:hAnsi="Times New Roman" w:cs="Times New Roman"/>
                <w:sz w:val="20"/>
                <w:szCs w:val="20"/>
              </w:rPr>
            </w:pP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 PT2 ćemo uskoro objaviti odgovor na pitanje</w:t>
            </w:r>
            <w:r>
              <w:rPr>
                <w:rFonts w:ascii="Times New Roman" w:hAnsi="Times New Roman" w:cs="Times New Roman"/>
                <w:sz w:val="20"/>
                <w:szCs w:val="20"/>
              </w:rPr>
              <w:t>.</w:t>
            </w:r>
          </w:p>
        </w:tc>
      </w:tr>
      <w:tr w:rsidR="00D07D93" w:rsidTr="00AA50E1">
        <w:trPr>
          <w:trHeight w:val="402"/>
        </w:trPr>
        <w:tc>
          <w:tcPr>
            <w:tcW w:w="567" w:type="dxa"/>
          </w:tcPr>
          <w:p w:rsidR="00D07D93" w:rsidRPr="007455D8"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lastRenderedPageBreak/>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p w:rsidR="00D07D93" w:rsidRPr="00B01C63" w:rsidRDefault="00D07D93" w:rsidP="00B01C63">
            <w:pPr>
              <w:rPr>
                <w:rFonts w:ascii="Times New Roman" w:hAnsi="Times New Roman" w:cs="Times New Roman"/>
                <w:sz w:val="20"/>
                <w:szCs w:val="20"/>
              </w:rPr>
            </w:pP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AA50E1">
        <w:trPr>
          <w:trHeight w:val="402"/>
        </w:trPr>
        <w:tc>
          <w:tcPr>
            <w:tcW w:w="567" w:type="dxa"/>
          </w:tcPr>
          <w:p w:rsidR="00622429" w:rsidRPr="007455D8"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AA50E1">
        <w:trPr>
          <w:trHeight w:val="402"/>
        </w:trPr>
        <w:tc>
          <w:tcPr>
            <w:tcW w:w="567" w:type="dxa"/>
          </w:tcPr>
          <w:p w:rsidR="006F26BB" w:rsidRPr="007455D8"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Default="006F26BB" w:rsidP="007455D8">
            <w:pPr>
              <w:rPr>
                <w:rFonts w:ascii="Times New Roman" w:hAnsi="Times New Roman" w:cs="Times New Roman"/>
                <w:color w:val="FF0000"/>
                <w:sz w:val="20"/>
                <w:szCs w:val="20"/>
              </w:rPr>
            </w:pPr>
            <w:r w:rsidRPr="000A0A81">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w:t>
            </w:r>
            <w:r w:rsidRPr="006F26BB">
              <w:rPr>
                <w:rFonts w:ascii="Times New Roman" w:hAnsi="Times New Roman" w:cs="Times New Roman"/>
                <w:sz w:val="20"/>
                <w:szCs w:val="20"/>
              </w:rPr>
              <w:lastRenderedPageBreak/>
              <w:t>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p w:rsidR="006F26BB" w:rsidRPr="00622429" w:rsidRDefault="006F26BB" w:rsidP="00970571">
            <w:pPr>
              <w:rPr>
                <w:rFonts w:ascii="Times New Roman" w:hAnsi="Times New Roman" w:cs="Times New Roman"/>
                <w:sz w:val="20"/>
                <w:szCs w:val="20"/>
              </w:rPr>
            </w:pPr>
          </w:p>
        </w:tc>
        <w:tc>
          <w:tcPr>
            <w:tcW w:w="6662" w:type="dxa"/>
          </w:tcPr>
          <w:p w:rsidR="006F26BB" w:rsidRPr="003964B4" w:rsidRDefault="00A57C55" w:rsidP="00690B06">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Ukoliko u nekim dijelovima dokumentacije postoje zadana ograničenja broja stranica morate se pridržavati istih.</w:t>
            </w:r>
            <w:r w:rsidR="00D10050" w:rsidRPr="00690B06">
              <w:rPr>
                <w:rFonts w:ascii="Times New Roman" w:hAnsi="Times New Roman" w:cs="Times New Roman"/>
                <w:sz w:val="20"/>
                <w:szCs w:val="20"/>
              </w:rPr>
              <w:t xml:space="preserve"> </w:t>
            </w:r>
          </w:p>
        </w:tc>
      </w:tr>
      <w:tr w:rsidR="00970571" w:rsidTr="00AA50E1">
        <w:trPr>
          <w:trHeight w:val="402"/>
        </w:trPr>
        <w:tc>
          <w:tcPr>
            <w:tcW w:w="567" w:type="dxa"/>
          </w:tcPr>
          <w:p w:rsidR="00970571" w:rsidRPr="007455D8"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Default="00970571" w:rsidP="007455D8">
            <w:pPr>
              <w:rPr>
                <w:rFonts w:ascii="Times New Roman" w:hAnsi="Times New Roman" w:cs="Times New Roman"/>
                <w:color w:val="FF0000"/>
                <w:sz w:val="20"/>
                <w:szCs w:val="20"/>
              </w:rPr>
            </w:pPr>
            <w:r w:rsidRPr="000A0A81">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A57C55">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D10050" w:rsidP="00A57C55">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w:t>
            </w:r>
            <w:r w:rsidR="00431324" w:rsidRPr="00690B06">
              <w:rPr>
                <w:rFonts w:ascii="Times New Roman" w:hAnsi="Times New Roman" w:cs="Times New Roman"/>
                <w:sz w:val="20"/>
                <w:szCs w:val="20"/>
              </w:rPr>
              <w:t xml:space="preserve"> ribarstva i akvakulture </w:t>
            </w:r>
            <w:r w:rsidRPr="00690B06">
              <w:rPr>
                <w:rFonts w:ascii="Times New Roman" w:hAnsi="Times New Roman" w:cs="Times New Roman"/>
                <w:sz w:val="20"/>
                <w:szCs w:val="20"/>
              </w:rPr>
              <w:t xml:space="preserve"> su prihvatljivi  budući da su </w:t>
            </w:r>
            <w:r w:rsidR="00431324" w:rsidRPr="00690B06">
              <w:rPr>
                <w:rFonts w:ascii="Times New Roman" w:hAnsi="Times New Roman" w:cs="Times New Roman"/>
                <w:sz w:val="20"/>
                <w:szCs w:val="20"/>
              </w:rPr>
              <w:t>obuhvaćena tematskim prioritetnim područjima Strategij</w:t>
            </w:r>
            <w:r w:rsidR="00A57C55">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sidR="00A57C55">
              <w:rPr>
                <w:rFonts w:ascii="Times New Roman" w:hAnsi="Times New Roman" w:cs="Times New Roman"/>
                <w:sz w:val="20"/>
                <w:szCs w:val="20"/>
              </w:rPr>
              <w:t>,</w:t>
            </w:r>
            <w:r w:rsidR="005F7876" w:rsidRPr="00690B06">
              <w:rPr>
                <w:rFonts w:ascii="Times New Roman" w:hAnsi="Times New Roman" w:cs="Times New Roman"/>
                <w:sz w:val="20"/>
                <w:szCs w:val="20"/>
              </w:rPr>
              <w:t xml:space="preserve"> u dijelu </w:t>
            </w:r>
            <w:r w:rsidR="00D64D5F" w:rsidRPr="00690B06">
              <w:rPr>
                <w:rFonts w:ascii="Times New Roman" w:hAnsi="Times New Roman" w:cs="Times New Roman"/>
                <w:sz w:val="20"/>
                <w:szCs w:val="20"/>
              </w:rPr>
              <w:t>koji se odnosi na hranu i bio-ekonomiju</w:t>
            </w:r>
            <w:r w:rsidR="005F7876" w:rsidRPr="00690B06">
              <w:rPr>
                <w:rFonts w:ascii="Times New Roman" w:hAnsi="Times New Roman" w:cs="Times New Roman"/>
                <w:sz w:val="20"/>
                <w:szCs w:val="20"/>
              </w:rPr>
              <w:t xml:space="preserve"> </w:t>
            </w:r>
            <w:r w:rsidRPr="00690B06">
              <w:rPr>
                <w:rFonts w:ascii="Times New Roman" w:hAnsi="Times New Roman" w:cs="Times New Roman"/>
                <w:sz w:val="20"/>
                <w:szCs w:val="20"/>
              </w:rPr>
              <w:t>.</w:t>
            </w:r>
          </w:p>
        </w:tc>
      </w:tr>
      <w:tr w:rsidR="00843521" w:rsidTr="00B37F7D">
        <w:trPr>
          <w:trHeight w:val="1880"/>
        </w:trPr>
        <w:tc>
          <w:tcPr>
            <w:tcW w:w="567" w:type="dxa"/>
          </w:tcPr>
          <w:p w:rsidR="00843521" w:rsidRPr="007455D8"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Default="00843521" w:rsidP="007455D8">
            <w:pPr>
              <w:rPr>
                <w:rFonts w:ascii="Times New Roman" w:hAnsi="Times New Roman" w:cs="Times New Roman"/>
                <w:color w:val="FF0000"/>
                <w:sz w:val="20"/>
                <w:szCs w:val="20"/>
              </w:rPr>
            </w:pPr>
            <w:r w:rsidRPr="000A0A81">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p w:rsidR="00843521" w:rsidRPr="00970571" w:rsidRDefault="00843521" w:rsidP="00970571">
            <w:pPr>
              <w:rPr>
                <w:rFonts w:ascii="Times New Roman" w:hAnsi="Times New Roman" w:cs="Times New Roman"/>
                <w:sz w:val="20"/>
                <w:szCs w:val="20"/>
              </w:rPr>
            </w:pPr>
          </w:p>
        </w:tc>
        <w:tc>
          <w:tcPr>
            <w:tcW w:w="6662" w:type="dxa"/>
          </w:tcPr>
          <w:p w:rsidR="00843521" w:rsidRDefault="00996033" w:rsidP="00996033">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sidR="00A57C55">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w:t>
            </w:r>
            <w:r w:rsidR="009F437D" w:rsidRPr="00576813">
              <w:rPr>
                <w:rFonts w:ascii="Times New Roman" w:hAnsi="Times New Roman" w:cs="Times New Roman"/>
                <w:sz w:val="20"/>
                <w:szCs w:val="20"/>
              </w:rPr>
              <w:t xml:space="preserve">, ukoliko </w:t>
            </w:r>
            <w:r w:rsidR="00D043BE">
              <w:rPr>
                <w:rFonts w:ascii="Times New Roman" w:hAnsi="Times New Roman" w:cs="Times New Roman"/>
                <w:sz w:val="20"/>
                <w:szCs w:val="20"/>
              </w:rPr>
              <w:t xml:space="preserve">se radi o poduzetniku i </w:t>
            </w:r>
            <w:r w:rsidR="009F437D" w:rsidRPr="00576813">
              <w:rPr>
                <w:rFonts w:ascii="Times New Roman" w:hAnsi="Times New Roman" w:cs="Times New Roman"/>
                <w:sz w:val="20"/>
                <w:szCs w:val="20"/>
              </w:rPr>
              <w:t xml:space="preserve">ne spadate </w:t>
            </w:r>
            <w:r w:rsidRPr="00576813">
              <w:rPr>
                <w:rFonts w:ascii="Times New Roman" w:hAnsi="Times New Roman" w:cs="Times New Roman"/>
                <w:sz w:val="20"/>
                <w:szCs w:val="20"/>
              </w:rPr>
              <w:t xml:space="preserve"> </w:t>
            </w:r>
            <w:r w:rsidR="009F437D" w:rsidRPr="00576813">
              <w:rPr>
                <w:rFonts w:ascii="Times New Roman" w:hAnsi="Times New Roman" w:cs="Times New Roman"/>
                <w:sz w:val="20"/>
                <w:szCs w:val="20"/>
              </w:rPr>
              <w:t xml:space="preserve">pod definicije mikro, malih i srednjih poduzeća </w:t>
            </w:r>
            <w:r w:rsidR="00A57C55">
              <w:rPr>
                <w:rFonts w:ascii="Times New Roman" w:hAnsi="Times New Roman" w:cs="Times New Roman"/>
                <w:sz w:val="20"/>
                <w:szCs w:val="20"/>
              </w:rPr>
              <w:t xml:space="preserve">iz navedene Uredbe </w:t>
            </w:r>
            <w:r w:rsidR="009F437D" w:rsidRPr="00576813">
              <w:rPr>
                <w:rFonts w:ascii="Times New Roman" w:hAnsi="Times New Roman" w:cs="Times New Roman"/>
                <w:sz w:val="20"/>
                <w:szCs w:val="20"/>
              </w:rPr>
              <w:t>onda ste veliki poduzetnik, nadalje u prilogu I, članak 3. postoji definicija što se smatra povezanim poduzećem.</w:t>
            </w:r>
          </w:p>
          <w:p w:rsidR="00D043BE" w:rsidRPr="00576813" w:rsidRDefault="00D043BE" w:rsidP="00996033">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bookmarkStart w:id="1" w:name="_GoBack"/>
            <w:bookmarkEnd w:id="1"/>
          </w:p>
          <w:p w:rsidR="009F437D" w:rsidRPr="00576813" w:rsidRDefault="009F437D" w:rsidP="009F437D">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p w:rsidR="009F437D" w:rsidRPr="003964B4" w:rsidRDefault="009F437D" w:rsidP="009F437D">
            <w:pPr>
              <w:autoSpaceDE w:val="0"/>
              <w:autoSpaceDN w:val="0"/>
              <w:rPr>
                <w:rFonts w:ascii="Times New Roman" w:hAnsi="Times New Roman" w:cs="Times New Roman"/>
                <w:color w:val="FF0000"/>
                <w:sz w:val="20"/>
                <w:szCs w:val="20"/>
              </w:rPr>
            </w:pPr>
          </w:p>
        </w:tc>
      </w:tr>
      <w:tr w:rsidR="00B37F7D" w:rsidTr="00AA50E1">
        <w:trPr>
          <w:trHeight w:val="402"/>
        </w:trPr>
        <w:tc>
          <w:tcPr>
            <w:tcW w:w="567" w:type="dxa"/>
          </w:tcPr>
          <w:p w:rsidR="00B37F7D" w:rsidRPr="007455D8"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Default="00B37F7D" w:rsidP="007455D8">
            <w:pPr>
              <w:rPr>
                <w:rFonts w:ascii="Times New Roman" w:hAnsi="Times New Roman" w:cs="Times New Roman"/>
                <w:color w:val="FF0000"/>
                <w:sz w:val="20"/>
                <w:szCs w:val="20"/>
              </w:rPr>
            </w:pPr>
            <w:r w:rsidRPr="000A0A81">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8B2F95" w:rsidRPr="008B2F95" w:rsidRDefault="008B2F95" w:rsidP="008B2F95">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bl>
    <w:p w:rsidR="00E343AF" w:rsidRPr="00540255" w:rsidRDefault="00E343AF" w:rsidP="00AA50E1">
      <w:pPr>
        <w:tabs>
          <w:tab w:val="left" w:pos="7470"/>
          <w:tab w:val="left" w:pos="7839"/>
        </w:tabs>
        <w:rPr>
          <w:rFonts w:ascii="Times New Roman" w:hAnsi="Times New Roman" w:cs="Times New Roman"/>
          <w:sz w:val="20"/>
          <w:szCs w:val="20"/>
        </w:rPr>
      </w:pPr>
    </w:p>
    <w:sectPr w:rsidR="00E343AF" w:rsidRPr="00540255" w:rsidSect="004774E2">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3B" w:rsidRDefault="00BE4D3B" w:rsidP="00A93112">
      <w:pPr>
        <w:spacing w:after="0" w:line="240" w:lineRule="auto"/>
      </w:pPr>
      <w:r>
        <w:separator/>
      </w:r>
    </w:p>
  </w:endnote>
  <w:endnote w:type="continuationSeparator" w:id="0">
    <w:p w:rsidR="00BE4D3B" w:rsidRDefault="00BE4D3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3" w:rsidRDefault="00996033">
    <w:pPr>
      <w:pStyle w:val="Footer"/>
      <w:jc w:val="right"/>
    </w:pPr>
  </w:p>
  <w:p w:rsidR="00996033" w:rsidRDefault="00996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3" w:rsidRDefault="00996033">
    <w:pPr>
      <w:pStyle w:val="Footer"/>
    </w:pPr>
  </w:p>
  <w:p w:rsidR="00996033" w:rsidRDefault="00996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3" w:rsidRDefault="00996033">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96033" w:rsidRDefault="00996033">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3B" w:rsidRDefault="00BE4D3B" w:rsidP="00A93112">
      <w:pPr>
        <w:spacing w:after="0" w:line="240" w:lineRule="auto"/>
      </w:pPr>
      <w:r>
        <w:separator/>
      </w:r>
    </w:p>
  </w:footnote>
  <w:footnote w:type="continuationSeparator" w:id="0">
    <w:p w:rsidR="00BE4D3B" w:rsidRDefault="00BE4D3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3" w:rsidRDefault="00996033">
    <w:pPr>
      <w:pStyle w:val="Header"/>
      <w:jc w:val="right"/>
    </w:pPr>
  </w:p>
  <w:p w:rsidR="00996033" w:rsidRDefault="0099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3" w:rsidRDefault="00996033">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8"/>
  </w:num>
  <w:num w:numId="3">
    <w:abstractNumId w:val="0"/>
  </w:num>
  <w:num w:numId="4">
    <w:abstractNumId w:val="24"/>
  </w:num>
  <w:num w:numId="5">
    <w:abstractNumId w:val="13"/>
  </w:num>
  <w:num w:numId="6">
    <w:abstractNumId w:val="16"/>
  </w:num>
  <w:num w:numId="7">
    <w:abstractNumId w:val="19"/>
  </w:num>
  <w:num w:numId="8">
    <w:abstractNumId w:val="9"/>
  </w:num>
  <w:num w:numId="9">
    <w:abstractNumId w:val="29"/>
  </w:num>
  <w:num w:numId="10">
    <w:abstractNumId w:val="2"/>
  </w:num>
  <w:num w:numId="11">
    <w:abstractNumId w:val="25"/>
  </w:num>
  <w:num w:numId="12">
    <w:abstractNumId w:val="10"/>
  </w:num>
  <w:num w:numId="13">
    <w:abstractNumId w:val="21"/>
  </w:num>
  <w:num w:numId="14">
    <w:abstractNumId w:val="18"/>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num>
  <w:num w:numId="20">
    <w:abstractNumId w:val="6"/>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0"/>
  </w:num>
  <w:num w:numId="25">
    <w:abstractNumId w:val="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4"/>
  </w:num>
  <w:num w:numId="34">
    <w:abstractNumId w:val="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60D9"/>
    <w:rsid w:val="0000707B"/>
    <w:rsid w:val="00007A80"/>
    <w:rsid w:val="00007B6D"/>
    <w:rsid w:val="00007C04"/>
    <w:rsid w:val="0001065E"/>
    <w:rsid w:val="00015F5F"/>
    <w:rsid w:val="00020DC2"/>
    <w:rsid w:val="00021DF6"/>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26E8"/>
    <w:rsid w:val="000933D2"/>
    <w:rsid w:val="00095DC4"/>
    <w:rsid w:val="00095E3F"/>
    <w:rsid w:val="000963A1"/>
    <w:rsid w:val="00096A4F"/>
    <w:rsid w:val="000A0A81"/>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E1AA2"/>
    <w:rsid w:val="000E3188"/>
    <w:rsid w:val="000E4B38"/>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36C4"/>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A53BD"/>
    <w:rsid w:val="001B3951"/>
    <w:rsid w:val="001B3FBE"/>
    <w:rsid w:val="001C0D79"/>
    <w:rsid w:val="001C177C"/>
    <w:rsid w:val="001C188B"/>
    <w:rsid w:val="001C2E19"/>
    <w:rsid w:val="001C3B82"/>
    <w:rsid w:val="001C5931"/>
    <w:rsid w:val="001C77AC"/>
    <w:rsid w:val="001D2DFE"/>
    <w:rsid w:val="001D5173"/>
    <w:rsid w:val="001E08EF"/>
    <w:rsid w:val="001E1F63"/>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31CC9"/>
    <w:rsid w:val="00231D7C"/>
    <w:rsid w:val="0023299E"/>
    <w:rsid w:val="00233FF7"/>
    <w:rsid w:val="0023533A"/>
    <w:rsid w:val="00237DA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641"/>
    <w:rsid w:val="0032198A"/>
    <w:rsid w:val="0032324A"/>
    <w:rsid w:val="00327E6D"/>
    <w:rsid w:val="00331319"/>
    <w:rsid w:val="00331A57"/>
    <w:rsid w:val="0033212C"/>
    <w:rsid w:val="00334228"/>
    <w:rsid w:val="0033672D"/>
    <w:rsid w:val="00340DD1"/>
    <w:rsid w:val="003419A1"/>
    <w:rsid w:val="00342383"/>
    <w:rsid w:val="00344455"/>
    <w:rsid w:val="00344E41"/>
    <w:rsid w:val="00353C6F"/>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B0DAB"/>
    <w:rsid w:val="003B1FF2"/>
    <w:rsid w:val="003B472E"/>
    <w:rsid w:val="003B4CD1"/>
    <w:rsid w:val="003C15F2"/>
    <w:rsid w:val="003C3DC2"/>
    <w:rsid w:val="003C4047"/>
    <w:rsid w:val="003C6AF4"/>
    <w:rsid w:val="003D131B"/>
    <w:rsid w:val="003D15B1"/>
    <w:rsid w:val="003D2872"/>
    <w:rsid w:val="003D5E90"/>
    <w:rsid w:val="003D6E43"/>
    <w:rsid w:val="003E018C"/>
    <w:rsid w:val="003E28E0"/>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31324"/>
    <w:rsid w:val="00440C9D"/>
    <w:rsid w:val="00440D1C"/>
    <w:rsid w:val="004437B1"/>
    <w:rsid w:val="00443A14"/>
    <w:rsid w:val="004450A8"/>
    <w:rsid w:val="0045188A"/>
    <w:rsid w:val="004557E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3BC0"/>
    <w:rsid w:val="004F7B2E"/>
    <w:rsid w:val="005004A7"/>
    <w:rsid w:val="00500517"/>
    <w:rsid w:val="00500F18"/>
    <w:rsid w:val="00502AFE"/>
    <w:rsid w:val="005053C2"/>
    <w:rsid w:val="00506E8F"/>
    <w:rsid w:val="00512968"/>
    <w:rsid w:val="005159BF"/>
    <w:rsid w:val="00521101"/>
    <w:rsid w:val="00523E74"/>
    <w:rsid w:val="0053074D"/>
    <w:rsid w:val="00531448"/>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76813"/>
    <w:rsid w:val="00580146"/>
    <w:rsid w:val="00581B43"/>
    <w:rsid w:val="00586538"/>
    <w:rsid w:val="00595AC8"/>
    <w:rsid w:val="005A07B5"/>
    <w:rsid w:val="005A0A1B"/>
    <w:rsid w:val="005A1C48"/>
    <w:rsid w:val="005A21B4"/>
    <w:rsid w:val="005A387E"/>
    <w:rsid w:val="005A6F54"/>
    <w:rsid w:val="005B167A"/>
    <w:rsid w:val="005B408A"/>
    <w:rsid w:val="005B606E"/>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5F7876"/>
    <w:rsid w:val="00604D63"/>
    <w:rsid w:val="006164CB"/>
    <w:rsid w:val="006174FC"/>
    <w:rsid w:val="00622229"/>
    <w:rsid w:val="00622429"/>
    <w:rsid w:val="006248D4"/>
    <w:rsid w:val="00626D47"/>
    <w:rsid w:val="00633F3B"/>
    <w:rsid w:val="00637D8D"/>
    <w:rsid w:val="00643AFA"/>
    <w:rsid w:val="00644B76"/>
    <w:rsid w:val="00645CA0"/>
    <w:rsid w:val="00650BAE"/>
    <w:rsid w:val="0065305A"/>
    <w:rsid w:val="00655CC1"/>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0B06"/>
    <w:rsid w:val="006912C7"/>
    <w:rsid w:val="0069148F"/>
    <w:rsid w:val="0069380A"/>
    <w:rsid w:val="00695843"/>
    <w:rsid w:val="006A5EF3"/>
    <w:rsid w:val="006A6490"/>
    <w:rsid w:val="006B0263"/>
    <w:rsid w:val="006B26AF"/>
    <w:rsid w:val="006C23E9"/>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D5D"/>
    <w:rsid w:val="00701885"/>
    <w:rsid w:val="00707FE0"/>
    <w:rsid w:val="00710E63"/>
    <w:rsid w:val="00710F2E"/>
    <w:rsid w:val="0071142C"/>
    <w:rsid w:val="00720014"/>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4C4"/>
    <w:rsid w:val="00824E59"/>
    <w:rsid w:val="00830A58"/>
    <w:rsid w:val="0083136A"/>
    <w:rsid w:val="00833AE3"/>
    <w:rsid w:val="00835427"/>
    <w:rsid w:val="00835B7E"/>
    <w:rsid w:val="00837111"/>
    <w:rsid w:val="00842BD1"/>
    <w:rsid w:val="00842F41"/>
    <w:rsid w:val="00843521"/>
    <w:rsid w:val="00845D6B"/>
    <w:rsid w:val="00854304"/>
    <w:rsid w:val="00857568"/>
    <w:rsid w:val="0086089A"/>
    <w:rsid w:val="00860933"/>
    <w:rsid w:val="00860F7B"/>
    <w:rsid w:val="00861AA7"/>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B2F95"/>
    <w:rsid w:val="008C209E"/>
    <w:rsid w:val="008C541C"/>
    <w:rsid w:val="008C5841"/>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21557"/>
    <w:rsid w:val="009335DF"/>
    <w:rsid w:val="0094092D"/>
    <w:rsid w:val="0094186C"/>
    <w:rsid w:val="00942F1A"/>
    <w:rsid w:val="00943671"/>
    <w:rsid w:val="00945E98"/>
    <w:rsid w:val="00945EAF"/>
    <w:rsid w:val="0094611C"/>
    <w:rsid w:val="0095560E"/>
    <w:rsid w:val="009579B2"/>
    <w:rsid w:val="0096093C"/>
    <w:rsid w:val="00965422"/>
    <w:rsid w:val="00967934"/>
    <w:rsid w:val="00970571"/>
    <w:rsid w:val="00970D6C"/>
    <w:rsid w:val="00971F3A"/>
    <w:rsid w:val="00974601"/>
    <w:rsid w:val="00975345"/>
    <w:rsid w:val="0097687A"/>
    <w:rsid w:val="00977CFB"/>
    <w:rsid w:val="00977F28"/>
    <w:rsid w:val="00980FD0"/>
    <w:rsid w:val="00981A40"/>
    <w:rsid w:val="00981B90"/>
    <w:rsid w:val="00985B3E"/>
    <w:rsid w:val="00985DB6"/>
    <w:rsid w:val="0099088B"/>
    <w:rsid w:val="0099497B"/>
    <w:rsid w:val="00996033"/>
    <w:rsid w:val="009A041D"/>
    <w:rsid w:val="009A1B6C"/>
    <w:rsid w:val="009A262D"/>
    <w:rsid w:val="009A2CAF"/>
    <w:rsid w:val="009A4A90"/>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437D"/>
    <w:rsid w:val="009F63F6"/>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5D35"/>
    <w:rsid w:val="00A26678"/>
    <w:rsid w:val="00A2769A"/>
    <w:rsid w:val="00A300E0"/>
    <w:rsid w:val="00A3247B"/>
    <w:rsid w:val="00A333B7"/>
    <w:rsid w:val="00A344AA"/>
    <w:rsid w:val="00A358C1"/>
    <w:rsid w:val="00A36472"/>
    <w:rsid w:val="00A41005"/>
    <w:rsid w:val="00A42500"/>
    <w:rsid w:val="00A43DF2"/>
    <w:rsid w:val="00A46CE0"/>
    <w:rsid w:val="00A47530"/>
    <w:rsid w:val="00A52D8E"/>
    <w:rsid w:val="00A531E8"/>
    <w:rsid w:val="00A55594"/>
    <w:rsid w:val="00A55DB0"/>
    <w:rsid w:val="00A568DE"/>
    <w:rsid w:val="00A57C55"/>
    <w:rsid w:val="00A60FE3"/>
    <w:rsid w:val="00A63D8A"/>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3472"/>
    <w:rsid w:val="00AA50E1"/>
    <w:rsid w:val="00AA6088"/>
    <w:rsid w:val="00AA693D"/>
    <w:rsid w:val="00AB2D70"/>
    <w:rsid w:val="00AC334A"/>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33667"/>
    <w:rsid w:val="00B33A3C"/>
    <w:rsid w:val="00B34BBC"/>
    <w:rsid w:val="00B35436"/>
    <w:rsid w:val="00B35A65"/>
    <w:rsid w:val="00B37F7D"/>
    <w:rsid w:val="00B437DE"/>
    <w:rsid w:val="00B44A16"/>
    <w:rsid w:val="00B47EA1"/>
    <w:rsid w:val="00B51692"/>
    <w:rsid w:val="00B53631"/>
    <w:rsid w:val="00B553EA"/>
    <w:rsid w:val="00B56B65"/>
    <w:rsid w:val="00B61D8D"/>
    <w:rsid w:val="00B62665"/>
    <w:rsid w:val="00B626FD"/>
    <w:rsid w:val="00B65B0B"/>
    <w:rsid w:val="00B715E9"/>
    <w:rsid w:val="00B8050D"/>
    <w:rsid w:val="00B834A0"/>
    <w:rsid w:val="00B835C3"/>
    <w:rsid w:val="00B83F75"/>
    <w:rsid w:val="00B8435A"/>
    <w:rsid w:val="00B85674"/>
    <w:rsid w:val="00BA214B"/>
    <w:rsid w:val="00BA6169"/>
    <w:rsid w:val="00BC262B"/>
    <w:rsid w:val="00BC6E3E"/>
    <w:rsid w:val="00BD4425"/>
    <w:rsid w:val="00BD59CA"/>
    <w:rsid w:val="00BD6A4A"/>
    <w:rsid w:val="00BD7B76"/>
    <w:rsid w:val="00BE045B"/>
    <w:rsid w:val="00BE411E"/>
    <w:rsid w:val="00BE4D3B"/>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4915"/>
    <w:rsid w:val="00C6602B"/>
    <w:rsid w:val="00C665BF"/>
    <w:rsid w:val="00C67FE0"/>
    <w:rsid w:val="00C703AA"/>
    <w:rsid w:val="00C70F45"/>
    <w:rsid w:val="00C7140B"/>
    <w:rsid w:val="00C74386"/>
    <w:rsid w:val="00C76FBD"/>
    <w:rsid w:val="00C96BDE"/>
    <w:rsid w:val="00C9720E"/>
    <w:rsid w:val="00CA3C57"/>
    <w:rsid w:val="00CA4FA5"/>
    <w:rsid w:val="00CA5242"/>
    <w:rsid w:val="00CA5F9C"/>
    <w:rsid w:val="00CA63CE"/>
    <w:rsid w:val="00CB5F50"/>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586F"/>
    <w:rsid w:val="00CF78D4"/>
    <w:rsid w:val="00CF7950"/>
    <w:rsid w:val="00D00C47"/>
    <w:rsid w:val="00D02A70"/>
    <w:rsid w:val="00D03111"/>
    <w:rsid w:val="00D0380E"/>
    <w:rsid w:val="00D03D00"/>
    <w:rsid w:val="00D043BE"/>
    <w:rsid w:val="00D05548"/>
    <w:rsid w:val="00D06F55"/>
    <w:rsid w:val="00D079D8"/>
    <w:rsid w:val="00D07D93"/>
    <w:rsid w:val="00D10050"/>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BA8"/>
    <w:rsid w:val="00D47CEF"/>
    <w:rsid w:val="00D50BF7"/>
    <w:rsid w:val="00D5297A"/>
    <w:rsid w:val="00D55D33"/>
    <w:rsid w:val="00D561A9"/>
    <w:rsid w:val="00D6120F"/>
    <w:rsid w:val="00D64D5F"/>
    <w:rsid w:val="00D65641"/>
    <w:rsid w:val="00D6705C"/>
    <w:rsid w:val="00D73075"/>
    <w:rsid w:val="00D75DB0"/>
    <w:rsid w:val="00D75FF3"/>
    <w:rsid w:val="00D83166"/>
    <w:rsid w:val="00D83F6A"/>
    <w:rsid w:val="00DA3433"/>
    <w:rsid w:val="00DA52A6"/>
    <w:rsid w:val="00DA5D66"/>
    <w:rsid w:val="00DB399D"/>
    <w:rsid w:val="00DC280E"/>
    <w:rsid w:val="00DC33BC"/>
    <w:rsid w:val="00DC4D66"/>
    <w:rsid w:val="00DC4E7C"/>
    <w:rsid w:val="00DC64D0"/>
    <w:rsid w:val="00DC7674"/>
    <w:rsid w:val="00DD49AA"/>
    <w:rsid w:val="00DD4BCA"/>
    <w:rsid w:val="00DD4C70"/>
    <w:rsid w:val="00DD628E"/>
    <w:rsid w:val="00DD7D8D"/>
    <w:rsid w:val="00DE06AC"/>
    <w:rsid w:val="00DE0BE6"/>
    <w:rsid w:val="00DE4003"/>
    <w:rsid w:val="00DF0353"/>
    <w:rsid w:val="00DF2D68"/>
    <w:rsid w:val="00DF3D02"/>
    <w:rsid w:val="00DF50C8"/>
    <w:rsid w:val="00DF7B2A"/>
    <w:rsid w:val="00E120B7"/>
    <w:rsid w:val="00E12591"/>
    <w:rsid w:val="00E149C6"/>
    <w:rsid w:val="00E16461"/>
    <w:rsid w:val="00E170E0"/>
    <w:rsid w:val="00E31B9C"/>
    <w:rsid w:val="00E343AF"/>
    <w:rsid w:val="00E365C7"/>
    <w:rsid w:val="00E537FD"/>
    <w:rsid w:val="00E5535F"/>
    <w:rsid w:val="00E63C0D"/>
    <w:rsid w:val="00E65E6B"/>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5308"/>
    <w:rsid w:val="00EC7034"/>
    <w:rsid w:val="00EC7691"/>
    <w:rsid w:val="00ED1CE7"/>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1AE3"/>
    <w:rsid w:val="00F34C4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513485">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www.esf.hr/wordpress/wp-content/uploads/2015/07/Upute-za-korisnike-sredstava-2014-2020.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r.b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2.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71A2-FAE6-4FE7-AC56-4EDC87C6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111</Pages>
  <Words>55298</Words>
  <Characters>315202</Characters>
  <Application>Microsoft Office Word</Application>
  <DocSecurity>0</DocSecurity>
  <Lines>2626</Lines>
  <Paragraphs>739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19</cp:revision>
  <cp:lastPrinted>2016-07-12T07:37:00Z</cp:lastPrinted>
  <dcterms:created xsi:type="dcterms:W3CDTF">2016-07-12T09:17:00Z</dcterms:created>
  <dcterms:modified xsi:type="dcterms:W3CDTF">2016-07-15T13:09:00Z</dcterms:modified>
</cp:coreProperties>
</file>