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661DCE">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661DCE">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r w:rsidR="00D175D1">
              <w:rPr>
                <w:rFonts w:ascii="Times New Roman" w:hAnsi="Times New Roman" w:cs="Times New Roman"/>
                <w:sz w:val="20"/>
                <w:szCs w:val="20"/>
              </w:rPr>
              <w:t>likvidnos</w:t>
            </w:r>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„Prodaja inovacija koje su nove na tržištu (eng. new–to–market) i </w:t>
            </w:r>
            <w:r w:rsidRPr="00DE6F6C">
              <w:rPr>
                <w:rFonts w:ascii="Times New Roman" w:hAnsi="Times New Roman" w:cs="Times New Roman"/>
                <w:sz w:val="20"/>
                <w:szCs w:val="20"/>
              </w:rPr>
              <w:lastRenderedPageBreak/>
              <w:t>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ac)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661DCE">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661DCE">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661DCE">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661DCE">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661DCE">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661DCE">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661DCE">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F80F9F"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661DCE">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661DCE">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661DCE">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661DCE">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661DCE">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661DCE">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661DCE">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661DCE">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661DCE">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661DCE">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661DCE">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661DCE">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661DCE">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661DCE">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661DCE">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661DCE">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661DCE">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661DCE">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661DCE">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661DCE">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661DCE">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661DCE">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661DCE">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661DCE">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661DCE">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661DCE">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661DCE">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661DCE">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661DCE">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661DCE">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661DCE">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661DCE">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661DCE">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661DCE">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661DCE">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661DCE">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UzP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661DCE">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4A7538E3" wp14:editId="0E144837">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661DCE">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661DCE">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661DCE">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661DCE">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661DCE">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661DCE">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661DCE">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661DCE">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661DCE">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661DCE">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lastRenderedPageBreak/>
              <w:t>Zakonskom obvezom smatra ugovor ili račun dobavljača.</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661DCE">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UzP,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661DCE">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3" w:type="dxa"/>
          </w:tcPr>
          <w:p w:rsidR="00D33721"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 xml:space="preserve">Planirano povećanje zapošljavanja gleda se za sve uključene poduzetnike i </w:t>
            </w:r>
            <w:r w:rsidRPr="00ED1BB1">
              <w:rPr>
                <w:rFonts w:ascii="Times New Roman" w:eastAsia="Calibri" w:hAnsi="Times New Roman" w:cs="Times New Roman"/>
                <w:sz w:val="20"/>
                <w:szCs w:val="20"/>
                <w:lang w:eastAsia="en-GB"/>
              </w:rPr>
              <w:lastRenderedPageBreak/>
              <w:t>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w:t>
            </w:r>
            <w:r w:rsidR="00FA04EC">
              <w:rPr>
                <w:rFonts w:ascii="Times New Roman" w:hAnsi="Times New Roman" w:cs="Times New Roman"/>
                <w:sz w:val="20"/>
                <w:szCs w:val="20"/>
              </w:rPr>
              <w:t>/03</w:t>
            </w:r>
            <w:r>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661DCE">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3"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8"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UzP-a,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r w:rsidR="00661DCE" w:rsidRPr="00ED1BB1" w:rsidTr="00661DC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04/04/17</w:t>
            </w:r>
          </w:p>
        </w:tc>
        <w:tc>
          <w:tcPr>
            <w:tcW w:w="6378" w:type="dxa"/>
          </w:tcPr>
          <w:p w:rsidR="00661DCE" w:rsidRPr="003C381C" w:rsidRDefault="00CB38EE" w:rsidP="00CB38EE">
            <w:pPr>
              <w:rPr>
                <w:rFonts w:ascii="Times New Roman" w:hAnsi="Times New Roman" w:cs="Times New Roman"/>
                <w:sz w:val="20"/>
                <w:szCs w:val="20"/>
              </w:rPr>
            </w:pPr>
            <w:r w:rsidRPr="003C381C">
              <w:rPr>
                <w:rFonts w:ascii="Times New Roman" w:hAnsi="Times New Roman" w:cs="Times New Roman"/>
                <w:sz w:val="20"/>
                <w:szCs w:val="20"/>
              </w:rPr>
              <w:t xml:space="preserve">1. </w:t>
            </w:r>
            <w:r w:rsidR="00661DCE" w:rsidRPr="003C381C">
              <w:rPr>
                <w:rFonts w:ascii="Times New Roman" w:hAnsi="Times New Roman" w:cs="Times New Roman"/>
                <w:sz w:val="20"/>
                <w:szCs w:val="20"/>
              </w:rPr>
              <w:t>Ukoliko u projektu imamo aktivnosti industrijskog istraživanja i eksperimentalnog razvoja, da li je prihvatljivo predvidjeti slijed faza na sljedeći način:</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lastRenderedPageBreak/>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661DCE" w:rsidRPr="003C381C" w:rsidRDefault="00661DCE" w:rsidP="00CB38EE">
            <w:pPr>
              <w:rPr>
                <w:rFonts w:ascii="Times New Roman" w:hAnsi="Times New Roman" w:cs="Times New Roman"/>
                <w:sz w:val="20"/>
                <w:szCs w:val="20"/>
              </w:rPr>
            </w:pP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661DCE" w:rsidRPr="003C381C" w:rsidRDefault="00661DCE" w:rsidP="00661DCE">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lastRenderedPageBreak/>
              <w:t>Sukladno UzP izrada studije izvedivosti može biti nastavak aktivnosti industrijskog istraživanja i/ili eksperimentalnog razvoja u okviru istog projektnog prijedloga.</w:t>
            </w:r>
          </w:p>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w:t>
            </w:r>
            <w:r w:rsidRPr="003C381C">
              <w:rPr>
                <w:rFonts w:ascii="Times New Roman" w:eastAsia="Calibri" w:hAnsi="Times New Roman" w:cs="Times New Roman"/>
                <w:lang w:eastAsia="en-GB"/>
              </w:rPr>
              <w:lastRenderedPageBreak/>
              <w:t xml:space="preserve">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661DCE" w:rsidRPr="003C381C" w:rsidRDefault="00661DCE" w:rsidP="00CB38EE">
            <w:pPr>
              <w:pStyle w:val="Tekstfusnote"/>
              <w:rPr>
                <w:rFonts w:ascii="Times New Roman" w:eastAsia="Calibri" w:hAnsi="Times New Roman" w:cs="Times New Roman"/>
                <w:lang w:eastAsia="en-GB"/>
              </w:rPr>
            </w:pPr>
          </w:p>
          <w:p w:rsidR="00661DCE" w:rsidRPr="003C381C" w:rsidRDefault="00CB38EE" w:rsidP="00194734">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Gore navedeno se ne odnosi na </w:t>
            </w:r>
            <w:r w:rsidR="00194734" w:rsidRPr="003C381C">
              <w:rPr>
                <w:rFonts w:ascii="Times New Roman" w:eastAsia="Calibri" w:hAnsi="Times New Roman" w:cs="Times New Roman"/>
                <w:lang w:eastAsia="en-GB"/>
              </w:rPr>
              <w:t xml:space="preserve">Obrazac 10, </w:t>
            </w:r>
            <w:r w:rsidRPr="003C381C">
              <w:rPr>
                <w:rFonts w:ascii="Times New Roman" w:eastAsia="Calibri" w:hAnsi="Times New Roman" w:cs="Times New Roman"/>
                <w:lang w:eastAsia="en-GB"/>
              </w:rPr>
              <w:t xml:space="preserve">Studiju izvedivosti </w:t>
            </w:r>
            <w:r w:rsidR="00661DCE" w:rsidRPr="003C381C">
              <w:rPr>
                <w:rFonts w:ascii="Times New Roman" w:eastAsia="Calibri" w:hAnsi="Times New Roman" w:cs="Times New Roman"/>
                <w:lang w:eastAsia="en-GB"/>
              </w:rPr>
              <w:t>koja se prilaže kao dio obavezne dokumentacije za projekte u vr</w:t>
            </w:r>
            <w:r w:rsidR="00194734" w:rsidRPr="003C381C">
              <w:rPr>
                <w:rFonts w:ascii="Times New Roman" w:eastAsia="Calibri" w:hAnsi="Times New Roman" w:cs="Times New Roman"/>
                <w:lang w:eastAsia="en-GB"/>
              </w:rPr>
              <w:t>ijednosti iznad 75.000.00,00 kn.</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05/04/17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661DCE" w:rsidRPr="003C381C" w:rsidRDefault="00CB38EE" w:rsidP="00EA501C">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Osim dozvoljenih intenziteta potpora sukladno UzP, n</w:t>
            </w:r>
            <w:r w:rsidR="00661DCE" w:rsidRPr="003C381C">
              <w:rPr>
                <w:rFonts w:ascii="Times New Roman" w:eastAsia="Calibri" w:hAnsi="Times New Roman" w:cs="Times New Roman"/>
                <w:lang w:eastAsia="en-GB"/>
              </w:rPr>
              <w:t>e postoji ograničenje udjela troškova izgradnje novog objekta u odnosu na ukupan budžet projekta</w:t>
            </w:r>
            <w:r w:rsidR="00EA501C" w:rsidRPr="003C381C">
              <w:rPr>
                <w:rFonts w:ascii="Times New Roman" w:eastAsia="Calibri" w:hAnsi="Times New Roman" w:cs="Times New Roman"/>
                <w:lang w:eastAsia="en-GB"/>
              </w:rPr>
              <w:t>.</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58" w:type="dxa"/>
          </w:tcPr>
          <w:p w:rsidR="00661DCE" w:rsidRPr="003C381C" w:rsidRDefault="00172281"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BF454E" w:rsidRDefault="00661DCE" w:rsidP="00661DCE">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5E4988" w:rsidRPr="00596F23" w:rsidRDefault="005E4988" w:rsidP="005E4988">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5174EB" w:rsidRPr="00ED1BB1" w:rsidTr="00CB38EE">
        <w:trPr>
          <w:gridAfter w:val="1"/>
          <w:wAfter w:w="6" w:type="dxa"/>
          <w:trHeight w:val="20"/>
        </w:trPr>
        <w:tc>
          <w:tcPr>
            <w:tcW w:w="566" w:type="dxa"/>
          </w:tcPr>
          <w:p w:rsidR="005174EB" w:rsidRDefault="005174EB" w:rsidP="00CB38EE">
            <w:pPr>
              <w:pStyle w:val="Odlomakpopisa"/>
              <w:numPr>
                <w:ilvl w:val="0"/>
                <w:numId w:val="1"/>
              </w:numPr>
              <w:ind w:left="142" w:hanging="218"/>
              <w:rPr>
                <w:rFonts w:ascii="Times New Roman" w:hAnsi="Times New Roman" w:cs="Times New Roman"/>
                <w:sz w:val="20"/>
                <w:szCs w:val="20"/>
              </w:rPr>
            </w:pPr>
          </w:p>
        </w:tc>
        <w:tc>
          <w:tcPr>
            <w:tcW w:w="993" w:type="dxa"/>
          </w:tcPr>
          <w:p w:rsidR="005174EB" w:rsidRDefault="00167DF1" w:rsidP="00CB38EE">
            <w:pPr>
              <w:rPr>
                <w:rFonts w:ascii="Times New Roman" w:hAnsi="Times New Roman" w:cs="Times New Roman"/>
                <w:sz w:val="20"/>
                <w:szCs w:val="20"/>
              </w:rPr>
            </w:pPr>
            <w:r>
              <w:rPr>
                <w:rFonts w:ascii="Times New Roman" w:hAnsi="Times New Roman" w:cs="Times New Roman"/>
                <w:sz w:val="20"/>
                <w:szCs w:val="20"/>
              </w:rPr>
              <w:t>11/04/17</w:t>
            </w:r>
          </w:p>
        </w:tc>
        <w:tc>
          <w:tcPr>
            <w:tcW w:w="6378" w:type="dxa"/>
          </w:tcPr>
          <w:p w:rsidR="005174EB" w:rsidRDefault="00167DF1" w:rsidP="00167DF1">
            <w:pPr>
              <w:rPr>
                <w:rFonts w:ascii="Times New Roman" w:hAnsi="Times New Roman" w:cs="Times New Roman"/>
                <w:sz w:val="20"/>
                <w:szCs w:val="20"/>
              </w:rPr>
            </w:pPr>
            <w:r w:rsidRPr="00167DF1">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58" w:type="dxa"/>
          </w:tcPr>
          <w:p w:rsidR="005174EB" w:rsidRPr="00A746EB" w:rsidRDefault="00561CDD" w:rsidP="00561CDD">
            <w:pPr>
              <w:pStyle w:val="Tekstfusnote"/>
              <w:rPr>
                <w:rFonts w:ascii="Times New Roman" w:eastAsia="Calibri" w:hAnsi="Times New Roman" w:cs="Times New Roman"/>
                <w:color w:val="FF0000"/>
                <w:lang w:eastAsia="en-GB"/>
              </w:rPr>
            </w:pPr>
            <w:r w:rsidRPr="00011B31">
              <w:rPr>
                <w:rFonts w:ascii="Times New Roman" w:eastAsia="Calibri" w:hAnsi="Times New Roman" w:cs="Times New Roman"/>
                <w:color w:val="000000" w:themeColor="text1"/>
                <w:lang w:eastAsia="en-GB"/>
              </w:rPr>
              <w:t xml:space="preserve">Na pitanje ćemo odgovoriti nakon dodatnih konzultacija. </w:t>
            </w: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3" w:type="dxa"/>
          </w:tcPr>
          <w:p w:rsidR="00167DF1" w:rsidRDefault="00167DF1" w:rsidP="00CB38EE">
            <w:pPr>
              <w:rPr>
                <w:rFonts w:ascii="Times New Roman" w:hAnsi="Times New Roman" w:cs="Times New Roman"/>
                <w:sz w:val="20"/>
                <w:szCs w:val="20"/>
              </w:rPr>
            </w:pPr>
            <w:r>
              <w:rPr>
                <w:rFonts w:ascii="Times New Roman" w:hAnsi="Times New Roman" w:cs="Times New Roman"/>
                <w:sz w:val="20"/>
                <w:szCs w:val="20"/>
              </w:rPr>
              <w:t>13/04/17</w:t>
            </w:r>
          </w:p>
        </w:tc>
        <w:tc>
          <w:tcPr>
            <w:tcW w:w="6378" w:type="dxa"/>
          </w:tcPr>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Vezano na  provedbu projekata koji su se prijavili na trajni otvoreni poziv na dostavu projektnih prijedloga za dodjelu bespovratnih sredstava za „Povećanje </w:t>
            </w:r>
            <w:r w:rsidRPr="00167DF1">
              <w:rPr>
                <w:rFonts w:ascii="Times New Roman" w:eastAsia="Calibri" w:hAnsi="Times New Roman" w:cs="Times New Roman"/>
                <w:sz w:val="19"/>
                <w:szCs w:val="19"/>
                <w:lang w:eastAsia="en-GB"/>
              </w:rPr>
              <w:lastRenderedPageBreak/>
              <w:t>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subjekta (koji nisu povezani), a prema mišljenju NOJN-a mogu izvršiti predmet nabave.</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12. definirano je da NOJN otvara i ocjenjuje dostavljene ponude, o čemu se sastavlja zapisnik.</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20. NOJN svu komunikaciju u skladu s ovim pravilima obavlja slanjem telefaksom i/ili poštom i/ili elektroničkim putem ili kombinacijom tih sredstava.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Slijedom navedenoga pitanja su</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1.</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 xml:space="preserve">Da li se rok naveden u točki 9.1. odnosi i na postupke istraživanja tržišta, a imajući u vidu da se radi o predradnji početka postupka nabave, i da postupak nabave počinje slanjem Poziva. Ako da, na koji način se taj rok prati u slučaju </w:t>
            </w:r>
            <w:r w:rsidRPr="00167DF1">
              <w:rPr>
                <w:rFonts w:ascii="Times New Roman" w:eastAsia="Calibri" w:hAnsi="Times New Roman" w:cs="Times New Roman"/>
                <w:sz w:val="19"/>
                <w:szCs w:val="19"/>
                <w:lang w:eastAsia="en-GB"/>
              </w:rPr>
              <w:lastRenderedPageBreak/>
              <w:t>pretraživanja interneta?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2.</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3.</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S obzirom da je u fusnoti 3, točke 9.1. navedeno da se za svakog od 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4.</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Poziv na jednog gospodarskog subjekta šalje samo u slučajevima točke 4. alineje 2., 3,. 4. (iznimnim slučajevima)?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5.</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u slučaju definiranim točkom 4. alinejom 1, ukoliko postoje 3 potencijalna ponuditelja Poziv šalje na minimalno 3 ponuditelja? A u slučaju da samo jedan ponuditelj dostavi ponudu, ugovor se može sklopiti na temelju te samo jedne ponude?</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val="de-DE" w:eastAsia="en-GB"/>
              </w:rPr>
              <w:t>6.</w:t>
            </w:r>
            <w:r w:rsidRPr="00167DF1">
              <w:rPr>
                <w:rFonts w:ascii="Times New Roman" w:eastAsia="Calibri" w:hAnsi="Times New Roman" w:cs="Times New Roman"/>
                <w:sz w:val="14"/>
                <w:szCs w:val="14"/>
                <w:lang w:val="de-DE"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provede postupak istraživanja tržišta prema postupcima iz točke 4.2.?</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7.</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provodi postupak nabave prema postupcima iz točke 4.1.?</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8.</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provodi postupak nabave prema postupcima iz točke 4.1. ukoliko se Poziv dostavlja na samo jednog potencijalnog ponuditelja?</w:t>
            </w:r>
          </w:p>
          <w:p w:rsidR="00DB4E39" w:rsidRDefault="00DB4E39" w:rsidP="00167DF1">
            <w:pPr>
              <w:spacing w:before="100" w:beforeAutospacing="1" w:after="100" w:afterAutospacing="1"/>
              <w:rPr>
                <w:rFonts w:ascii="Times New Roman" w:eastAsia="Calibri" w:hAnsi="Times New Roman" w:cs="Times New Roman"/>
                <w:sz w:val="19"/>
                <w:szCs w:val="19"/>
                <w:lang w:eastAsia="en-GB"/>
              </w:rPr>
            </w:pP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lastRenderedPageBreak/>
              <w:t>9.</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odnose </w:t>
            </w:r>
            <w:r w:rsidRPr="00E83B7E">
              <w:rPr>
                <w:rFonts w:ascii="Times New Roman" w:eastAsia="Calibri" w:hAnsi="Times New Roman" w:cs="Times New Roman"/>
                <w:sz w:val="19"/>
                <w:szCs w:val="19"/>
                <w:u w:val="single"/>
                <w:lang w:eastAsia="en-GB"/>
              </w:rPr>
              <w:t>samo</w:t>
            </w:r>
            <w:r w:rsidRPr="00E83B7E">
              <w:rPr>
                <w:rFonts w:ascii="Times New Roman" w:eastAsia="Calibri" w:hAnsi="Times New Roman" w:cs="Times New Roman"/>
                <w:sz w:val="19"/>
                <w:szCs w:val="19"/>
                <w:lang w:eastAsia="en-GB"/>
              </w:rPr>
              <w:t> na postupak nabave koja se provodi temeljem točke 5. kada je ukupna procijenjena vrijednost nabave roba ili usluga iznad 500.000,00 kuna, odnosno radova iznad 1.000.000,00 kuna te se objavljuje se Obavijest o nabavi?</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10.</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pisana obavijest o odabranom ponuditelju iz točke 17. dostavlja svim subjektima koji su dostavili ponudu i u slučaju zaprimljenih ponuda tijekom istraživanja tržišta? Ili se to odnosi samo na one subjekte koji dostave ponudu temeljem zaprimljenog Poziva iz točke 4.1 i koji dostave ponudu temeljem točke 5.?</w:t>
            </w:r>
          </w:p>
          <w:p w:rsidR="00167DF1" w:rsidRPr="00A119CD" w:rsidRDefault="00167DF1" w:rsidP="00167DF1">
            <w:pPr>
              <w:spacing w:before="100" w:beforeAutospacing="1" w:after="100" w:afterAutospacing="1"/>
              <w:rPr>
                <w:rFonts w:ascii="Times New Roman" w:hAnsi="Times New Roman" w:cs="Times New Roman"/>
                <w:sz w:val="20"/>
                <w:szCs w:val="20"/>
              </w:rPr>
            </w:pPr>
            <w:r w:rsidRPr="00E83B7E">
              <w:rPr>
                <w:rFonts w:ascii="Times New Roman" w:eastAsia="Calibri" w:hAnsi="Times New Roman" w:cs="Times New Roman"/>
                <w:sz w:val="19"/>
                <w:szCs w:val="19"/>
                <w:lang w:eastAsia="en-GB"/>
              </w:rPr>
              <w:t>11.</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58" w:type="dxa"/>
          </w:tcPr>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 </w:t>
            </w:r>
            <w:r w:rsidRPr="00DB4E39">
              <w:rPr>
                <w:rFonts w:ascii="Times New Roman" w:eastAsia="Calibri" w:hAnsi="Times New Roman" w:cs="Times New Roman"/>
                <w:color w:val="000000" w:themeColor="text1"/>
                <w:lang w:eastAsia="en-GB"/>
              </w:rPr>
              <w:t xml:space="preserve">Navedeni rok uzima se samo kada se šalje Poziv za dostavu ponuda, nakon </w:t>
            </w:r>
            <w:r>
              <w:rPr>
                <w:rFonts w:ascii="Times New Roman" w:eastAsia="Calibri" w:hAnsi="Times New Roman" w:cs="Times New Roman"/>
                <w:color w:val="000000" w:themeColor="text1"/>
                <w:lang w:eastAsia="en-GB"/>
              </w:rPr>
              <w:t>obavljenog istraživanja tržišta</w:t>
            </w:r>
            <w:r w:rsidRPr="00DB4E39">
              <w:rPr>
                <w:rFonts w:ascii="Times New Roman" w:eastAsia="Calibri" w:hAnsi="Times New Roman" w:cs="Times New Roman"/>
                <w:color w:val="000000" w:themeColor="text1"/>
                <w:lang w:eastAsia="en-GB"/>
              </w:rPr>
              <w:t>.</w:t>
            </w: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2. </w:t>
            </w:r>
            <w:r w:rsidRPr="00DB4E39">
              <w:rPr>
                <w:rFonts w:ascii="Times New Roman" w:eastAsia="Calibri" w:hAnsi="Times New Roman" w:cs="Times New Roman"/>
                <w:color w:val="000000" w:themeColor="text1"/>
                <w:lang w:eastAsia="en-GB"/>
              </w:rPr>
              <w:t xml:space="preserve">U slučaju da se ne prikupe 3 odgovora, potrebno je dokazati da su upiti </w:t>
            </w:r>
            <w:r w:rsidRPr="00DB4E39">
              <w:rPr>
                <w:rFonts w:ascii="Times New Roman" w:eastAsia="Calibri" w:hAnsi="Times New Roman" w:cs="Times New Roman"/>
                <w:color w:val="000000" w:themeColor="text1"/>
                <w:lang w:eastAsia="en-GB"/>
              </w:rPr>
              <w:lastRenderedPageBreak/>
              <w:t>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3. </w:t>
            </w:r>
            <w:r w:rsidRPr="00DB4E39">
              <w:rPr>
                <w:rFonts w:ascii="Times New Roman" w:eastAsia="Calibri" w:hAnsi="Times New Roman" w:cs="Times New Roman"/>
                <w:color w:val="000000" w:themeColor="text1"/>
                <w:lang w:eastAsia="en-GB"/>
              </w:rPr>
              <w:t>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rok vezan uz poziv na dostavu ponude (koji se u pravilu šalje na jednog gospodarskog subjekta, a ne najmanje tri kako stoji u fusnoti).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4. </w:t>
            </w:r>
            <w:r w:rsidRPr="00DB4E39">
              <w:rPr>
                <w:rFonts w:ascii="Times New Roman" w:eastAsia="Calibri" w:hAnsi="Times New Roman" w:cs="Times New Roman"/>
                <w:color w:val="000000" w:themeColor="text1"/>
                <w:lang w:eastAsia="en-GB"/>
              </w:rPr>
              <w:t>Da, takvo postupanje dopušteno je samo u iznimnim slučajevima koji su objašnjeni u navedenim točkama.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5. </w:t>
            </w:r>
            <w:r w:rsidRPr="00DB4E39">
              <w:rPr>
                <w:rFonts w:ascii="Times New Roman" w:eastAsia="Calibri" w:hAnsi="Times New Roman" w:cs="Times New Roman"/>
                <w:color w:val="000000" w:themeColor="text1"/>
                <w:lang w:eastAsia="en-GB"/>
              </w:rPr>
              <w:t>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6., 7. i 8. </w:t>
            </w:r>
            <w:r w:rsidRPr="00DB4E39">
              <w:rPr>
                <w:rFonts w:ascii="Times New Roman" w:eastAsia="Calibri" w:hAnsi="Times New Roman" w:cs="Times New Roman"/>
                <w:color w:val="000000" w:themeColor="text1"/>
                <w:lang w:eastAsia="en-GB"/>
              </w:rPr>
              <w:t xml:space="preserve">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5C483C" w:rsidRPr="00DB4E39" w:rsidRDefault="005C483C"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lastRenderedPageBreak/>
              <w:t xml:space="preserve">9. </w:t>
            </w:r>
            <w:r w:rsidRPr="00DB4E39">
              <w:rPr>
                <w:rFonts w:ascii="Times New Roman" w:eastAsia="Calibri" w:hAnsi="Times New Roman" w:cs="Times New Roman"/>
                <w:color w:val="000000" w:themeColor="text1"/>
                <w:lang w:eastAsia="en-GB"/>
              </w:rPr>
              <w:t>Da, postupci iz točke 12 odnose se samo na postupak nabave koja se provodi temeljem točke 5 (Obavijest o nabavi).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10. </w:t>
            </w:r>
            <w:r w:rsidRPr="00DB4E39">
              <w:rPr>
                <w:rFonts w:ascii="Times New Roman" w:eastAsia="Calibri" w:hAnsi="Times New Roman" w:cs="Times New Roman"/>
                <w:color w:val="000000" w:themeColor="text1"/>
                <w:lang w:eastAsia="en-GB"/>
              </w:rPr>
              <w:t xml:space="preserve">Odluka o odabiru dostavlja se samo u slučaju kada se nabava provodi prema postupku Obavijest o nabavi. U tom slučaju, potrebno ju je dostaviti svim gospodarskim subjektima koji su dostavili ponudu. </w:t>
            </w:r>
          </w:p>
          <w:p w:rsidR="00DB4E39" w:rsidRPr="00DB4E39" w:rsidRDefault="00DB4E39" w:rsidP="00DB4E39">
            <w:pPr>
              <w:pStyle w:val="Tekstfusnote"/>
              <w:rPr>
                <w:rFonts w:ascii="Times New Roman" w:eastAsia="Calibri" w:hAnsi="Times New Roman" w:cs="Times New Roman"/>
                <w:color w:val="000000" w:themeColor="text1"/>
                <w:lang w:eastAsia="en-GB"/>
              </w:rPr>
            </w:pPr>
            <w:r w:rsidRPr="00DB4E39">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11. </w:t>
            </w:r>
            <w:r w:rsidRPr="00DB4E39">
              <w:rPr>
                <w:rFonts w:ascii="Times New Roman" w:eastAsia="Calibri" w:hAnsi="Times New Roman" w:cs="Times New Roman"/>
                <w:color w:val="000000" w:themeColor="text1"/>
                <w:lang w:eastAsia="en-GB"/>
              </w:rPr>
              <w:t>U navedenom slučaju odgovor Naručitelju da je zaprimio e-mail poruku može se smatrati trenutkom obavljene dostave.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574A8C" w:rsidRDefault="00DB4E39" w:rsidP="005E4988">
            <w:pPr>
              <w:pStyle w:val="Tekstfusnote"/>
              <w:rPr>
                <w:rFonts w:ascii="Times New Roman" w:eastAsia="Calibri" w:hAnsi="Times New Roman" w:cs="Times New Roman"/>
                <w:color w:val="000000" w:themeColor="text1"/>
                <w:lang w:eastAsia="en-GB"/>
              </w:rPr>
            </w:pP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3" w:type="dxa"/>
          </w:tcPr>
          <w:p w:rsidR="00167DF1" w:rsidRDefault="00E83B7E" w:rsidP="00CB38EE">
            <w:pPr>
              <w:rPr>
                <w:rFonts w:ascii="Times New Roman" w:hAnsi="Times New Roman" w:cs="Times New Roman"/>
                <w:sz w:val="20"/>
                <w:szCs w:val="20"/>
              </w:rPr>
            </w:pPr>
            <w:r>
              <w:rPr>
                <w:rFonts w:ascii="Times New Roman" w:hAnsi="Times New Roman" w:cs="Times New Roman"/>
                <w:sz w:val="20"/>
                <w:szCs w:val="20"/>
              </w:rPr>
              <w:t>14/04/17</w:t>
            </w:r>
          </w:p>
        </w:tc>
        <w:tc>
          <w:tcPr>
            <w:tcW w:w="6378" w:type="dxa"/>
          </w:tcPr>
          <w:p w:rsidR="00167DF1" w:rsidRDefault="00E83B7E" w:rsidP="00661DCE">
            <w:pPr>
              <w:rPr>
                <w:rFonts w:ascii="Times New Roman" w:hAnsi="Times New Roman" w:cs="Times New Roman"/>
                <w:sz w:val="20"/>
                <w:szCs w:val="20"/>
              </w:rPr>
            </w:pPr>
            <w:r w:rsidRPr="00E83B7E">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58" w:type="dxa"/>
          </w:tcPr>
          <w:p w:rsidR="00167DF1" w:rsidRPr="00574A8C" w:rsidRDefault="00A119CD" w:rsidP="00254F99">
            <w:pPr>
              <w:pStyle w:val="Tekstfusnote"/>
              <w:rPr>
                <w:rFonts w:ascii="Times New Roman" w:eastAsia="Calibri" w:hAnsi="Times New Roman" w:cs="Times New Roman"/>
                <w:color w:val="000000" w:themeColor="text1"/>
                <w:lang w:eastAsia="en-GB"/>
              </w:rPr>
            </w:pPr>
            <w:r w:rsidRPr="00A119CD">
              <w:rPr>
                <w:rFonts w:ascii="Times New Roman" w:eastAsia="Calibri" w:hAnsi="Times New Roman" w:cs="Times New Roman"/>
                <w:color w:val="000000" w:themeColor="text1"/>
                <w:lang w:eastAsia="en-GB"/>
              </w:rPr>
              <w:t xml:space="preserve">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w:t>
            </w:r>
            <w:r w:rsidR="00254F99">
              <w:rPr>
                <w:rFonts w:ascii="Times New Roman" w:eastAsia="Calibri" w:hAnsi="Times New Roman" w:cs="Times New Roman"/>
                <w:color w:val="000000" w:themeColor="text1"/>
                <w:lang w:eastAsia="en-GB"/>
              </w:rPr>
              <w:t>procjenitelji</w:t>
            </w:r>
            <w:r w:rsidRPr="00A119CD">
              <w:rPr>
                <w:rFonts w:ascii="Times New Roman" w:eastAsia="Calibri" w:hAnsi="Times New Roman" w:cs="Times New Roman"/>
                <w:color w:val="000000" w:themeColor="text1"/>
                <w:lang w:eastAsia="en-GB"/>
              </w:rPr>
              <w:t>, dok u skladu s njihovim nalozima i ostalim propisima provjeru prihvatljivosti izdataka vrši Posredničkog tijelo razine 2. Opravdanost konkretnog troška nije moguće procijeniti bez uvida u sadržaj i ciljeve projektnog prijedloga</w:t>
            </w:r>
          </w:p>
        </w:tc>
      </w:tr>
      <w:tr w:rsidR="00332721" w:rsidRPr="00ED1BB1" w:rsidTr="00CB38EE">
        <w:trPr>
          <w:gridAfter w:val="1"/>
          <w:wAfter w:w="6" w:type="dxa"/>
          <w:trHeight w:val="20"/>
        </w:trPr>
        <w:tc>
          <w:tcPr>
            <w:tcW w:w="566" w:type="dxa"/>
          </w:tcPr>
          <w:p w:rsidR="00332721" w:rsidRDefault="00332721" w:rsidP="00CB38EE">
            <w:pPr>
              <w:pStyle w:val="Odlomakpopisa"/>
              <w:numPr>
                <w:ilvl w:val="0"/>
                <w:numId w:val="1"/>
              </w:numPr>
              <w:ind w:left="142" w:hanging="218"/>
              <w:rPr>
                <w:rFonts w:ascii="Times New Roman" w:hAnsi="Times New Roman" w:cs="Times New Roman"/>
                <w:sz w:val="20"/>
                <w:szCs w:val="20"/>
              </w:rPr>
            </w:pPr>
          </w:p>
        </w:tc>
        <w:tc>
          <w:tcPr>
            <w:tcW w:w="993"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14/04/17</w:t>
            </w:r>
          </w:p>
        </w:tc>
        <w:tc>
          <w:tcPr>
            <w:tcW w:w="6378"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58" w:type="dxa"/>
          </w:tcPr>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FA04EC" w:rsidRPr="00FD71A9" w:rsidRDefault="00FA04EC" w:rsidP="00FA04EC">
            <w:pPr>
              <w:pStyle w:val="Tekstfusnote"/>
              <w:rPr>
                <w:rFonts w:ascii="Times New Roman" w:eastAsia="Calibri" w:hAnsi="Times New Roman" w:cs="Times New Roman"/>
                <w:color w:val="000000" w:themeColor="text1"/>
                <w:lang w:eastAsia="en-GB"/>
              </w:rPr>
            </w:pP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w:t>
            </w:r>
            <w:r w:rsidRPr="00FD71A9">
              <w:rPr>
                <w:rFonts w:ascii="Times New Roman" w:eastAsia="Calibri" w:hAnsi="Times New Roman" w:cs="Times New Roman"/>
                <w:color w:val="000000" w:themeColor="text1"/>
                <w:lang w:eastAsia="en-GB"/>
              </w:rPr>
              <w:lastRenderedPageBreak/>
              <w:t xml:space="preserve">koje se dodjeljuje potpora temeljem ovog Poziva. </w:t>
            </w:r>
          </w:p>
          <w:p w:rsidR="00332721"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Ukoliko se radi o organizacijama za istraživanje i širenje znanja prihvatljivi su isključivo troškovi dnevnica, smještaja i putovanja koji su povezani sa aktivnostima istraživanja i razvoja za koje se dodjeljuje potpora temeljem ovog Poziva</w:t>
            </w:r>
          </w:p>
        </w:tc>
      </w:tr>
    </w:tbl>
    <w:p w:rsidR="00EB3EF3" w:rsidRPr="00237DA6" w:rsidRDefault="00EB3EF3" w:rsidP="00345CFB">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9F" w:rsidRDefault="00F80F9F" w:rsidP="00A93112">
      <w:pPr>
        <w:spacing w:after="0" w:line="240" w:lineRule="auto"/>
      </w:pPr>
      <w:r>
        <w:separator/>
      </w:r>
    </w:p>
  </w:endnote>
  <w:endnote w:type="continuationSeparator" w:id="0">
    <w:p w:rsidR="00F80F9F" w:rsidRDefault="00F80F9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jc w:val="right"/>
    </w:pPr>
  </w:p>
  <w:p w:rsidR="00332721" w:rsidRDefault="003327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pPr>
  </w:p>
  <w:p w:rsidR="00332721" w:rsidRDefault="0033272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32721" w:rsidRDefault="0033272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9F" w:rsidRDefault="00F80F9F" w:rsidP="00A93112">
      <w:pPr>
        <w:spacing w:after="0" w:line="240" w:lineRule="auto"/>
      </w:pPr>
      <w:r>
        <w:separator/>
      </w:r>
    </w:p>
  </w:footnote>
  <w:footnote w:type="continuationSeparator" w:id="0">
    <w:p w:rsidR="00F80F9F" w:rsidRDefault="00F80F9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Zaglavlje"/>
      <w:jc w:val="right"/>
    </w:pPr>
  </w:p>
  <w:p w:rsidR="00332721" w:rsidRDefault="003327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332721" w:rsidRPr="00855C20" w:rsidTr="00A35068">
      <w:trPr>
        <w:trHeight w:val="903"/>
      </w:trPr>
      <w:tc>
        <w:tcPr>
          <w:tcW w:w="0" w:type="auto"/>
          <w:tcMar>
            <w:top w:w="0" w:type="dxa"/>
            <w:left w:w="108" w:type="dxa"/>
            <w:bottom w:w="0" w:type="dxa"/>
            <w:right w:w="108" w:type="dxa"/>
          </w:tcMar>
          <w:hideMark/>
        </w:tcPr>
        <w:p w:rsidR="00332721" w:rsidRDefault="00332721"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332721" w:rsidRPr="00855C20" w:rsidRDefault="0033272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332721" w:rsidRDefault="0033272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562C"/>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00"/>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B22"/>
    <w:rsid w:val="00171F6C"/>
    <w:rsid w:val="00172281"/>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09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1CDD"/>
    <w:rsid w:val="005628BE"/>
    <w:rsid w:val="00562EBA"/>
    <w:rsid w:val="005640E3"/>
    <w:rsid w:val="00564478"/>
    <w:rsid w:val="00566516"/>
    <w:rsid w:val="00571493"/>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483C"/>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BA8"/>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1C69"/>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9CD"/>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3B7E"/>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9597-D2DB-4E10-8AB7-B8687114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213</Pages>
  <Words>102952</Words>
  <Characters>586830</Characters>
  <Application>Microsoft Office Word</Application>
  <DocSecurity>0</DocSecurity>
  <Lines>4890</Lines>
  <Paragraphs>1376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2017-04-26T14:01:00Z</dcterms:created>
  <dcterms:modified xsi:type="dcterms:W3CDTF">2017-04-26T14:01:00Z</dcterms:modified>
</cp:coreProperties>
</file>