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</w:t>
      </w:r>
      <w:r w:rsidR="00AA5051">
        <w:rPr>
          <w:b/>
        </w:rPr>
        <w:t>PARTNERSTVU U PROVEDBI 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</w:p>
    <w:p w:rsidR="001B18D9" w:rsidRDefault="00AA5051" w:rsidP="001B18D9">
      <w:pPr>
        <w:spacing w:after="0"/>
        <w:jc w:val="center"/>
      </w:pPr>
      <w:r>
        <w:t>(NAZIV PROJEKTA</w:t>
      </w:r>
      <w:r w:rsidR="001B18D9">
        <w:t>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A560F8">
        <w:rPr>
          <w:b/>
        </w:rPr>
        <w:t xml:space="preserve"> Širenje usluge osobne asistencije za osobe s invaliditetom </w:t>
      </w:r>
      <w:r w:rsidRPr="002A5532">
        <w:rPr>
          <w:b/>
          <w:shd w:val="clear" w:color="auto" w:fill="FFFFFF" w:themeFill="background1"/>
        </w:rPr>
        <w:t>)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A24FF1" w:rsidRDefault="000363D6" w:rsidP="00A560F8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</w:t>
      </w:r>
      <w:r w:rsidR="00AA5051">
        <w:t>andidirali za provedbu projekta</w:t>
      </w:r>
      <w:r>
        <w:t xml:space="preserve"> (</w:t>
      </w:r>
      <w:r w:rsidR="00AA5051">
        <w:rPr>
          <w:shd w:val="clear" w:color="auto" w:fill="D9D9D9" w:themeFill="background1" w:themeFillShade="D9"/>
        </w:rPr>
        <w:t>NAZIV PROJEKTA</w:t>
      </w:r>
      <w:r w:rsidR="00AA5051">
        <w:t>) (u nastavku: projekt</w:t>
      </w:r>
      <w:r>
        <w:t>), koja se provodi u okvir</w:t>
      </w:r>
      <w:r w:rsidR="009201B4">
        <w:t xml:space="preserve">u </w:t>
      </w:r>
      <w:r>
        <w:t>Poziv</w:t>
      </w:r>
      <w:r w:rsidR="009201B4">
        <w:t>a</w:t>
      </w:r>
      <w:r>
        <w:t xml:space="preserve"> na do</w:t>
      </w:r>
      <w:r w:rsidR="004A02F0">
        <w:t>stavu projektnih prijedloga</w:t>
      </w:r>
      <w:r w:rsidR="00647487">
        <w:t xml:space="preserve"> </w:t>
      </w:r>
      <w:r w:rsidR="007D53D2">
        <w:t>„</w:t>
      </w:r>
      <w:r w:rsidR="00A560F8" w:rsidRPr="00A560F8">
        <w:t>Širenje usluge osobne asistencije za osobe s invaliditetom</w:t>
      </w:r>
      <w:r w:rsidR="007D53D2">
        <w:t>“</w:t>
      </w:r>
      <w:r w:rsidR="009201B4">
        <w:t xml:space="preserve">  (u nastavku: P</w:t>
      </w:r>
      <w:r>
        <w:t xml:space="preserve">oziv na dostavu projektnih </w:t>
      </w: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661332" w:rsidRDefault="00661332" w:rsidP="00A24FF1">
      <w:pPr>
        <w:pStyle w:val="ListParagraph"/>
        <w:spacing w:after="0"/>
        <w:ind w:left="1065"/>
        <w:jc w:val="both"/>
      </w:pPr>
    </w:p>
    <w:p w:rsidR="00661332" w:rsidRDefault="00661332" w:rsidP="00A24FF1">
      <w:pPr>
        <w:pStyle w:val="ListParagraph"/>
        <w:spacing w:after="0"/>
        <w:ind w:left="1065"/>
        <w:jc w:val="both"/>
      </w:pPr>
      <w:bookmarkStart w:id="0" w:name="_GoBack"/>
      <w:bookmarkEnd w:id="0"/>
    </w:p>
    <w:p w:rsidR="000363D6" w:rsidRDefault="000363D6" w:rsidP="00A24FF1">
      <w:pPr>
        <w:pStyle w:val="ListParagraph"/>
        <w:spacing w:after="0"/>
        <w:ind w:left="1065"/>
        <w:jc w:val="both"/>
      </w:pPr>
      <w:r>
        <w:t>pr</w:t>
      </w:r>
      <w:r w:rsidR="009201B4">
        <w:t xml:space="preserve">ijedloga) u kojemu Ministarstvo socijalne politike i mladih RH </w:t>
      </w:r>
      <w:r>
        <w:t xml:space="preserve"> nastupa u ulozi posredničkog tijela prve razine</w:t>
      </w:r>
      <w:r w:rsidR="00D86640">
        <w:t xml:space="preserve"> (u nastavku: PT1) </w:t>
      </w:r>
      <w:r>
        <w:t xml:space="preserve">, a </w:t>
      </w:r>
      <w:r w:rsidR="00D86640">
        <w:t xml:space="preserve">Hrvatski zavod za zapošljavanje – Ured za financiranje i ugovaranje projekata Europske unije </w:t>
      </w:r>
      <w:r>
        <w:t>(</w:t>
      </w:r>
      <w:r w:rsidR="00D86640">
        <w:t>u nastavku</w:t>
      </w:r>
      <w:r w:rsidR="00D86640" w:rsidRPr="00D86640">
        <w:t xml:space="preserve">: </w:t>
      </w:r>
      <w:r w:rsidRPr="00D86640">
        <w:t>PT2)</w:t>
      </w:r>
      <w:r>
        <w:t xml:space="preserve"> u ulozi provoditelja poziva na dostavu projektnih prijedloga. Poziv na dostavu projektnih prijedloga provodi se u okviru</w:t>
      </w:r>
      <w:r w:rsidR="00D86640">
        <w:t xml:space="preserve"> P</w:t>
      </w:r>
      <w:r w:rsidR="00855067">
        <w:t>rioritetne osi</w:t>
      </w:r>
      <w:r w:rsidR="00D86640">
        <w:t xml:space="preserve"> 2 - </w:t>
      </w:r>
      <w:r w:rsidR="00D86640" w:rsidRPr="004B3AEF">
        <w:t>Jačanje socijalnog uključivanja i integracije osoba u nepovoljnom položaju</w:t>
      </w:r>
      <w:r>
        <w:t xml:space="preserve"> </w:t>
      </w:r>
      <w:r w:rsidR="0000622D">
        <w:t>Operativnog programa „Razvoj ljudskih potencijala“ 2007.-2013.;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2A5532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bespovratnih </w:t>
      </w:r>
      <w:r w:rsidR="00A5172F" w:rsidRPr="002A5532">
        <w:rPr>
          <w:shd w:val="clear" w:color="auto" w:fill="FFFFFF" w:themeFill="background1"/>
        </w:rPr>
        <w:t>sredstava</w:t>
      </w:r>
      <w:r w:rsidR="0000622D" w:rsidRPr="002A5532">
        <w:rPr>
          <w:shd w:val="clear" w:color="auto" w:fill="FFFFFF" w:themeFill="background1"/>
        </w:rPr>
        <w:t xml:space="preserve"> s PT1 i PT2;</w:t>
      </w:r>
    </w:p>
    <w:p w:rsidR="0098751E" w:rsidRPr="00D86640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D86640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</w:t>
      </w:r>
      <w:r w:rsidR="00D86640" w:rsidRPr="00D86640">
        <w:t xml:space="preserve">imjenjuju i na njegove partnere, 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prihvaćaju Sporazum o partnerstvu s cilj</w:t>
      </w:r>
      <w:r w:rsidR="006762BA">
        <w:t>em dogovora o provedbi 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00622D" w:rsidRDefault="0000622D" w:rsidP="0000622D">
      <w:pPr>
        <w:spacing w:after="0"/>
        <w:jc w:val="both"/>
      </w:pPr>
    </w:p>
    <w:p w:rsidR="0000622D" w:rsidRDefault="0000622D" w:rsidP="0000622D">
      <w:pPr>
        <w:spacing w:after="0"/>
        <w:jc w:val="center"/>
      </w:pPr>
      <w:r>
        <w:t>Članak 2.</w:t>
      </w:r>
    </w:p>
    <w:p w:rsidR="00E67549" w:rsidRDefault="0092687E" w:rsidP="0000622D">
      <w:pPr>
        <w:spacing w:after="0"/>
        <w:jc w:val="center"/>
      </w:pPr>
      <w:r>
        <w:t>P</w:t>
      </w:r>
      <w:r w:rsidR="00683E2A">
        <w:t>redmet S</w:t>
      </w:r>
      <w:r>
        <w:t>porazuma</w:t>
      </w:r>
    </w:p>
    <w:p w:rsidR="0000622D" w:rsidRDefault="00AA12CA" w:rsidP="00AA12CA">
      <w:pPr>
        <w:pStyle w:val="ListParagraph"/>
        <w:numPr>
          <w:ilvl w:val="0"/>
          <w:numId w:val="2"/>
        </w:numPr>
        <w:spacing w:after="0"/>
        <w:jc w:val="both"/>
      </w:pPr>
      <w:r>
        <w:t>Predmet ovog Sporazuma je provedba</w:t>
      </w:r>
      <w:r w:rsidR="00C4070A">
        <w:t xml:space="preserve"> </w:t>
      </w:r>
      <w:r w:rsidR="006762BA">
        <w:t xml:space="preserve">projekta 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>) u okviru Poziv</w:t>
      </w:r>
      <w:r w:rsidR="009201B4">
        <w:t>a</w:t>
      </w:r>
      <w:r>
        <w:t xml:space="preserve"> na d</w:t>
      </w:r>
      <w:r w:rsidR="0014362B">
        <w:t xml:space="preserve">ostavu projektnih prijedloga </w:t>
      </w:r>
    </w:p>
    <w:p w:rsidR="00AA12CA" w:rsidRDefault="00AA12CA" w:rsidP="00AA12CA">
      <w:pPr>
        <w:spacing w:after="0"/>
      </w:pPr>
    </w:p>
    <w:p w:rsidR="00AA12CA" w:rsidRDefault="00AA12CA" w:rsidP="00AA12CA">
      <w:pPr>
        <w:spacing w:after="0"/>
        <w:jc w:val="center"/>
      </w:pPr>
      <w:r>
        <w:t>Članak 3.</w:t>
      </w:r>
    </w:p>
    <w:p w:rsidR="00E67549" w:rsidRDefault="0092687E" w:rsidP="00E67549">
      <w:pPr>
        <w:spacing w:after="0"/>
        <w:jc w:val="center"/>
      </w:pPr>
      <w:r>
        <w:t>C</w:t>
      </w:r>
      <w:r w:rsidR="00AA5051">
        <w:t>iljevi projekta</w:t>
      </w:r>
    </w:p>
    <w:p w:rsidR="00AA12CA" w:rsidRDefault="00AA12CA" w:rsidP="00AA12CA">
      <w:pPr>
        <w:pStyle w:val="ListParagraph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6762BA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:rsidR="00AA12CA" w:rsidRDefault="003C3656" w:rsidP="00AA12CA">
      <w:pPr>
        <w:pStyle w:val="ListParagraph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Priloga XXIII. </w:t>
      </w:r>
      <w:r w:rsidR="00AA12CA">
        <w:t xml:space="preserve">Uredbe </w:t>
      </w:r>
      <w:r w:rsidR="009369C1">
        <w:t>Komisije (EZ) br. 1828/2006</w:t>
      </w:r>
      <w:r w:rsidR="006762BA">
        <w:t xml:space="preserve"> korisnik će na razini projekta</w:t>
      </w:r>
      <w:r>
        <w:t xml:space="preserve"> pratiti i podatke o sudionicima</w:t>
      </w:r>
      <w:r w:rsidR="006762BA">
        <w:t xml:space="preserve"> u projektu</w:t>
      </w:r>
      <w:r w:rsidR="00855067">
        <w:t xml:space="preserve"> i to: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Default="00855067" w:rsidP="00855067">
      <w:pPr>
        <w:pStyle w:val="ListParagraph"/>
        <w:numPr>
          <w:ilvl w:val="0"/>
          <w:numId w:val="3"/>
        </w:numPr>
        <w:spacing w:after="0"/>
      </w:pPr>
      <w:r>
        <w:t xml:space="preserve">Korisnik će podatke </w:t>
      </w:r>
      <w:r w:rsidR="001E6B23">
        <w:t xml:space="preserve">iz stavka </w:t>
      </w:r>
      <w:r w:rsidR="00E25264">
        <w:t>2</w:t>
      </w:r>
      <w:r w:rsidR="001E6B23">
        <w:t xml:space="preserve">. </w:t>
      </w:r>
      <w:r>
        <w:t>pros</w:t>
      </w:r>
      <w:r w:rsidR="00100CDC">
        <w:t xml:space="preserve">ljeđivati </w:t>
      </w:r>
      <w:r w:rsidR="00100CDC" w:rsidRPr="002A5532">
        <w:rPr>
          <w:shd w:val="clear" w:color="auto" w:fill="FFFFFF" w:themeFill="background1"/>
        </w:rPr>
        <w:t>PT</w:t>
      </w:r>
      <w:r w:rsidR="00E25264" w:rsidRPr="002A5532">
        <w:rPr>
          <w:shd w:val="clear" w:color="auto" w:fill="FFFFFF" w:themeFill="background1"/>
        </w:rPr>
        <w:t>2 i PT1 (na znanje),</w:t>
      </w:r>
      <w:r w:rsidR="00E25264">
        <w:rPr>
          <w:shd w:val="clear" w:color="auto" w:fill="FFFFFF" w:themeFill="background1"/>
        </w:rPr>
        <w:t xml:space="preserve"> a </w:t>
      </w:r>
      <w:r w:rsidRPr="002A5532">
        <w:rPr>
          <w:shd w:val="clear" w:color="auto" w:fill="FFFFFF" w:themeFill="background1"/>
        </w:rPr>
        <w:t xml:space="preserve"> </w:t>
      </w:r>
      <w:r>
        <w:t xml:space="preserve">u skladu s uputama </w:t>
      </w:r>
      <w:r w:rsidR="00E25264">
        <w:t xml:space="preserve">navedenim u članku 8. Ugovora   </w:t>
      </w: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:rsidR="00855067" w:rsidRDefault="00855067" w:rsidP="00E67549">
      <w:pPr>
        <w:pStyle w:val="ListParagraph"/>
        <w:spacing w:after="0"/>
      </w:pPr>
    </w:p>
    <w:p w:rsidR="00E67549" w:rsidRDefault="00E67549" w:rsidP="00E67549">
      <w:pPr>
        <w:pStyle w:val="ListParagraph"/>
        <w:spacing w:after="0"/>
        <w:jc w:val="center"/>
      </w:pPr>
      <w:r>
        <w:t>Članak 4.</w:t>
      </w:r>
    </w:p>
    <w:p w:rsidR="00683E2A" w:rsidRDefault="0092687E" w:rsidP="00E67549">
      <w:pPr>
        <w:pStyle w:val="ListParagraph"/>
        <w:spacing w:after="0"/>
        <w:jc w:val="center"/>
      </w:pPr>
      <w:r>
        <w:t>P</w:t>
      </w:r>
      <w:r w:rsidR="00683E2A">
        <w:t>rihvatljivi troškovi</w:t>
      </w:r>
    </w:p>
    <w:p w:rsidR="00683E2A" w:rsidRDefault="00683E2A" w:rsidP="00683E2A">
      <w:pPr>
        <w:pStyle w:val="ListParagraph"/>
        <w:numPr>
          <w:ilvl w:val="0"/>
          <w:numId w:val="6"/>
        </w:numPr>
        <w:spacing w:after="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neposred</w:t>
      </w:r>
      <w:r w:rsidR="001E6B23">
        <w:t>n</w:t>
      </w:r>
      <w:r w:rsidR="00AA5051">
        <w:t>o povezani s provedbom projekta</w:t>
      </w:r>
      <w:r>
        <w:t xml:space="preserve">, u skladu s </w:t>
      </w:r>
      <w:r w:rsidR="00AA5051">
        <w:t>njegovim</w:t>
      </w:r>
      <w:r w:rsidR="001E6B23">
        <w:t xml:space="preserve"> </w:t>
      </w:r>
      <w:r>
        <w:t>ciljevima i definirani u Ugovoru o dodjeli bespovratnih sredstava,</w:t>
      </w:r>
    </w:p>
    <w:p w:rsidR="00444DC3" w:rsidRDefault="00E4798F" w:rsidP="00444DC3">
      <w:pPr>
        <w:pStyle w:val="ListParagraph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u skladu s važećim pravilima Zajednice i nacionalnim pravilima</w:t>
      </w:r>
      <w:r w:rsidR="002F79D9"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Default="006762BA" w:rsidP="001E6B23">
      <w:pPr>
        <w:pStyle w:val="ListParagraph"/>
        <w:numPr>
          <w:ilvl w:val="0"/>
          <w:numId w:val="6"/>
        </w:numPr>
        <w:spacing w:after="0" w:line="240" w:lineRule="auto"/>
      </w:pPr>
      <w:r>
        <w:t>U okviru projekta</w:t>
      </w:r>
      <w:r w:rsidR="001E6B23">
        <w:t xml:space="preserve"> prihvatljivi su sljedeći troškovi: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 w:rsidRPr="005C7884">
        <w:rPr>
          <w:shd w:val="clear" w:color="auto" w:fill="D9D9D9" w:themeFill="background1" w:themeFillShade="D9"/>
        </w:rP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…</w:t>
      </w:r>
    </w:p>
    <w:p w:rsidR="002F79D9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Temelj za prihvatljivost troškov</w:t>
      </w:r>
      <w:r w:rsidR="006762BA">
        <w:t>a je odobreni proračun projekta</w:t>
      </w:r>
      <w:r>
        <w:t xml:space="preserve"> </w:t>
      </w:r>
      <w:r w:rsidR="006762BA">
        <w:t xml:space="preserve"> </w:t>
      </w:r>
      <w:r>
        <w:t>koji je prilog ovom Sporazumu</w:t>
      </w:r>
      <w:r w:rsidR="00D91B50">
        <w:t xml:space="preserve"> (Prilog 1)</w:t>
      </w:r>
      <w:r>
        <w:t>. Za mog</w:t>
      </w:r>
      <w:r w:rsidR="006762BA">
        <w:t>uću promjenu proračuna projekta</w:t>
      </w:r>
      <w:r>
        <w:t xml:space="preserve"> potrebno je dobiti suglasnost </w:t>
      </w:r>
      <w:r w:rsidRPr="002A5532">
        <w:rPr>
          <w:shd w:val="clear" w:color="auto" w:fill="FFFFFF" w:themeFill="background1"/>
        </w:rPr>
        <w:t>PT2</w:t>
      </w:r>
      <w:r>
        <w:t>.</w:t>
      </w:r>
    </w:p>
    <w:p w:rsidR="002F79D9" w:rsidRDefault="002F79D9" w:rsidP="002F79D9">
      <w:pPr>
        <w:spacing w:after="0" w:line="240" w:lineRule="auto"/>
      </w:pPr>
    </w:p>
    <w:p w:rsidR="002F79D9" w:rsidRDefault="002F79D9" w:rsidP="002F79D9">
      <w:pPr>
        <w:spacing w:after="0" w:line="240" w:lineRule="auto"/>
        <w:jc w:val="center"/>
      </w:pPr>
    </w:p>
    <w:p w:rsidR="002F79D9" w:rsidRDefault="002F79D9" w:rsidP="002F79D9">
      <w:pPr>
        <w:spacing w:after="0" w:line="240" w:lineRule="auto"/>
        <w:jc w:val="center"/>
      </w:pPr>
      <w:r>
        <w:t>Članak 5.</w:t>
      </w:r>
    </w:p>
    <w:p w:rsidR="002F79D9" w:rsidRDefault="0092687E" w:rsidP="002F79D9">
      <w:pPr>
        <w:spacing w:after="0" w:line="240" w:lineRule="auto"/>
        <w:jc w:val="center"/>
      </w:pPr>
      <w:r>
        <w:t>R</w:t>
      </w:r>
      <w:r w:rsidR="002F79D9">
        <w:t>azdoblje prihvatljivosti</w:t>
      </w:r>
    </w:p>
    <w:p w:rsidR="00966030" w:rsidRDefault="00966030" w:rsidP="002F79D9">
      <w:pPr>
        <w:spacing w:after="0" w:line="240" w:lineRule="auto"/>
        <w:jc w:val="center"/>
      </w:pP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6762BA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Razdoblje prihvatljiv</w:t>
      </w:r>
      <w:r w:rsidR="006762BA">
        <w:t>osti troškova u okviru 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Default="00523D5D" w:rsidP="00523D5D">
      <w:pPr>
        <w:spacing w:after="0" w:line="240" w:lineRule="auto"/>
        <w:jc w:val="center"/>
      </w:pPr>
      <w:r>
        <w:t>Članak 6.</w:t>
      </w:r>
    </w:p>
    <w:p w:rsidR="00523D5D" w:rsidRDefault="0092687E" w:rsidP="00523D5D">
      <w:pPr>
        <w:spacing w:after="0" w:line="240" w:lineRule="auto"/>
        <w:jc w:val="center"/>
      </w:pPr>
      <w:r>
        <w:t>Obveze Korisnika</w:t>
      </w:r>
    </w:p>
    <w:p w:rsidR="000E6A62" w:rsidRDefault="000E6A62" w:rsidP="0027622E">
      <w:pPr>
        <w:spacing w:after="0" w:line="240" w:lineRule="auto"/>
      </w:pPr>
    </w:p>
    <w:p w:rsidR="0027622E" w:rsidRDefault="0027622E" w:rsidP="00E15598">
      <w:pPr>
        <w:pStyle w:val="ListParagraph"/>
        <w:numPr>
          <w:ilvl w:val="0"/>
          <w:numId w:val="17"/>
        </w:numPr>
        <w:spacing w:after="0" w:line="240" w:lineRule="auto"/>
      </w:pPr>
      <w:r>
        <w:t>Korisnik se obvezuje</w:t>
      </w:r>
      <w:r w:rsidR="00A5172F">
        <w:t xml:space="preserve"> da će</w:t>
      </w:r>
      <w: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</w:t>
      </w:r>
      <w:r w:rsidR="006762BA">
        <w:t>i provoditi aktivnosti projekta</w:t>
      </w:r>
      <w:r>
        <w:t xml:space="preserve"> u skladu sa sklopljenim Ugovorom o dodjeli bespovratnih sredstava, važećim propisima, te prema odobrenom akcij</w:t>
      </w:r>
      <w:r w:rsidR="006762BA">
        <w:t>skom planu i proračunu 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:rsidR="0027622E" w:rsidRPr="006762BA" w:rsidRDefault="00647487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6762BA">
        <w:t xml:space="preserve">potpisati Sporazum o partnerstvu </w:t>
      </w:r>
      <w:r w:rsidR="0027622E" w:rsidRPr="006762BA">
        <w:t xml:space="preserve">u roku od 30 dana od potpisivanja Ugovora o dodjeli bespovratnih sredstava </w:t>
      </w:r>
      <w:r w:rsidRPr="006762BA">
        <w:t xml:space="preserve">i kopiju </w:t>
      </w:r>
      <w:r w:rsidR="00CD334B" w:rsidRPr="006762BA">
        <w:t xml:space="preserve">dostaviti </w:t>
      </w:r>
      <w:r w:rsidRPr="006762BA">
        <w:t>PT2 zajedno s prvim Izvješćem o napretku projekta</w:t>
      </w:r>
      <w:r w:rsidR="000B7374" w:rsidRPr="006762BA">
        <w:t>;</w:t>
      </w:r>
    </w:p>
    <w:p w:rsidR="000B7374" w:rsidRDefault="006762B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na razini projekta</w:t>
      </w:r>
      <w:r w:rsidR="000B7374">
        <w:t xml:space="preserve"> </w:t>
      </w:r>
      <w:r w:rsidR="00A5172F">
        <w:t>osigurati provedbu odgovarajućih postupaka odabira vanjskih izvođača u skladu s važećim propisima javne nabave;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</w:t>
      </w:r>
      <w:r w:rsidR="006762BA">
        <w:t>isključivo za provedbu projekta</w:t>
      </w:r>
      <w:r>
        <w:t xml:space="preserve"> u skladu s Ugovorom o dodjeli bespovratnih sredstava;</w:t>
      </w:r>
    </w:p>
    <w:p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</w:t>
      </w:r>
      <w:r w:rsidR="006762BA">
        <w:t>evidenciju za provedbu 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E64C5A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pratiti p</w:t>
      </w:r>
      <w:r w:rsidR="00AA5051">
        <w:t>odatke o sudionicima u projektu</w:t>
      </w:r>
      <w:r>
        <w:t xml:space="preserve"> u skladu s raščlambom iz Priloga XXIII. Uredbe Komisije (EZ) br. 1828/2006;</w:t>
      </w:r>
    </w:p>
    <w:p w:rsidR="00444DC3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lastRenderedPageBreak/>
        <w:t>sprječavati, otkrivati, evidentirati i otklanjati n</w:t>
      </w:r>
      <w:r w:rsidR="006762BA">
        <w:t>epravilnosti na razini projekta</w:t>
      </w:r>
      <w:r>
        <w:t>;</w:t>
      </w:r>
    </w:p>
    <w:p w:rsidR="00A56B93" w:rsidRDefault="000E6A62" w:rsidP="006762B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 xml:space="preserve">Posredničkih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:rsidR="000E6A62" w:rsidRDefault="000E6A62" w:rsidP="000E6A62">
      <w:pPr>
        <w:spacing w:after="0" w:line="240" w:lineRule="auto"/>
        <w:jc w:val="both"/>
      </w:pPr>
    </w:p>
    <w:p w:rsidR="000E6A62" w:rsidRDefault="000E6A62" w:rsidP="000E6A62">
      <w:pPr>
        <w:spacing w:after="0" w:line="240" w:lineRule="auto"/>
        <w:jc w:val="center"/>
      </w:pPr>
      <w:r>
        <w:t>Članak 7.</w:t>
      </w:r>
    </w:p>
    <w:p w:rsidR="000E6A62" w:rsidRDefault="0092687E" w:rsidP="000E6A62">
      <w:pPr>
        <w:spacing w:after="0" w:line="240" w:lineRule="auto"/>
        <w:jc w:val="center"/>
      </w:pPr>
      <w:r>
        <w:t>Obveze partnera</w:t>
      </w:r>
    </w:p>
    <w:p w:rsidR="000E6A62" w:rsidRDefault="000E6A62" w:rsidP="000E6A62">
      <w:pPr>
        <w:spacing w:after="0" w:line="240" w:lineRule="auto"/>
      </w:pPr>
    </w:p>
    <w:p w:rsidR="000E6A62" w:rsidRDefault="000E6A62" w:rsidP="00E15598">
      <w:pPr>
        <w:pStyle w:val="ListParagraph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:rsidR="006D549B" w:rsidRDefault="006762BA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provoditi aktivnosti projekta</w:t>
      </w:r>
      <w:r w:rsidR="006D549B">
        <w:t xml:space="preserve"> u skladu sa sklopljenim Ugovorom o dodjeli bespovratnih sredstava, važećim propisima, te prema odobrenom planu</w:t>
      </w:r>
      <w:r>
        <w:t xml:space="preserve"> provedbe i proračunu projekta</w:t>
      </w:r>
      <w:r w:rsidR="006D549B">
        <w:t xml:space="preserve"> u skladu s načelima učinkovitosti i ekonomičnosti, te da će na takvu izvedbu obvezati i vanjske izvođače;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provedbu odgovarajućih postupaka odabira vanjskih izvođača u skladu s važećim propisima javne nabave;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</w:t>
      </w:r>
      <w:r w:rsidR="006762BA">
        <w:t>isključivo za provedbu projekta</w:t>
      </w:r>
      <w:r>
        <w:t xml:space="preserve"> u skladu s Ugovorom o dodjeli bespovratnih sredstava;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</w:t>
      </w:r>
      <w:r w:rsidR="006762BA">
        <w:t>evidenciju za provedbu 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Pr="007D244F" w:rsidRDefault="007D244F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u dogovoru s Korisnikom, prema potrebi </w:t>
      </w:r>
      <w:r w:rsidR="006D549B" w:rsidRPr="007D244F">
        <w:t>pratiti p</w:t>
      </w:r>
      <w:r w:rsidR="00AA5051" w:rsidRPr="007D244F">
        <w:t xml:space="preserve">odatke o sudionicima u projektu </w:t>
      </w:r>
      <w:r w:rsidR="006D549B" w:rsidRPr="007D244F">
        <w:t>u skladu s raščlambom iz Priloga XXIII. Uredbe Komisije (EZ) br. 1828/2006;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 w:rsidR="006762BA">
        <w:t xml:space="preserve"> projekta</w:t>
      </w:r>
      <w:r>
        <w:t>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:rsidR="006D549B" w:rsidRDefault="006D549B" w:rsidP="007C1E3D">
      <w:pPr>
        <w:pStyle w:val="ListParagraph"/>
        <w:spacing w:after="0" w:line="240" w:lineRule="auto"/>
        <w:jc w:val="both"/>
      </w:pPr>
    </w:p>
    <w:p w:rsidR="009C0BE6" w:rsidRDefault="009C0BE6" w:rsidP="009C0BE6">
      <w:pPr>
        <w:pStyle w:val="ListParagraph"/>
        <w:spacing w:after="0" w:line="240" w:lineRule="auto"/>
        <w:jc w:val="center"/>
      </w:pPr>
      <w:r>
        <w:t>Članak 8.</w:t>
      </w:r>
    </w:p>
    <w:p w:rsidR="009C0BE6" w:rsidRDefault="0092687E" w:rsidP="009C0BE6">
      <w:pPr>
        <w:pStyle w:val="ListParagraph"/>
        <w:spacing w:after="0" w:line="240" w:lineRule="auto"/>
        <w:jc w:val="center"/>
      </w:pPr>
      <w:r>
        <w:t>Financijsko upravljanje</w:t>
      </w:r>
    </w:p>
    <w:p w:rsidR="009C0BE6" w:rsidRDefault="009C0BE6" w:rsidP="009C0BE6">
      <w:pPr>
        <w:pStyle w:val="ListParagraph"/>
        <w:spacing w:after="0" w:line="240" w:lineRule="auto"/>
        <w:ind w:left="1080"/>
        <w:jc w:val="center"/>
      </w:pPr>
    </w:p>
    <w:p w:rsidR="001A0CBD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2A5532">
        <w:rPr>
          <w:shd w:val="clear" w:color="auto" w:fill="FFFFFF" w:themeFill="background1"/>
        </w:rPr>
        <w:t>PT</w:t>
      </w:r>
      <w:r w:rsidR="007D1839" w:rsidRPr="002A5532">
        <w:rPr>
          <w:shd w:val="clear" w:color="auto" w:fill="FFFFFF" w:themeFill="background1"/>
        </w:rPr>
        <w:t>1</w:t>
      </w:r>
      <w:r w:rsidRPr="002A5532">
        <w:rPr>
          <w:shd w:val="clear" w:color="auto" w:fill="FFFFFF" w:themeFill="background1"/>
        </w:rPr>
        <w:t xml:space="preserve">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 xml:space="preserve">artnerima i dokaz o doznaci proslijediti </w:t>
      </w:r>
      <w:r w:rsidRPr="002A5532">
        <w:rPr>
          <w:shd w:val="clear" w:color="auto" w:fill="FFFFFF" w:themeFill="background1"/>
        </w:rPr>
        <w:t>PT2.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A56B93" w:rsidRDefault="001A0CBD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U slučaju neopravdanog primitka sredstava, bilo zbog kršenja neke od ugovornih obveza ili zbog ustanovljene neprihvatljivosti troškova nakon izvršene financijske kontrole ovlaštenog </w:t>
      </w:r>
    </w:p>
    <w:p w:rsidR="001A0CBD" w:rsidRDefault="001A0CBD" w:rsidP="00D86640">
      <w:pPr>
        <w:spacing w:after="0" w:line="240" w:lineRule="auto"/>
        <w:ind w:left="708"/>
        <w:jc w:val="both"/>
      </w:pPr>
      <w:r>
        <w:t xml:space="preserve">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Default="009C0BE6" w:rsidP="007C1E3D">
      <w:pPr>
        <w:pStyle w:val="ListParagraph"/>
        <w:spacing w:after="0" w:line="240" w:lineRule="auto"/>
        <w:jc w:val="center"/>
      </w:pPr>
      <w:r>
        <w:t>Članak 9</w:t>
      </w:r>
      <w:r w:rsidR="007C1E3D">
        <w:t>.</w:t>
      </w:r>
    </w:p>
    <w:p w:rsidR="007C1E3D" w:rsidRDefault="0092687E" w:rsidP="007C1E3D">
      <w:pPr>
        <w:pStyle w:val="ListParagraph"/>
        <w:spacing w:after="0" w:line="240" w:lineRule="auto"/>
        <w:jc w:val="center"/>
      </w:pPr>
      <w:r>
        <w:t>I</w:t>
      </w:r>
      <w:r w:rsidR="007C1E3D">
        <w:t>nf</w:t>
      </w:r>
      <w:r>
        <w:t>ormiranje javnosti i vidljivost</w:t>
      </w:r>
    </w:p>
    <w:p w:rsidR="00EF3C12" w:rsidRDefault="00EF3C12" w:rsidP="007C1E3D">
      <w:pPr>
        <w:pStyle w:val="ListParagraph"/>
        <w:spacing w:after="0" w:line="240" w:lineRule="auto"/>
        <w:jc w:val="center"/>
      </w:pPr>
    </w:p>
    <w:p w:rsidR="00B16CE9" w:rsidRDefault="00202843" w:rsidP="00B16CE9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>u skladu s Ugovorom o dodjeli bespovratnih sredstav</w:t>
      </w:r>
      <w:r w:rsidR="006762BA">
        <w:t>a, a u cilju promidžbe 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6D549B" w:rsidRDefault="00921C9D" w:rsidP="00B16CE9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Mjere se provode u skladu s člankom 9. Ure</w:t>
      </w:r>
      <w:r w:rsidR="00B16CE9">
        <w:t>dbe Komisije (EZ) br. 1828/2006</w:t>
      </w:r>
      <w:r>
        <w:t xml:space="preserve"> i Uputama za informiranje i vidljivost projekata financiranih iz strukturnih i Kohezijskog fonda 2007.-2013. </w:t>
      </w:r>
    </w:p>
    <w:p w:rsidR="000E6A62" w:rsidRDefault="000E6A62" w:rsidP="000E6A62">
      <w:pPr>
        <w:spacing w:after="0" w:line="240" w:lineRule="auto"/>
      </w:pPr>
    </w:p>
    <w:p w:rsidR="00E85128" w:rsidRDefault="00E85128" w:rsidP="00E85128">
      <w:pPr>
        <w:spacing w:after="0" w:line="240" w:lineRule="auto"/>
        <w:ind w:left="360"/>
        <w:jc w:val="center"/>
      </w:pPr>
      <w:r>
        <w:t xml:space="preserve">Članak </w:t>
      </w:r>
      <w:r w:rsidR="009C0BE6">
        <w:t>10</w:t>
      </w:r>
      <w:r>
        <w:t>.</w:t>
      </w:r>
    </w:p>
    <w:p w:rsidR="00E85128" w:rsidRDefault="0092687E" w:rsidP="00E85128">
      <w:pPr>
        <w:spacing w:after="0" w:line="240" w:lineRule="auto"/>
        <w:ind w:left="360"/>
        <w:jc w:val="center"/>
      </w:pPr>
      <w:r>
        <w:t>Zaštita podataka</w:t>
      </w:r>
    </w:p>
    <w:p w:rsidR="00E85128" w:rsidRDefault="00E85128" w:rsidP="00E85128">
      <w:pPr>
        <w:spacing w:after="0" w:line="240" w:lineRule="auto"/>
        <w:ind w:left="360"/>
        <w:jc w:val="center"/>
      </w:pPr>
    </w:p>
    <w:p w:rsidR="00E85128" w:rsidRDefault="00202843" w:rsidP="00E85128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 uključujući članak 37. Uredbe Komisije (EZ) br. 1828/2006.</w:t>
      </w:r>
    </w:p>
    <w:p w:rsidR="00A5172F" w:rsidRDefault="00E85128" w:rsidP="008777FA">
      <w:pPr>
        <w:spacing w:after="0" w:line="240" w:lineRule="auto"/>
        <w:ind w:left="360"/>
        <w:jc w:val="center"/>
      </w:pPr>
      <w:r>
        <w:t>Članak 1</w:t>
      </w:r>
      <w:r w:rsidR="009C0BE6">
        <w:t>1</w:t>
      </w:r>
      <w:r w:rsidR="008777FA">
        <w:t>.</w:t>
      </w:r>
    </w:p>
    <w:p w:rsidR="008777FA" w:rsidRDefault="0092687E" w:rsidP="008777FA">
      <w:pPr>
        <w:spacing w:after="0" w:line="240" w:lineRule="auto"/>
        <w:ind w:left="360"/>
        <w:jc w:val="center"/>
      </w:pPr>
      <w:r>
        <w:t>K</w:t>
      </w:r>
      <w:r w:rsidR="008777FA">
        <w:t>orištenje materijal</w:t>
      </w:r>
      <w:r>
        <w:t>nog i intelektualnog vlasništva</w:t>
      </w:r>
    </w:p>
    <w:p w:rsidR="002B3FCA" w:rsidRDefault="002B3FCA" w:rsidP="008777FA">
      <w:pPr>
        <w:spacing w:after="0" w:line="240" w:lineRule="auto"/>
        <w:ind w:left="360"/>
        <w:jc w:val="center"/>
      </w:pP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 w:rsidR="006762BA">
        <w:t>zultatima projekta</w:t>
      </w:r>
      <w:r w:rsidR="00E85128">
        <w:t xml:space="preserve">, izvješćima i drugim dokumentima u </w:t>
      </w:r>
      <w:r w:rsidR="004E049F">
        <w:t>s</w:t>
      </w:r>
      <w:r w:rsidR="006762BA">
        <w:t>vezi projekta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 w:rsidR="00AA5051">
        <w:t>zlaze iz 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E85128" w:rsidRDefault="00E85128" w:rsidP="00B16CE9">
      <w:pPr>
        <w:pStyle w:val="ListParagraph"/>
        <w:spacing w:after="0" w:line="240" w:lineRule="auto"/>
        <w:jc w:val="center"/>
      </w:pPr>
    </w:p>
    <w:p w:rsidR="00B16CE9" w:rsidRDefault="009C0BE6" w:rsidP="00B16CE9">
      <w:pPr>
        <w:pStyle w:val="ListParagraph"/>
        <w:spacing w:after="0" w:line="240" w:lineRule="auto"/>
        <w:jc w:val="center"/>
      </w:pPr>
      <w:r>
        <w:t>Članak 12</w:t>
      </w:r>
      <w:r w:rsidR="00B16CE9">
        <w:t>.</w:t>
      </w:r>
    </w:p>
    <w:p w:rsidR="00B16CE9" w:rsidRDefault="0092687E" w:rsidP="00B16CE9">
      <w:pPr>
        <w:pStyle w:val="ListParagraph"/>
        <w:spacing w:after="0" w:line="240" w:lineRule="auto"/>
        <w:jc w:val="center"/>
      </w:pPr>
      <w:r>
        <w:t>Prihvaćanje obveza</w:t>
      </w:r>
    </w:p>
    <w:p w:rsidR="00E15598" w:rsidRDefault="00E15598" w:rsidP="00B16CE9">
      <w:pPr>
        <w:pStyle w:val="ListParagraph"/>
        <w:spacing w:after="0" w:line="240" w:lineRule="auto"/>
        <w:jc w:val="center"/>
      </w:pPr>
    </w:p>
    <w:p w:rsidR="005565CF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Potpisom </w:t>
      </w:r>
      <w:r w:rsidR="00FD0D9C">
        <w:t>Sporazuma P</w:t>
      </w:r>
      <w:r w:rsidR="005565CF">
        <w:t>artneri potvrđuju da su upoz</w:t>
      </w:r>
      <w:r w:rsidR="006762BA">
        <w:t>nati s obvezama koje za projekt</w:t>
      </w:r>
      <w:r w:rsidR="005565CF">
        <w:t xml:space="preserve"> proizlaze iz Ugovora o dodjeli bespovratnih sredstava i da navedene obveze prihvaćaju.</w:t>
      </w:r>
    </w:p>
    <w:p w:rsidR="00072F20" w:rsidRDefault="00072F20" w:rsidP="00A56B93">
      <w:pPr>
        <w:spacing w:after="0" w:line="240" w:lineRule="auto"/>
        <w:jc w:val="both"/>
      </w:pP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Default="009C0BE6" w:rsidP="009A27FE">
      <w:pPr>
        <w:pStyle w:val="ListParagraph"/>
        <w:spacing w:after="0" w:line="240" w:lineRule="auto"/>
        <w:jc w:val="center"/>
      </w:pPr>
      <w:r>
        <w:t>Članak 13</w:t>
      </w:r>
      <w:r w:rsidR="009A27FE">
        <w:t>.</w:t>
      </w:r>
    </w:p>
    <w:p w:rsidR="009A27FE" w:rsidRDefault="0092687E" w:rsidP="009A27FE">
      <w:pPr>
        <w:pStyle w:val="ListParagraph"/>
        <w:spacing w:after="0" w:line="240" w:lineRule="auto"/>
        <w:jc w:val="center"/>
      </w:pPr>
      <w:r>
        <w:t>N</w:t>
      </w:r>
      <w:r w:rsidR="009A27FE">
        <w:t>eispunjavanje ugovornih obveza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C05118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A56B93" w:rsidRDefault="00A56B93" w:rsidP="00BE4450">
      <w:pPr>
        <w:spacing w:after="0" w:line="240" w:lineRule="auto"/>
        <w:jc w:val="both"/>
      </w:pPr>
    </w:p>
    <w:p w:rsidR="00A56B93" w:rsidRDefault="00A56B93" w:rsidP="00BE4450">
      <w:pPr>
        <w:spacing w:after="0" w:line="240" w:lineRule="auto"/>
        <w:jc w:val="both"/>
      </w:pPr>
    </w:p>
    <w:p w:rsidR="00A56B93" w:rsidRDefault="00A56B93" w:rsidP="00BE4450">
      <w:pPr>
        <w:spacing w:after="0" w:line="240" w:lineRule="auto"/>
        <w:jc w:val="both"/>
      </w:pP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:rsidR="00334DC4" w:rsidRDefault="00334DC4" w:rsidP="00334DC4">
      <w:pPr>
        <w:spacing w:after="0" w:line="240" w:lineRule="auto"/>
        <w:ind w:left="720"/>
        <w:jc w:val="both"/>
      </w:pPr>
    </w:p>
    <w:p w:rsidR="00334DC4" w:rsidRDefault="009C0BE6" w:rsidP="00E15598">
      <w:pPr>
        <w:spacing w:after="0" w:line="240" w:lineRule="auto"/>
        <w:ind w:left="720"/>
        <w:jc w:val="center"/>
      </w:pPr>
      <w:r>
        <w:t>Članak 14</w:t>
      </w:r>
      <w:r w:rsidR="00334DC4">
        <w:t>.</w:t>
      </w:r>
    </w:p>
    <w:p w:rsidR="00E15598" w:rsidRDefault="0092687E" w:rsidP="00E15598">
      <w:pPr>
        <w:spacing w:after="0" w:line="240" w:lineRule="auto"/>
        <w:ind w:left="720"/>
        <w:jc w:val="center"/>
      </w:pPr>
      <w:r>
        <w:t>O</w:t>
      </w:r>
      <w:r w:rsidR="00E15598">
        <w:t>d</w:t>
      </w:r>
      <w:r w:rsidR="006762BA">
        <w:t>ustajanje od provedbe projekta</w:t>
      </w:r>
    </w:p>
    <w:p w:rsidR="00E15598" w:rsidRDefault="00E15598" w:rsidP="00E15598">
      <w:pPr>
        <w:spacing w:after="0" w:line="240" w:lineRule="auto"/>
        <w:ind w:left="720"/>
      </w:pPr>
    </w:p>
    <w:p w:rsidR="00AF5BF9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Ako partner prijevremeno </w:t>
      </w:r>
      <w:r w:rsidR="001A0CBD">
        <w:t>odstupi od</w:t>
      </w:r>
      <w:r w:rsidR="006762BA">
        <w:t xml:space="preserve"> provedbe 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>financiranja aktivnosti, osim onih prihvatljivih troškova koji su vezani za već provedene aktivno</w:t>
      </w:r>
      <w:r w:rsidR="006762BA">
        <w:t>sti 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Default="009C0BE6" w:rsidP="0019010E">
      <w:pPr>
        <w:spacing w:after="0" w:line="240" w:lineRule="auto"/>
        <w:ind w:left="720"/>
        <w:jc w:val="center"/>
      </w:pPr>
      <w:r>
        <w:t>Članak 15</w:t>
      </w:r>
      <w:r w:rsidR="00BA7678">
        <w:t>.</w:t>
      </w:r>
    </w:p>
    <w:p w:rsidR="00BA7678" w:rsidRDefault="0092687E" w:rsidP="0019010E">
      <w:pPr>
        <w:spacing w:after="0" w:line="240" w:lineRule="auto"/>
        <w:ind w:left="720"/>
        <w:jc w:val="center"/>
      </w:pPr>
      <w:r>
        <w:t>Izmjene partnerstva</w:t>
      </w:r>
    </w:p>
    <w:p w:rsidR="00AC6DFF" w:rsidRDefault="00AC6DFF" w:rsidP="00BA7678">
      <w:pPr>
        <w:spacing w:after="0" w:line="240" w:lineRule="auto"/>
        <w:jc w:val="center"/>
      </w:pP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 kao njegova zamjena u</w:t>
      </w:r>
      <w:r>
        <w:t xml:space="preserve"> partnerstvo može stupiti novi P</w:t>
      </w:r>
      <w:r w:rsidR="00AC6DFF">
        <w:t>artner ako to bitno ne utj</w:t>
      </w:r>
      <w:r w:rsidR="006762BA">
        <w:t>eče na sadržaj projekta</w:t>
      </w:r>
      <w:r>
        <w:t>. Novi P</w:t>
      </w:r>
      <w:r w:rsidR="00AC6DFF">
        <w:t>artner mora ispunjavati 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>artn</w:t>
      </w:r>
      <w:r w:rsidR="006762BA">
        <w:t>era ne mijenja sadržaj 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6762BA">
        <w:t>, a njegov doprinos 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:rsidR="00661332" w:rsidRDefault="00661332" w:rsidP="00B16CE9">
      <w:pPr>
        <w:pStyle w:val="ListParagraph"/>
        <w:spacing w:after="0" w:line="240" w:lineRule="auto"/>
        <w:jc w:val="center"/>
      </w:pPr>
    </w:p>
    <w:p w:rsidR="00B16CE9" w:rsidRDefault="00D82AF3" w:rsidP="00B16CE9">
      <w:pPr>
        <w:pStyle w:val="ListParagraph"/>
        <w:spacing w:after="0" w:line="240" w:lineRule="auto"/>
        <w:jc w:val="center"/>
      </w:pPr>
      <w:r>
        <w:t>Članak 1</w:t>
      </w:r>
      <w:r w:rsidR="009C0BE6">
        <w:t>6</w:t>
      </w:r>
      <w:r>
        <w:t>.</w:t>
      </w:r>
    </w:p>
    <w:p w:rsidR="00D82AF3" w:rsidRDefault="0092687E" w:rsidP="00B16CE9">
      <w:pPr>
        <w:pStyle w:val="ListParagraph"/>
        <w:spacing w:after="0" w:line="240" w:lineRule="auto"/>
        <w:jc w:val="center"/>
      </w:pPr>
      <w:r>
        <w:t>I</w:t>
      </w:r>
      <w:r w:rsidR="0014362B">
        <w:t>zmjene S</w:t>
      </w:r>
      <w:r>
        <w:t>porazuma</w:t>
      </w:r>
    </w:p>
    <w:p w:rsidR="004E049F" w:rsidRDefault="004E049F" w:rsidP="00B16CE9">
      <w:pPr>
        <w:pStyle w:val="ListParagraph"/>
        <w:spacing w:after="0" w:line="240" w:lineRule="auto"/>
        <w:jc w:val="center"/>
      </w:pPr>
    </w:p>
    <w:p w:rsidR="00CB0443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>vremenske izmjene</w:t>
      </w:r>
      <w:r w:rsidR="006762BA">
        <w:t xml:space="preserve"> projekta</w:t>
      </w:r>
      <w:r w:rsidR="00CB0443">
        <w:t xml:space="preserve">, mora najkasnije u roku od </w:t>
      </w:r>
      <w:r w:rsidR="006F5015" w:rsidRPr="002A5532">
        <w:rPr>
          <w:shd w:val="clear" w:color="auto" w:fill="FFFFFF" w:themeFill="background1"/>
        </w:rPr>
        <w:t xml:space="preserve">10 </w:t>
      </w:r>
      <w:r w:rsidR="00CB0443">
        <w:t>dana od nastanka razloga za izmjenu p</w:t>
      </w:r>
      <w:r w:rsidR="00A2678E">
        <w:t>oslati K</w:t>
      </w:r>
      <w:r w:rsidR="00CB0443">
        <w:t>orisniku pisano obrazloženje. Korisnik može predložiti druge izmjene koje su ključne za postizan</w:t>
      </w:r>
      <w:r w:rsidR="006762BA">
        <w:t>je ciljeva i rezultata projekta</w:t>
      </w:r>
      <w:r w:rsidR="00CB0443">
        <w:t>, uključujući eventualnu izmjenu partnerstva.</w:t>
      </w:r>
    </w:p>
    <w:p w:rsidR="0092687E" w:rsidRDefault="0092687E" w:rsidP="00E31C55">
      <w:pPr>
        <w:pStyle w:val="ListParagraph"/>
        <w:spacing w:after="0" w:line="240" w:lineRule="auto"/>
        <w:ind w:left="1080"/>
        <w:jc w:val="center"/>
      </w:pPr>
    </w:p>
    <w:p w:rsidR="00E31C55" w:rsidRDefault="009C0BE6" w:rsidP="00E31C55">
      <w:pPr>
        <w:pStyle w:val="ListParagraph"/>
        <w:spacing w:after="0" w:line="240" w:lineRule="auto"/>
        <w:ind w:left="1080"/>
        <w:jc w:val="center"/>
      </w:pPr>
      <w:r>
        <w:t>Članak 17</w:t>
      </w:r>
      <w:r w:rsidR="00E31C55">
        <w:t>.</w:t>
      </w:r>
    </w:p>
    <w:p w:rsidR="00E31C55" w:rsidRDefault="0092687E" w:rsidP="00E31C55">
      <w:pPr>
        <w:pStyle w:val="ListParagraph"/>
        <w:spacing w:after="0" w:line="240" w:lineRule="auto"/>
        <w:ind w:left="1080"/>
        <w:jc w:val="center"/>
      </w:pPr>
      <w:r>
        <w:t>Rješavanje sporova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6762BA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92687E" w:rsidRDefault="0092687E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A56B93" w:rsidRDefault="00A56B93" w:rsidP="00202843">
      <w:pPr>
        <w:pStyle w:val="ListParagraph"/>
        <w:spacing w:after="0" w:line="240" w:lineRule="auto"/>
        <w:jc w:val="both"/>
      </w:pPr>
    </w:p>
    <w:p w:rsidR="00D0460F" w:rsidRDefault="009C0BE6" w:rsidP="002B3FCA">
      <w:pPr>
        <w:pStyle w:val="ListParagraph"/>
        <w:spacing w:after="0" w:line="240" w:lineRule="auto"/>
        <w:ind w:left="1080"/>
        <w:jc w:val="center"/>
      </w:pPr>
      <w:r>
        <w:t>Članak 18</w:t>
      </w:r>
      <w:r w:rsidR="00D0460F">
        <w:t>.</w:t>
      </w:r>
    </w:p>
    <w:p w:rsidR="00D0460F" w:rsidRDefault="0092687E" w:rsidP="002B3FCA">
      <w:pPr>
        <w:pStyle w:val="ListParagraph"/>
        <w:spacing w:after="0" w:line="240" w:lineRule="auto"/>
        <w:ind w:left="1080"/>
        <w:jc w:val="center"/>
      </w:pPr>
      <w: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Sporazum stupa na snagu s danom potpisa zadnjeg potpisnika i vrijedi na</w:t>
      </w:r>
      <w:r w:rsidR="00AA5051">
        <w:t>jkasnije do zatvaranja 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PT1 i PT2.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</w:t>
      </w:r>
      <w:r w:rsidR="006762BA">
        <w:t>partnerstvu u provedbi projekta</w:t>
      </w:r>
      <w:r>
        <w:t xml:space="preserve"> prevladava Ugovor o dodjeli bespovratnih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966030" w:rsidRDefault="00966030" w:rsidP="004E049F">
      <w:pPr>
        <w:pStyle w:val="ListParagraph"/>
        <w:spacing w:after="0" w:line="240" w:lineRule="auto"/>
        <w:ind w:left="1068"/>
        <w:rPr>
          <w:b/>
        </w:rPr>
      </w:pPr>
    </w:p>
    <w:p w:rsidR="004E049F" w:rsidRP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4E049F" w:rsidRDefault="004E049F" w:rsidP="00202843">
      <w:pPr>
        <w:pStyle w:val="ListParagraph"/>
        <w:spacing w:after="0" w:line="240" w:lineRule="auto"/>
      </w:pPr>
    </w:p>
    <w:p w:rsidR="00444DC3" w:rsidRDefault="00444DC3" w:rsidP="00202843">
      <w:pPr>
        <w:pStyle w:val="ListParagraph"/>
        <w:spacing w:after="0" w:line="240" w:lineRule="auto"/>
        <w:rPr>
          <w:b/>
        </w:rPr>
      </w:pPr>
    </w:p>
    <w:p w:rsid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02843">
      <w:pPr>
        <w:pStyle w:val="ListParagraph"/>
        <w:spacing w:after="0" w:line="240" w:lineRule="auto"/>
      </w:pPr>
    </w:p>
    <w:p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:rsidR="004E049F" w:rsidRDefault="004E049F" w:rsidP="00202843">
      <w:pPr>
        <w:pStyle w:val="ListParagraph"/>
        <w:spacing w:after="0" w:line="240" w:lineRule="auto"/>
      </w:pPr>
      <w:r>
        <w:t>Funkcija:</w:t>
      </w:r>
    </w:p>
    <w:p w:rsidR="004E049F" w:rsidRDefault="004E049F" w:rsidP="00202843">
      <w:pPr>
        <w:pStyle w:val="ListParagraph"/>
        <w:spacing w:after="0" w:line="240" w:lineRule="auto"/>
      </w:pPr>
      <w:r>
        <w:t>Potpis:</w:t>
      </w:r>
    </w:p>
    <w:p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>
        <w:rPr>
          <w:b/>
        </w:rPr>
        <w:t>n: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pStyle w:val="ListParagraph"/>
        <w:spacing w:after="0" w:line="240" w:lineRule="auto"/>
      </w:pPr>
      <w:r>
        <w:t>Ime i prezime:</w:t>
      </w:r>
    </w:p>
    <w:p w:rsidR="00966030" w:rsidRDefault="00966030" w:rsidP="00202843">
      <w:pPr>
        <w:pStyle w:val="ListParagraph"/>
        <w:spacing w:after="0" w:line="240" w:lineRule="auto"/>
      </w:pPr>
      <w:r>
        <w:t>Funkcija:</w:t>
      </w:r>
    </w:p>
    <w:p w:rsidR="00966030" w:rsidRDefault="00966030" w:rsidP="00202843">
      <w:pPr>
        <w:pStyle w:val="ListParagraph"/>
        <w:spacing w:after="0" w:line="240" w:lineRule="auto"/>
      </w:pPr>
      <w:r>
        <w:t>Potpis:</w:t>
      </w:r>
    </w:p>
    <w:p w:rsidR="00966030" w:rsidRDefault="00966030" w:rsidP="00202843">
      <w:pPr>
        <w:pStyle w:val="ListParagraph"/>
        <w:spacing w:after="0" w:line="240" w:lineRule="auto"/>
      </w:pPr>
      <w:r>
        <w:t>Mjesto i datum:</w:t>
      </w:r>
    </w:p>
    <w:p w:rsidR="00966030" w:rsidRDefault="00966030" w:rsidP="00202843">
      <w:pPr>
        <w:pStyle w:val="ListParagraph"/>
        <w:spacing w:after="0" w:line="240" w:lineRule="auto"/>
      </w:pPr>
    </w:p>
    <w:p w:rsidR="00966030" w:rsidRDefault="00966030" w:rsidP="00202843">
      <w:pPr>
        <w:spacing w:after="0" w:line="240" w:lineRule="auto"/>
      </w:pPr>
    </w:p>
    <w:p w:rsidR="00966030" w:rsidRDefault="00966030" w:rsidP="00966030">
      <w:pPr>
        <w:spacing w:after="0" w:line="240" w:lineRule="auto"/>
      </w:pPr>
      <w:r>
        <w:t>PRILOZI:</w:t>
      </w:r>
    </w:p>
    <w:p w:rsidR="00966030" w:rsidRDefault="00966030" w:rsidP="00966030">
      <w:pPr>
        <w:pStyle w:val="ListParagraph"/>
        <w:numPr>
          <w:ilvl w:val="0"/>
          <w:numId w:val="26"/>
        </w:numPr>
        <w:spacing w:after="0" w:line="240" w:lineRule="auto"/>
      </w:pPr>
      <w:r>
        <w:t>Ugovor o dodjeli bespovratnih sredstava i njegovi prilozi</w:t>
      </w:r>
    </w:p>
    <w:p w:rsidR="00966030" w:rsidRDefault="00202843" w:rsidP="00966030">
      <w:pPr>
        <w:pStyle w:val="ListParagraph"/>
        <w:numPr>
          <w:ilvl w:val="0"/>
          <w:numId w:val="26"/>
        </w:numPr>
        <w:spacing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p w:rsidR="004E049F" w:rsidRPr="004E049F" w:rsidRDefault="004E049F" w:rsidP="004E049F">
      <w:pPr>
        <w:pStyle w:val="ListParagraph"/>
        <w:spacing w:after="0" w:line="240" w:lineRule="auto"/>
        <w:ind w:left="1068"/>
        <w:rPr>
          <w:b/>
        </w:rPr>
      </w:pPr>
    </w:p>
    <w:p w:rsidR="001B18D9" w:rsidRDefault="001B18D9" w:rsidP="001B18D9">
      <w:pPr>
        <w:spacing w:after="0"/>
      </w:pPr>
    </w:p>
    <w:sectPr w:rsidR="001B18D9" w:rsidSect="00BE4450">
      <w:headerReference w:type="default" r:id="rId8"/>
      <w:footerReference w:type="default" r:id="rId9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F5" w:rsidRDefault="00FF2FF5" w:rsidP="004E049F">
      <w:pPr>
        <w:spacing w:after="0" w:line="240" w:lineRule="auto"/>
      </w:pPr>
      <w:r>
        <w:separator/>
      </w:r>
    </w:p>
  </w:endnote>
  <w:end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71D7AA9C" wp14:editId="79B924AB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A560F8">
          <w:rPr>
            <w:noProof/>
          </w:rPr>
          <w:t>4</w:t>
        </w:r>
        <w:r w:rsidR="00623203">
          <w:fldChar w:fldCharType="end"/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F5" w:rsidRDefault="00FF2FF5" w:rsidP="004E049F">
      <w:pPr>
        <w:spacing w:after="0" w:line="240" w:lineRule="auto"/>
      </w:pPr>
      <w:r>
        <w:separator/>
      </w:r>
    </w:p>
  </w:footnote>
  <w:foot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7D4820" w:rsidP="00A56B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A023F12" wp14:editId="633A54DA">
          <wp:simplePos x="0" y="0"/>
          <wp:positionH relativeFrom="column">
            <wp:posOffset>1854200</wp:posOffset>
          </wp:positionH>
          <wp:positionV relativeFrom="paragraph">
            <wp:posOffset>119380</wp:posOffset>
          </wp:positionV>
          <wp:extent cx="2305050" cy="8083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C18" w:rsidRPr="00A56B93">
      <w:rPr>
        <w:noProof/>
        <w:color w:val="0F243E" w:themeColor="text2" w:themeShade="80"/>
        <w:lang w:eastAsia="hr-HR"/>
      </w:rPr>
      <w:drawing>
        <wp:inline distT="0" distB="0" distL="0" distR="0" wp14:anchorId="30446C23" wp14:editId="4BF53BC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                                                                                               </w:t>
    </w:r>
    <w:r w:rsidR="00D04A8D">
      <w:rPr>
        <w:noProof/>
        <w:lang w:eastAsia="hr-HR"/>
      </w:rPr>
      <w:drawing>
        <wp:inline distT="0" distB="0" distL="0" distR="0" wp14:anchorId="5BC5C8ED" wp14:editId="4DBA020A">
          <wp:extent cx="1085215" cy="1091565"/>
          <wp:effectExtent l="0" t="0" r="63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5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28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23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30"/>
  </w:num>
  <w:num w:numId="24">
    <w:abstractNumId w:val="18"/>
  </w:num>
  <w:num w:numId="25">
    <w:abstractNumId w:val="13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2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51D1F"/>
    <w:rsid w:val="0027622E"/>
    <w:rsid w:val="00292C06"/>
    <w:rsid w:val="002A5532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A5E8A"/>
    <w:rsid w:val="003C3656"/>
    <w:rsid w:val="00423428"/>
    <w:rsid w:val="00444DC3"/>
    <w:rsid w:val="00453F1C"/>
    <w:rsid w:val="0048157E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47487"/>
    <w:rsid w:val="00661332"/>
    <w:rsid w:val="006762BA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632EA"/>
    <w:rsid w:val="00776647"/>
    <w:rsid w:val="007B601B"/>
    <w:rsid w:val="007C1E3D"/>
    <w:rsid w:val="007D1839"/>
    <w:rsid w:val="007D244F"/>
    <w:rsid w:val="007D4820"/>
    <w:rsid w:val="007D53D2"/>
    <w:rsid w:val="007F2ABC"/>
    <w:rsid w:val="00823E4D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01B4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560F8"/>
    <w:rsid w:val="00A56B93"/>
    <w:rsid w:val="00A80135"/>
    <w:rsid w:val="00AA12CA"/>
    <w:rsid w:val="00AA5051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BC5F77"/>
    <w:rsid w:val="00BE4450"/>
    <w:rsid w:val="00C05118"/>
    <w:rsid w:val="00C07EE2"/>
    <w:rsid w:val="00C263FC"/>
    <w:rsid w:val="00C4070A"/>
    <w:rsid w:val="00C52362"/>
    <w:rsid w:val="00C74F5D"/>
    <w:rsid w:val="00C909B2"/>
    <w:rsid w:val="00CA2889"/>
    <w:rsid w:val="00CB0443"/>
    <w:rsid w:val="00CD334B"/>
    <w:rsid w:val="00D0460F"/>
    <w:rsid w:val="00D04A8D"/>
    <w:rsid w:val="00D3354A"/>
    <w:rsid w:val="00D81115"/>
    <w:rsid w:val="00D82AF3"/>
    <w:rsid w:val="00D86640"/>
    <w:rsid w:val="00D91B50"/>
    <w:rsid w:val="00DA614B"/>
    <w:rsid w:val="00DC24ED"/>
    <w:rsid w:val="00DF59A2"/>
    <w:rsid w:val="00E15598"/>
    <w:rsid w:val="00E16547"/>
    <w:rsid w:val="00E25264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2FF5"/>
    <w:rsid w:val="00FF3AA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1768474-CD29-41F9-9411-967731B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B5B0-A9E9-4BF9-8CCD-71223AFB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Vladimir Somen</cp:lastModifiedBy>
  <cp:revision>6</cp:revision>
  <cp:lastPrinted>2014-10-17T07:06:00Z</cp:lastPrinted>
  <dcterms:created xsi:type="dcterms:W3CDTF">2014-10-16T08:35:00Z</dcterms:created>
  <dcterms:modified xsi:type="dcterms:W3CDTF">2014-12-15T10:45:00Z</dcterms:modified>
</cp:coreProperties>
</file>