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70" w:type="dxa"/>
        <w:tblLook w:val="04A0" w:firstRow="1" w:lastRow="0" w:firstColumn="1" w:lastColumn="0" w:noHBand="0" w:noVBand="1"/>
      </w:tblPr>
      <w:tblGrid>
        <w:gridCol w:w="7366"/>
        <w:gridCol w:w="6804"/>
      </w:tblGrid>
      <w:tr w:rsidR="0032486C" w:rsidRPr="00023FE8" w14:paraId="14515B48" w14:textId="77777777" w:rsidTr="0032486C">
        <w:tc>
          <w:tcPr>
            <w:tcW w:w="14170" w:type="dxa"/>
            <w:gridSpan w:val="2"/>
            <w:shd w:val="clear" w:color="auto" w:fill="D0CECE" w:themeFill="background2" w:themeFillShade="E6"/>
          </w:tcPr>
          <w:p w14:paraId="117D707E" w14:textId="77777777" w:rsidR="0032486C" w:rsidRPr="0032486C" w:rsidRDefault="0032486C" w:rsidP="002C53F2">
            <w:pPr>
              <w:jc w:val="both"/>
              <w:rPr>
                <w:rFonts w:asciiTheme="majorHAnsi" w:hAnsiTheme="majorHAnsi"/>
                <w:b/>
              </w:rPr>
            </w:pPr>
            <w:r w:rsidRPr="0032486C">
              <w:rPr>
                <w:rFonts w:asciiTheme="majorHAnsi" w:hAnsiTheme="majorHAnsi"/>
                <w:b/>
              </w:rPr>
              <w:t>Sektorska pitanja</w:t>
            </w:r>
          </w:p>
        </w:tc>
      </w:tr>
      <w:tr w:rsidR="00023FE8" w:rsidRPr="00023FE8" w14:paraId="5264E7BF" w14:textId="77777777" w:rsidTr="008F2FD1">
        <w:tc>
          <w:tcPr>
            <w:tcW w:w="7366" w:type="dxa"/>
          </w:tcPr>
          <w:p w14:paraId="102793E7" w14:textId="77777777" w:rsidR="000C32CE" w:rsidRPr="00023FE8" w:rsidRDefault="0032486C" w:rsidP="002C53F2">
            <w:pPr>
              <w:pStyle w:val="ListParagraph"/>
              <w:numPr>
                <w:ilvl w:val="0"/>
                <w:numId w:val="1"/>
              </w:numPr>
              <w:tabs>
                <w:tab w:val="left" w:pos="1695"/>
              </w:tabs>
              <w:jc w:val="both"/>
              <w:rPr>
                <w:rFonts w:asciiTheme="majorHAnsi" w:hAnsiTheme="majorHAnsi"/>
              </w:rPr>
            </w:pPr>
            <w:r w:rsidRPr="0032486C">
              <w:rPr>
                <w:rFonts w:asciiTheme="majorHAnsi" w:hAnsiTheme="majorHAnsi"/>
              </w:rPr>
              <w:t>Hoće li ministarstvo prije početka nastave u rujnu odobriti zapošljavanje novih osoba koje bi trebale pokriti nastavne sate koje će nastavnici zaduženi za rad na projektu morati otpustiti tokom iduće godine (ukoliko im se odmah po potpisu ugovora dostavi zahtjev)? Naime, ukoliko suglasnosti ne stignu na vrijeme moramo u projektne troškove računati bruto II plaću s uključenim prekovremenima jer nastava se mora održavati bez obzira na projekt.</w:t>
            </w:r>
          </w:p>
        </w:tc>
        <w:tc>
          <w:tcPr>
            <w:tcW w:w="6804" w:type="dxa"/>
          </w:tcPr>
          <w:p w14:paraId="5961C7FA" w14:textId="77777777" w:rsidR="00257392" w:rsidRPr="00023FE8" w:rsidRDefault="00257392" w:rsidP="002C53F2">
            <w:pPr>
              <w:jc w:val="both"/>
              <w:rPr>
                <w:rFonts w:asciiTheme="majorHAnsi" w:hAnsiTheme="majorHAnsi"/>
              </w:rPr>
            </w:pPr>
            <w:r w:rsidRPr="00023FE8">
              <w:rPr>
                <w:rFonts w:asciiTheme="majorHAnsi" w:hAnsiTheme="majorHAnsi"/>
              </w:rPr>
              <w:t xml:space="preserve">Ministarstvo znanosti, obrazovanja i sporta zahtjeve za odobravanjem zapošljavanja osoba na određeno vrijeme za vrijeme trajanja projekta za zamjenu osobe koja će raditi na projektu smatrat će prioritetnim zahtjevima ukoliko se pri slanju zahtjeva posebno naznači da se radi o zapošljavanju zamjene za osobe koje će radit na projektu. Također, preporuča se izdvojeno slati takve zahtjeve od ostalih zahtjeva za radna mjesta. </w:t>
            </w:r>
          </w:p>
          <w:p w14:paraId="1741B177" w14:textId="77777777" w:rsidR="00257392" w:rsidRPr="00023FE8" w:rsidRDefault="00257392" w:rsidP="002C53F2">
            <w:pPr>
              <w:jc w:val="both"/>
              <w:rPr>
                <w:rFonts w:asciiTheme="majorHAnsi" w:hAnsiTheme="majorHAnsi"/>
              </w:rPr>
            </w:pPr>
            <w:r w:rsidRPr="00023FE8">
              <w:rPr>
                <w:rFonts w:asciiTheme="majorHAnsi" w:hAnsiTheme="majorHAnsi"/>
              </w:rPr>
              <w:t xml:space="preserve">Također, kako bi sve pravovremeno bilo obavljeno potrebno je zahtjeve za odobravanje zaposlenja uputiti Ministarstvu odmah po potpisivanju ugovora. </w:t>
            </w:r>
          </w:p>
          <w:p w14:paraId="4E41EE6F" w14:textId="77777777" w:rsidR="001C2416" w:rsidRPr="00023FE8" w:rsidRDefault="001C2416" w:rsidP="002C53F2">
            <w:pPr>
              <w:jc w:val="both"/>
              <w:rPr>
                <w:rFonts w:asciiTheme="majorHAnsi" w:hAnsiTheme="majorHAnsi"/>
              </w:rPr>
            </w:pPr>
            <w:r w:rsidRPr="00023FE8">
              <w:rPr>
                <w:rFonts w:asciiTheme="majorHAnsi" w:hAnsiTheme="majorHAnsi"/>
              </w:rPr>
              <w:t>Molimo također obratiti pozornost Odgovore na često postavljena pitanja objavljena 3. travnja 2015. godine (pitanje br. 6).</w:t>
            </w:r>
          </w:p>
        </w:tc>
      </w:tr>
      <w:tr w:rsidR="00040596" w:rsidRPr="00023FE8" w14:paraId="15853A3D" w14:textId="77777777" w:rsidTr="008F2FD1">
        <w:tc>
          <w:tcPr>
            <w:tcW w:w="7366" w:type="dxa"/>
          </w:tcPr>
          <w:p w14:paraId="041B78E9" w14:textId="77777777" w:rsidR="000C32CE" w:rsidRPr="00023FE8" w:rsidRDefault="000C32CE" w:rsidP="002C53F2">
            <w:pPr>
              <w:pStyle w:val="ListParagraph"/>
              <w:numPr>
                <w:ilvl w:val="0"/>
                <w:numId w:val="1"/>
              </w:numPr>
              <w:tabs>
                <w:tab w:val="left" w:pos="1695"/>
              </w:tabs>
              <w:jc w:val="both"/>
              <w:rPr>
                <w:rFonts w:asciiTheme="majorHAnsi" w:hAnsiTheme="majorHAnsi"/>
              </w:rPr>
            </w:pPr>
            <w:r w:rsidRPr="00023FE8">
              <w:rPr>
                <w:rFonts w:asciiTheme="majorHAnsi" w:hAnsiTheme="majorHAnsi"/>
              </w:rPr>
              <w:t>Kako je najbolje regulirati zaduženja nastavnika uključenih u projekt obzirom da su zaposleni na neodređeno za održavanje nastave a sada će određeni postotak njihova rada biti financiran kroz projekt? Je li potreban aneks ugovoru o radu za te nastavnike?</w:t>
            </w:r>
          </w:p>
        </w:tc>
        <w:tc>
          <w:tcPr>
            <w:tcW w:w="6804" w:type="dxa"/>
          </w:tcPr>
          <w:p w14:paraId="2CFA330D" w14:textId="77777777" w:rsidR="000C32CE" w:rsidRPr="00023FE8" w:rsidRDefault="00B43857" w:rsidP="002C53F2">
            <w:pPr>
              <w:jc w:val="both"/>
              <w:rPr>
                <w:rFonts w:asciiTheme="majorHAnsi" w:hAnsiTheme="majorHAnsi"/>
              </w:rPr>
            </w:pPr>
            <w:r w:rsidRPr="00023FE8">
              <w:rPr>
                <w:rFonts w:asciiTheme="majorHAnsi" w:hAnsiTheme="majorHAnsi"/>
              </w:rPr>
              <w:t>Da, potreban je aneks ugovora o radu.</w:t>
            </w:r>
            <w:bookmarkStart w:id="0" w:name="_GoBack"/>
            <w:bookmarkEnd w:id="0"/>
          </w:p>
        </w:tc>
      </w:tr>
      <w:tr w:rsidR="00C64848" w:rsidRPr="0032486C" w14:paraId="39ACA9E5" w14:textId="77777777" w:rsidTr="00353473">
        <w:tc>
          <w:tcPr>
            <w:tcW w:w="14170" w:type="dxa"/>
            <w:gridSpan w:val="2"/>
            <w:shd w:val="clear" w:color="auto" w:fill="D0CECE" w:themeFill="background2" w:themeFillShade="E6"/>
          </w:tcPr>
          <w:p w14:paraId="3317F8B3" w14:textId="77777777" w:rsidR="00C64848" w:rsidRPr="0032486C" w:rsidRDefault="00C64848" w:rsidP="002C53F2">
            <w:pPr>
              <w:tabs>
                <w:tab w:val="center" w:pos="6977"/>
                <w:tab w:val="left" w:pos="9135"/>
              </w:tabs>
              <w:jc w:val="both"/>
              <w:rPr>
                <w:rFonts w:asciiTheme="majorHAnsi" w:hAnsiTheme="majorHAnsi"/>
                <w:b/>
              </w:rPr>
            </w:pPr>
            <w:r w:rsidRPr="0032486C">
              <w:rPr>
                <w:rFonts w:asciiTheme="majorHAnsi" w:hAnsiTheme="majorHAnsi"/>
                <w:b/>
              </w:rPr>
              <w:tab/>
              <w:t>Financiranje i prihvatljivost troškova</w:t>
            </w:r>
            <w:r w:rsidRPr="0032486C">
              <w:rPr>
                <w:rFonts w:asciiTheme="majorHAnsi" w:hAnsiTheme="majorHAnsi"/>
                <w:b/>
              </w:rPr>
              <w:tab/>
            </w:r>
          </w:p>
        </w:tc>
      </w:tr>
      <w:tr w:rsidR="00C64848" w:rsidRPr="00023FE8" w14:paraId="7803BAF0" w14:textId="77777777" w:rsidTr="00353473">
        <w:tc>
          <w:tcPr>
            <w:tcW w:w="7366" w:type="dxa"/>
          </w:tcPr>
          <w:p w14:paraId="2FFE78E1" w14:textId="77777777" w:rsidR="00C64848" w:rsidRPr="00023FE8" w:rsidRDefault="00C64848" w:rsidP="002C53F2">
            <w:pPr>
              <w:pStyle w:val="ListParagraph"/>
              <w:numPr>
                <w:ilvl w:val="0"/>
                <w:numId w:val="1"/>
              </w:numPr>
              <w:tabs>
                <w:tab w:val="left" w:pos="1695"/>
              </w:tabs>
              <w:jc w:val="both"/>
              <w:rPr>
                <w:rFonts w:asciiTheme="majorHAnsi" w:hAnsiTheme="majorHAnsi"/>
              </w:rPr>
            </w:pPr>
            <w:r w:rsidRPr="00E17D56">
              <w:rPr>
                <w:rFonts w:asciiTheme="majorHAnsi" w:hAnsiTheme="majorHAnsi"/>
              </w:rPr>
              <w:t>Ukoliko je planirana aktivnost edukacija nastavnika u nekoj europskoj instituciji čija je djelatnost obavljanje edukacija nastavnika (dakle ne škola), smatra li se to studijskim putovanjem ili edukacijom. Podliježe li to ograničenju od 15% ukupnih troškova koja su prihvatljiva za studijska putovanja ili taj trošak pripada stavci edukacije nastavnika.</w:t>
            </w:r>
          </w:p>
        </w:tc>
        <w:tc>
          <w:tcPr>
            <w:tcW w:w="6804" w:type="dxa"/>
          </w:tcPr>
          <w:p w14:paraId="50701C8A" w14:textId="77777777" w:rsidR="00C64848" w:rsidRPr="00023FE8" w:rsidRDefault="00C64848" w:rsidP="002C53F2">
            <w:pPr>
              <w:jc w:val="both"/>
              <w:rPr>
                <w:rFonts w:asciiTheme="majorHAnsi" w:hAnsiTheme="majorHAnsi"/>
              </w:rPr>
            </w:pPr>
            <w:r w:rsidRPr="00E17D56">
              <w:rPr>
                <w:rFonts w:asciiTheme="majorHAnsi" w:hAnsiTheme="majorHAnsi"/>
              </w:rPr>
              <w:t>Ovisno o obrazloženju stavke troška ista će biti predmetom provjere prihvatljivosti od strane Posredničkog tijela razine 2 koji ima pravo od prijavitelja tražiti dodatne informacije kako bi se ocijenila prihvatljivost i/ili vrsta planiranog troška.</w:t>
            </w:r>
          </w:p>
        </w:tc>
      </w:tr>
      <w:tr w:rsidR="00C64848" w:rsidRPr="00023FE8" w14:paraId="43181357" w14:textId="77777777" w:rsidTr="00353473">
        <w:tc>
          <w:tcPr>
            <w:tcW w:w="7366" w:type="dxa"/>
          </w:tcPr>
          <w:p w14:paraId="42277D1A" w14:textId="77777777" w:rsidR="00C64848" w:rsidRPr="00023FE8" w:rsidRDefault="00C64848" w:rsidP="002C53F2">
            <w:pPr>
              <w:pStyle w:val="ListParagraph"/>
              <w:numPr>
                <w:ilvl w:val="0"/>
                <w:numId w:val="1"/>
              </w:numPr>
              <w:tabs>
                <w:tab w:val="left" w:pos="1695"/>
              </w:tabs>
              <w:jc w:val="both"/>
              <w:rPr>
                <w:rFonts w:asciiTheme="majorHAnsi" w:hAnsiTheme="majorHAnsi"/>
              </w:rPr>
            </w:pPr>
            <w:r w:rsidRPr="00023FE8">
              <w:rPr>
                <w:rFonts w:asciiTheme="majorHAnsi" w:hAnsiTheme="majorHAnsi"/>
              </w:rPr>
              <w:t>Odnosi li se ograničenje do 10% sredstava koja su prihvatljiva za nabavu opreme i do 15% sredstava prihvatljivih za studijska putovanja na UGOVORENE troškova projekta?</w:t>
            </w:r>
          </w:p>
        </w:tc>
        <w:tc>
          <w:tcPr>
            <w:tcW w:w="6804" w:type="dxa"/>
          </w:tcPr>
          <w:p w14:paraId="7FF72848" w14:textId="77777777" w:rsidR="00C64848" w:rsidRPr="00023FE8" w:rsidRDefault="00C64848" w:rsidP="002C53F2">
            <w:pPr>
              <w:jc w:val="both"/>
              <w:rPr>
                <w:rFonts w:asciiTheme="majorHAnsi" w:hAnsiTheme="majorHAnsi"/>
              </w:rPr>
            </w:pPr>
            <w:r w:rsidRPr="00023FE8">
              <w:rPr>
                <w:rFonts w:asciiTheme="majorHAnsi" w:hAnsiTheme="majorHAnsi"/>
              </w:rPr>
              <w:t>Prema uputama za prijavitelje, čl. 4.3.1. Vrijednost kupnje strojeva,  opreme i namještaja ne smije premašiti 10% ukupnih prihvatljivih troškova projekta. Dok su troškovi studijskih putovanja ograničeni  do 15% ukupnih prihvatljivih troškova projekta, sukladno čl. 4.3.2. Up</w:t>
            </w:r>
            <w:r w:rsidR="002C53F2">
              <w:rPr>
                <w:rFonts w:asciiTheme="majorHAnsi" w:hAnsiTheme="majorHAnsi"/>
              </w:rPr>
              <w:t>uta za prijavitelje. Tijekom provjere</w:t>
            </w:r>
            <w:r w:rsidRPr="00023FE8">
              <w:rPr>
                <w:rFonts w:asciiTheme="majorHAnsi" w:hAnsiTheme="majorHAnsi"/>
              </w:rPr>
              <w:t xml:space="preserve"> prihvatljivosti  projekta Agencija za strukovno obrazovanje i obrazovanje odraslih, Organizacijska jedinica za upravljanje </w:t>
            </w:r>
          </w:p>
          <w:p w14:paraId="47D14A31" w14:textId="77777777" w:rsidR="00C64848" w:rsidRPr="00023FE8" w:rsidRDefault="00C64848" w:rsidP="002C53F2">
            <w:pPr>
              <w:jc w:val="both"/>
              <w:rPr>
                <w:rFonts w:asciiTheme="majorHAnsi" w:hAnsiTheme="majorHAnsi"/>
              </w:rPr>
            </w:pPr>
            <w:r w:rsidRPr="00023FE8">
              <w:rPr>
                <w:rFonts w:asciiTheme="majorHAnsi" w:hAnsiTheme="majorHAnsi"/>
              </w:rPr>
              <w:t>strukturnim instrumentima provjerava jesu li ispunjeni uvjeti za financiranje određujući maksimalni iznos prihvatljivih troškova projekta, a u skladu s čl. 6.4. Uputa.</w:t>
            </w:r>
          </w:p>
        </w:tc>
      </w:tr>
      <w:tr w:rsidR="00C64848" w:rsidRPr="00023FE8" w14:paraId="47F87CFE" w14:textId="77777777" w:rsidTr="00353473">
        <w:tc>
          <w:tcPr>
            <w:tcW w:w="7366" w:type="dxa"/>
          </w:tcPr>
          <w:p w14:paraId="0DAACCC5" w14:textId="77777777" w:rsidR="00C64848" w:rsidRPr="00F5108C" w:rsidRDefault="00C64848" w:rsidP="002C53F2">
            <w:pPr>
              <w:pStyle w:val="ListParagraph"/>
              <w:numPr>
                <w:ilvl w:val="0"/>
                <w:numId w:val="1"/>
              </w:numPr>
              <w:tabs>
                <w:tab w:val="left" w:pos="1695"/>
              </w:tabs>
              <w:jc w:val="both"/>
              <w:rPr>
                <w:rFonts w:asciiTheme="majorHAnsi" w:hAnsiTheme="majorHAnsi"/>
              </w:rPr>
            </w:pPr>
            <w:r w:rsidRPr="00F5108C">
              <w:rPr>
                <w:rFonts w:asciiTheme="majorHAnsi" w:hAnsiTheme="majorHAnsi"/>
              </w:rPr>
              <w:lastRenderedPageBreak/>
              <w:t>Da li trošak zamjene nastavnika koji je na studijskom putovanju spada u okvir 15% ukupnih prihvatljivih troškova za studijsko putovanje?</w:t>
            </w:r>
          </w:p>
        </w:tc>
        <w:tc>
          <w:tcPr>
            <w:tcW w:w="6804" w:type="dxa"/>
          </w:tcPr>
          <w:p w14:paraId="6C7E6513" w14:textId="77777777" w:rsidR="00C64848" w:rsidRPr="00023FE8" w:rsidRDefault="00C64848" w:rsidP="002C53F2">
            <w:pPr>
              <w:tabs>
                <w:tab w:val="left" w:pos="2085"/>
              </w:tabs>
              <w:jc w:val="both"/>
              <w:rPr>
                <w:rFonts w:asciiTheme="majorHAnsi" w:hAnsiTheme="majorHAnsi"/>
              </w:rPr>
            </w:pPr>
            <w:r w:rsidRPr="00023FE8">
              <w:rPr>
                <w:rFonts w:asciiTheme="majorHAnsi" w:hAnsiTheme="majorHAnsi"/>
              </w:rPr>
              <w:t>Ne. Prema točki 4.3.1. Uputa za prijavitelje objavljenih u sklopu ovog Poziva prihvatljivi troškovi rada predstavljaju troškovi osoba zaposlenih   na provedbi projektnih aktivnosti.</w:t>
            </w:r>
          </w:p>
        </w:tc>
      </w:tr>
      <w:tr w:rsidR="00C64848" w:rsidRPr="00023FE8" w14:paraId="410332A5" w14:textId="77777777" w:rsidTr="00353473">
        <w:tc>
          <w:tcPr>
            <w:tcW w:w="7366" w:type="dxa"/>
          </w:tcPr>
          <w:p w14:paraId="22DFF61D" w14:textId="77777777" w:rsidR="00C64848" w:rsidRPr="00023FE8" w:rsidRDefault="00C64848" w:rsidP="002C53F2">
            <w:pPr>
              <w:pStyle w:val="ListParagraph"/>
              <w:numPr>
                <w:ilvl w:val="0"/>
                <w:numId w:val="1"/>
              </w:numPr>
              <w:tabs>
                <w:tab w:val="left" w:pos="1695"/>
              </w:tabs>
              <w:jc w:val="both"/>
              <w:rPr>
                <w:rFonts w:asciiTheme="majorHAnsi" w:hAnsiTheme="majorHAnsi"/>
              </w:rPr>
            </w:pPr>
            <w:r w:rsidRPr="00023FE8">
              <w:rPr>
                <w:rFonts w:asciiTheme="majorHAnsi" w:hAnsiTheme="majorHAnsi"/>
              </w:rPr>
              <w:t>Da li je oprema koja će biti potrebna za izvođenje kurikuluma koji će se za vrijeme trajanja projekta samo pripremati  (npr. računala) prihvatljiv trošak?</w:t>
            </w:r>
          </w:p>
        </w:tc>
        <w:tc>
          <w:tcPr>
            <w:tcW w:w="6804" w:type="dxa"/>
          </w:tcPr>
          <w:p w14:paraId="04F18836" w14:textId="77777777" w:rsidR="00C64848" w:rsidRPr="00023FE8" w:rsidRDefault="00C64848" w:rsidP="002C53F2">
            <w:pPr>
              <w:jc w:val="both"/>
              <w:rPr>
                <w:rFonts w:asciiTheme="majorHAnsi" w:hAnsiTheme="majorHAnsi"/>
              </w:rPr>
            </w:pPr>
            <w:r w:rsidRPr="00023FE8">
              <w:rPr>
                <w:rFonts w:asciiTheme="majorHAnsi" w:hAnsiTheme="majorHAnsi"/>
              </w:rPr>
              <w:t>Sukladno točki 4.3.1. Uputa za prijavitelje objavljenih u sklopu ovog Poziva omogućeno je i financiranje troška nabave strojeva, opreme i namještaja ako je to prihvatljivo i nužno potrebno za provedbu projekta.  Kupnja strojeva, opreme i namještaja prihvatljiva je samo u slučaju da je utemeljena u projektnim aktivnostima i nužno potrebna za postizanje ciljeva projekta i to pod uvjetom da je kupljeno uključeno u registar osnovnih sredstava prijavitelja, odnosno projektnog partnera, i da se tretira kao osnovno sredstvo u skladu s opće prihvaćenim računovodstvenim standardima.</w:t>
            </w:r>
          </w:p>
        </w:tc>
      </w:tr>
      <w:tr w:rsidR="00933587" w:rsidRPr="00040596" w14:paraId="3F51E760" w14:textId="77777777" w:rsidTr="00353473">
        <w:tc>
          <w:tcPr>
            <w:tcW w:w="14170" w:type="dxa"/>
            <w:gridSpan w:val="2"/>
            <w:shd w:val="clear" w:color="auto" w:fill="D0CECE" w:themeFill="background2" w:themeFillShade="E6"/>
          </w:tcPr>
          <w:p w14:paraId="32BAB22B" w14:textId="77777777" w:rsidR="00933587" w:rsidRPr="00040596" w:rsidRDefault="00933587" w:rsidP="002C53F2">
            <w:pPr>
              <w:jc w:val="both"/>
              <w:rPr>
                <w:rFonts w:asciiTheme="majorHAnsi" w:hAnsiTheme="majorHAnsi"/>
                <w:b/>
              </w:rPr>
            </w:pPr>
            <w:r w:rsidRPr="00040596">
              <w:rPr>
                <w:rFonts w:asciiTheme="majorHAnsi" w:hAnsiTheme="majorHAnsi"/>
                <w:b/>
              </w:rPr>
              <w:t>Honorari/Plaće</w:t>
            </w:r>
          </w:p>
        </w:tc>
      </w:tr>
      <w:tr w:rsidR="00933587" w:rsidRPr="00023FE8" w14:paraId="06C250CA" w14:textId="77777777" w:rsidTr="00353473">
        <w:tc>
          <w:tcPr>
            <w:tcW w:w="7366" w:type="dxa"/>
          </w:tcPr>
          <w:p w14:paraId="442619DA" w14:textId="77777777" w:rsidR="00933587" w:rsidRPr="00023FE8" w:rsidRDefault="00933587" w:rsidP="002C53F2">
            <w:pPr>
              <w:pStyle w:val="ListParagraph"/>
              <w:numPr>
                <w:ilvl w:val="0"/>
                <w:numId w:val="1"/>
              </w:numPr>
              <w:tabs>
                <w:tab w:val="left" w:pos="1185"/>
              </w:tabs>
              <w:jc w:val="both"/>
              <w:rPr>
                <w:rFonts w:asciiTheme="majorHAnsi" w:hAnsiTheme="majorHAnsi"/>
              </w:rPr>
            </w:pPr>
            <w:r w:rsidRPr="00023FE8">
              <w:rPr>
                <w:rFonts w:asciiTheme="majorHAnsi" w:hAnsiTheme="majorHAnsi"/>
              </w:rPr>
              <w:t>Je li prihvatljiv trošak honorar (plaća u vrijednosti 15 000 kuna neto – oko 25 000 bruto za cijeli projekt) za vanjskog djelatnika koji bi vodio projekt za našu školu?</w:t>
            </w:r>
          </w:p>
        </w:tc>
        <w:tc>
          <w:tcPr>
            <w:tcW w:w="6804" w:type="dxa"/>
          </w:tcPr>
          <w:p w14:paraId="04BAA115" w14:textId="77777777" w:rsidR="00933587" w:rsidRPr="00023FE8" w:rsidRDefault="002C53F2" w:rsidP="003A4048">
            <w:pPr>
              <w:jc w:val="both"/>
              <w:rPr>
                <w:rFonts w:asciiTheme="majorHAnsi" w:hAnsiTheme="majorHAnsi"/>
              </w:rPr>
            </w:pPr>
            <w:r>
              <w:rPr>
                <w:rFonts w:asciiTheme="majorHAnsi" w:hAnsiTheme="majorHAnsi"/>
              </w:rPr>
              <w:t>Troškovi upravljanja projektom i administracija su prihvatljivi</w:t>
            </w:r>
            <w:r w:rsidR="003A4048">
              <w:rPr>
                <w:rFonts w:asciiTheme="majorHAnsi" w:hAnsiTheme="majorHAnsi"/>
              </w:rPr>
              <w:t xml:space="preserve"> troškovi sukladno točci 4.3.Uputa za prijavitelje.</w:t>
            </w:r>
            <w:r>
              <w:rPr>
                <w:rFonts w:asciiTheme="majorHAnsi" w:hAnsiTheme="majorHAnsi"/>
              </w:rPr>
              <w:t xml:space="preserve"> </w:t>
            </w:r>
            <w:r w:rsidR="003A4048">
              <w:rPr>
                <w:rFonts w:asciiTheme="majorHAnsi" w:hAnsiTheme="majorHAnsi"/>
              </w:rPr>
              <w:t xml:space="preserve">Napominjano da, </w:t>
            </w:r>
            <w:r w:rsidR="00933587" w:rsidRPr="00023FE8">
              <w:rPr>
                <w:rFonts w:asciiTheme="majorHAnsi" w:hAnsiTheme="majorHAnsi"/>
              </w:rPr>
              <w:t>za prijavitelje iznosi uključeni u proračun projekta moraju biti realistični i troškovno učinkoviti, tj. navedeni troškovi moraju biti nužni za ostvarivanje očekivanih ishoda i rezultata, te temeljeni na tržišnim cijenama.</w:t>
            </w:r>
          </w:p>
        </w:tc>
      </w:tr>
      <w:tr w:rsidR="000C05F0" w:rsidRPr="00675CFD" w14:paraId="4D99B8D6" w14:textId="77777777" w:rsidTr="00353473">
        <w:tc>
          <w:tcPr>
            <w:tcW w:w="14170" w:type="dxa"/>
            <w:gridSpan w:val="2"/>
            <w:shd w:val="clear" w:color="auto" w:fill="D0CECE" w:themeFill="background2" w:themeFillShade="E6"/>
          </w:tcPr>
          <w:p w14:paraId="67A204A9" w14:textId="77777777" w:rsidR="000C05F0" w:rsidRPr="00675CFD" w:rsidRDefault="000C05F0" w:rsidP="002C53F2">
            <w:pPr>
              <w:tabs>
                <w:tab w:val="left" w:pos="2232"/>
              </w:tabs>
              <w:jc w:val="both"/>
              <w:rPr>
                <w:rFonts w:asciiTheme="majorHAnsi" w:hAnsiTheme="majorHAnsi"/>
                <w:b/>
              </w:rPr>
            </w:pPr>
            <w:r w:rsidRPr="00675CFD">
              <w:rPr>
                <w:rFonts w:asciiTheme="majorHAnsi" w:hAnsiTheme="majorHAnsi"/>
                <w:b/>
              </w:rPr>
              <w:t>Prijavitelji/Partneri</w:t>
            </w:r>
          </w:p>
        </w:tc>
      </w:tr>
      <w:tr w:rsidR="000C05F0" w:rsidRPr="00023FE8" w14:paraId="3695B21B" w14:textId="77777777" w:rsidTr="00353473">
        <w:tc>
          <w:tcPr>
            <w:tcW w:w="7366" w:type="dxa"/>
          </w:tcPr>
          <w:p w14:paraId="1D54C3BC" w14:textId="77777777" w:rsidR="000C05F0" w:rsidRPr="00023FE8" w:rsidRDefault="000C05F0" w:rsidP="002C53F2">
            <w:pPr>
              <w:pStyle w:val="ListParagraph"/>
              <w:numPr>
                <w:ilvl w:val="0"/>
                <w:numId w:val="1"/>
              </w:numPr>
              <w:tabs>
                <w:tab w:val="left" w:pos="1695"/>
              </w:tabs>
              <w:jc w:val="both"/>
              <w:rPr>
                <w:rFonts w:asciiTheme="majorHAnsi" w:hAnsiTheme="majorHAnsi"/>
              </w:rPr>
            </w:pPr>
            <w:r w:rsidRPr="00023FE8">
              <w:rPr>
                <w:rFonts w:asciiTheme="majorHAnsi" w:hAnsiTheme="majorHAnsi"/>
              </w:rPr>
              <w:t>Mora li partner nužno biti ustanova koja obavlja djelatnost srednjeg obrazovanja ili se to odnosi samo na nositelja/prijavitelja?</w:t>
            </w:r>
          </w:p>
        </w:tc>
        <w:tc>
          <w:tcPr>
            <w:tcW w:w="6804" w:type="dxa"/>
          </w:tcPr>
          <w:p w14:paraId="57E5BC8A" w14:textId="77777777" w:rsidR="000C05F0" w:rsidRPr="00023FE8" w:rsidRDefault="000C05F0" w:rsidP="002C53F2">
            <w:pPr>
              <w:jc w:val="both"/>
              <w:rPr>
                <w:rFonts w:asciiTheme="majorHAnsi" w:hAnsiTheme="majorHAnsi"/>
              </w:rPr>
            </w:pPr>
            <w:r w:rsidRPr="00023FE8">
              <w:rPr>
                <w:rFonts w:asciiTheme="majorHAnsi" w:hAnsiTheme="majorHAnsi"/>
              </w:rPr>
              <w:t>Sukladno Uputama za prijavitelje (poglavlje 4.1.3. Prihvatljivi partneri) partneri na projektu mogu biti:</w:t>
            </w:r>
          </w:p>
          <w:p w14:paraId="237EF1A5" w14:textId="77777777" w:rsidR="000C05F0" w:rsidRPr="00023FE8" w:rsidRDefault="000C05F0" w:rsidP="002C53F2">
            <w:pPr>
              <w:pStyle w:val="ListParagraph"/>
              <w:numPr>
                <w:ilvl w:val="0"/>
                <w:numId w:val="2"/>
              </w:numPr>
              <w:jc w:val="both"/>
              <w:rPr>
                <w:rFonts w:asciiTheme="majorHAnsi" w:hAnsiTheme="majorHAnsi"/>
              </w:rPr>
            </w:pPr>
            <w:r w:rsidRPr="00023FE8">
              <w:rPr>
                <w:rFonts w:asciiTheme="majorHAnsi" w:hAnsiTheme="majorHAnsi"/>
              </w:rPr>
              <w:t>ustanove koje obavljaju djelatnost srednjeg obrazovanja prema gimnazijskom programu sukladno Zakonu o odgoju i obrazovanju u osnovnoj i srednjoj školi (87/08, 86/09, 92/10, 105/10, 90/11, 5/12, 16/12, 86/12, 126/12, 94/13, 152/14);</w:t>
            </w:r>
          </w:p>
          <w:p w14:paraId="580915EA" w14:textId="77777777" w:rsidR="000C05F0" w:rsidRPr="00023FE8" w:rsidRDefault="000C05F0" w:rsidP="002C53F2">
            <w:pPr>
              <w:pStyle w:val="ListParagraph"/>
              <w:numPr>
                <w:ilvl w:val="0"/>
                <w:numId w:val="2"/>
              </w:numPr>
              <w:jc w:val="both"/>
              <w:rPr>
                <w:rFonts w:asciiTheme="majorHAnsi" w:hAnsiTheme="majorHAnsi"/>
              </w:rPr>
            </w:pPr>
            <w:r w:rsidRPr="00023FE8">
              <w:rPr>
                <w:rFonts w:asciiTheme="majorHAnsi" w:hAnsiTheme="majorHAnsi"/>
              </w:rPr>
              <w:t>visoka učilišta (tj. sveučilišta, sastavnice sveučilišta, veleučilišta, visoke škole, bez obzira na vlasništvo);</w:t>
            </w:r>
          </w:p>
          <w:p w14:paraId="6F9A9D14" w14:textId="77777777" w:rsidR="000C05F0" w:rsidRPr="00023FE8" w:rsidRDefault="000C05F0" w:rsidP="002C53F2">
            <w:pPr>
              <w:pStyle w:val="ListParagraph"/>
              <w:numPr>
                <w:ilvl w:val="0"/>
                <w:numId w:val="2"/>
              </w:numPr>
              <w:jc w:val="both"/>
              <w:rPr>
                <w:rFonts w:asciiTheme="majorHAnsi" w:hAnsiTheme="majorHAnsi"/>
              </w:rPr>
            </w:pPr>
            <w:r w:rsidRPr="00023FE8">
              <w:rPr>
                <w:rFonts w:asciiTheme="majorHAnsi" w:hAnsiTheme="majorHAnsi"/>
              </w:rPr>
              <w:t>znanstveno – istraživački instituti</w:t>
            </w:r>
          </w:p>
          <w:p w14:paraId="1988F7C3" w14:textId="77777777" w:rsidR="000C05F0" w:rsidRPr="00023FE8" w:rsidRDefault="000C05F0" w:rsidP="002C53F2">
            <w:pPr>
              <w:pStyle w:val="ListParagraph"/>
              <w:numPr>
                <w:ilvl w:val="0"/>
                <w:numId w:val="2"/>
              </w:numPr>
              <w:jc w:val="both"/>
              <w:rPr>
                <w:rFonts w:asciiTheme="majorHAnsi" w:hAnsiTheme="majorHAnsi"/>
              </w:rPr>
            </w:pPr>
            <w:r w:rsidRPr="00023FE8">
              <w:rPr>
                <w:rFonts w:asciiTheme="majorHAnsi" w:hAnsiTheme="majorHAnsi"/>
              </w:rPr>
              <w:t>jedinice lokalne i regionalne samouprave;</w:t>
            </w:r>
          </w:p>
        </w:tc>
      </w:tr>
      <w:tr w:rsidR="000C05F0" w:rsidRPr="00023FE8" w14:paraId="6080E561" w14:textId="77777777" w:rsidTr="00353473">
        <w:tc>
          <w:tcPr>
            <w:tcW w:w="7366" w:type="dxa"/>
          </w:tcPr>
          <w:p w14:paraId="27DE8D7A" w14:textId="77777777" w:rsidR="000C05F0" w:rsidRPr="00023FE8" w:rsidRDefault="000C05F0" w:rsidP="002C53F2">
            <w:pPr>
              <w:pStyle w:val="ListParagraph"/>
              <w:numPr>
                <w:ilvl w:val="0"/>
                <w:numId w:val="1"/>
              </w:numPr>
              <w:tabs>
                <w:tab w:val="left" w:pos="1695"/>
              </w:tabs>
              <w:jc w:val="both"/>
              <w:rPr>
                <w:rFonts w:asciiTheme="majorHAnsi" w:hAnsiTheme="majorHAnsi"/>
              </w:rPr>
            </w:pPr>
            <w:r w:rsidRPr="00023FE8">
              <w:rPr>
                <w:rFonts w:asciiTheme="majorHAnsi" w:hAnsiTheme="majorHAnsi"/>
              </w:rPr>
              <w:t>Jesu li udruge isključene iz natječaja u ulozi partnera?</w:t>
            </w:r>
          </w:p>
        </w:tc>
        <w:tc>
          <w:tcPr>
            <w:tcW w:w="6804" w:type="dxa"/>
          </w:tcPr>
          <w:p w14:paraId="1FE648BB" w14:textId="77777777" w:rsidR="000C05F0" w:rsidRPr="00023FE8" w:rsidRDefault="000C05F0" w:rsidP="002C53F2">
            <w:pPr>
              <w:jc w:val="both"/>
              <w:rPr>
                <w:rFonts w:asciiTheme="majorHAnsi" w:hAnsiTheme="majorHAnsi"/>
              </w:rPr>
            </w:pPr>
            <w:r w:rsidRPr="00023FE8">
              <w:rPr>
                <w:rFonts w:asciiTheme="majorHAnsi" w:hAnsiTheme="majorHAnsi"/>
              </w:rPr>
              <w:t>U okviru ovog Poziva udruge nisu prihvatljiv prijavitelj/partner.</w:t>
            </w:r>
          </w:p>
        </w:tc>
      </w:tr>
      <w:tr w:rsidR="007154AA" w:rsidRPr="00040596" w14:paraId="505AF985" w14:textId="77777777" w:rsidTr="00353473">
        <w:tc>
          <w:tcPr>
            <w:tcW w:w="14170" w:type="dxa"/>
            <w:gridSpan w:val="2"/>
            <w:shd w:val="clear" w:color="auto" w:fill="D0CECE" w:themeFill="background2" w:themeFillShade="E6"/>
          </w:tcPr>
          <w:p w14:paraId="4BECA3F6" w14:textId="77777777" w:rsidR="007154AA" w:rsidRPr="00040596" w:rsidRDefault="007154AA" w:rsidP="002C53F2">
            <w:pPr>
              <w:tabs>
                <w:tab w:val="center" w:pos="6977"/>
                <w:tab w:val="left" w:pos="8805"/>
              </w:tabs>
              <w:jc w:val="both"/>
              <w:rPr>
                <w:rFonts w:asciiTheme="majorHAnsi" w:hAnsiTheme="majorHAnsi"/>
                <w:b/>
              </w:rPr>
            </w:pPr>
            <w:r>
              <w:rPr>
                <w:rFonts w:asciiTheme="majorHAnsi" w:hAnsiTheme="majorHAnsi"/>
                <w:b/>
              </w:rPr>
              <w:tab/>
            </w:r>
            <w:r w:rsidRPr="00040596">
              <w:rPr>
                <w:rFonts w:asciiTheme="majorHAnsi" w:hAnsiTheme="majorHAnsi"/>
                <w:b/>
              </w:rPr>
              <w:t>Ostalo</w:t>
            </w:r>
            <w:r>
              <w:rPr>
                <w:rFonts w:asciiTheme="majorHAnsi" w:hAnsiTheme="majorHAnsi"/>
                <w:b/>
              </w:rPr>
              <w:tab/>
            </w:r>
          </w:p>
        </w:tc>
      </w:tr>
      <w:tr w:rsidR="007154AA" w:rsidRPr="00023FE8" w14:paraId="35BF9941" w14:textId="77777777" w:rsidTr="00353473">
        <w:tc>
          <w:tcPr>
            <w:tcW w:w="7366" w:type="dxa"/>
          </w:tcPr>
          <w:p w14:paraId="4D234566" w14:textId="77777777" w:rsidR="007154AA" w:rsidRPr="00F5108C" w:rsidRDefault="007154AA" w:rsidP="002C53F2">
            <w:pPr>
              <w:pStyle w:val="ListParagraph"/>
              <w:numPr>
                <w:ilvl w:val="0"/>
                <w:numId w:val="1"/>
              </w:numPr>
              <w:jc w:val="both"/>
              <w:rPr>
                <w:rFonts w:asciiTheme="majorHAnsi" w:hAnsiTheme="majorHAnsi"/>
              </w:rPr>
            </w:pPr>
            <w:r w:rsidRPr="00F5108C">
              <w:rPr>
                <w:rFonts w:asciiTheme="majorHAnsi" w:hAnsiTheme="majorHAnsi"/>
              </w:rPr>
              <w:lastRenderedPageBreak/>
              <w:t>Koliko često Korisnik ima pravo tražiti nadoknadu sredstava?</w:t>
            </w:r>
          </w:p>
        </w:tc>
        <w:tc>
          <w:tcPr>
            <w:tcW w:w="6804" w:type="dxa"/>
          </w:tcPr>
          <w:p w14:paraId="5D2A2AFA" w14:textId="77777777" w:rsidR="007154AA" w:rsidRPr="00023FE8" w:rsidRDefault="007154AA" w:rsidP="002C53F2">
            <w:pPr>
              <w:jc w:val="both"/>
              <w:rPr>
                <w:rFonts w:asciiTheme="majorHAnsi" w:hAnsiTheme="majorHAnsi"/>
              </w:rPr>
            </w:pPr>
            <w:r w:rsidRPr="00023FE8">
              <w:rPr>
                <w:rFonts w:asciiTheme="majorHAnsi" w:hAnsiTheme="majorHAnsi"/>
              </w:rPr>
              <w:t>Učestalost slanja Zahtjeva za nadoknadom sredstava regulirana je člankom 15.9.Općih uvjeta Ugovora o bespovratnim sredstvima uzimajući u obzir situaciju Korisnikova novčanog tijeka i podnesenog rasporeda izdataka koji će se potraživati. Raspored izdataka je dopušteno prilagoditi novonastaloj situaciji sa svakim slanjem Zahtjeva za nadoknadom sredstava. Također, sukladno članku 2.3. Općih uvjeta ugovora, izvješća o napretku podnose se u roku od 15 kalendarskih dana nakon isteka svaka tri mjeseca provedbe Projekta, te Završno izvješće koje se podnosi u roku od 30 kalendarskih dana nakon posljednjega dana razdoblja provedbe Projekta.  Procedura odobravanja podnesenih izvješća, kao i isplata temeljem iste, detaljno je opisana u članku 15 Općih uvjeta Ugovora. Molimo imajte na umu da sukladno članku 3.4 Posebnih uvjeta Ugovora objavljenih u sklopu Poziva, Korisnik ima pravo Zahtjevom za nadoknadu sredstava potraživati samo nadoknadu nastalih i već plaćenih izdataka.</w:t>
            </w:r>
          </w:p>
        </w:tc>
      </w:tr>
      <w:tr w:rsidR="007154AA" w:rsidRPr="00023FE8" w14:paraId="7D05B2BE" w14:textId="77777777" w:rsidTr="00353473">
        <w:tc>
          <w:tcPr>
            <w:tcW w:w="7366" w:type="dxa"/>
          </w:tcPr>
          <w:p w14:paraId="126723B0" w14:textId="77777777" w:rsidR="007154AA" w:rsidRPr="00023FE8" w:rsidRDefault="007154AA" w:rsidP="002C53F2">
            <w:pPr>
              <w:pStyle w:val="ListParagraph"/>
              <w:numPr>
                <w:ilvl w:val="0"/>
                <w:numId w:val="1"/>
              </w:numPr>
              <w:tabs>
                <w:tab w:val="left" w:pos="1395"/>
              </w:tabs>
              <w:jc w:val="both"/>
              <w:rPr>
                <w:rFonts w:asciiTheme="majorHAnsi" w:hAnsiTheme="majorHAnsi"/>
              </w:rPr>
            </w:pPr>
            <w:r w:rsidRPr="00023FE8">
              <w:rPr>
                <w:rFonts w:asciiTheme="majorHAnsi" w:hAnsiTheme="majorHAnsi"/>
              </w:rPr>
              <w:t>Da li se Zahtjev za nadoknadom sredstava može izdati i prije nego je iznos predujma opravdan kroz odgovarajuću dokumentaciju?</w:t>
            </w:r>
          </w:p>
        </w:tc>
        <w:tc>
          <w:tcPr>
            <w:tcW w:w="6804" w:type="dxa"/>
          </w:tcPr>
          <w:p w14:paraId="19D0DEF2" w14:textId="77777777" w:rsidR="007154AA" w:rsidRPr="00023FE8" w:rsidRDefault="007154AA" w:rsidP="002C53F2">
            <w:pPr>
              <w:jc w:val="both"/>
              <w:rPr>
                <w:rFonts w:asciiTheme="majorHAnsi" w:hAnsiTheme="majorHAnsi"/>
              </w:rPr>
            </w:pPr>
            <w:r w:rsidRPr="00023FE8">
              <w:rPr>
                <w:rFonts w:asciiTheme="majorHAnsi" w:hAnsiTheme="majorHAnsi"/>
              </w:rPr>
              <w:t>Slanje Zahtjeva za nadoknadom sredstava nije uvjetovano opravdanjem iznosa isplaćenih putem predujma.</w:t>
            </w:r>
          </w:p>
        </w:tc>
      </w:tr>
      <w:tr w:rsidR="007154AA" w:rsidRPr="00023FE8" w14:paraId="3FA39836" w14:textId="77777777" w:rsidTr="00353473">
        <w:tc>
          <w:tcPr>
            <w:tcW w:w="7366" w:type="dxa"/>
          </w:tcPr>
          <w:p w14:paraId="5EA71224" w14:textId="77777777" w:rsidR="007154AA" w:rsidRPr="00023FE8" w:rsidRDefault="007154AA" w:rsidP="002C53F2">
            <w:pPr>
              <w:pStyle w:val="ListParagraph"/>
              <w:numPr>
                <w:ilvl w:val="0"/>
                <w:numId w:val="1"/>
              </w:numPr>
              <w:tabs>
                <w:tab w:val="left" w:pos="1395"/>
              </w:tabs>
              <w:jc w:val="both"/>
              <w:rPr>
                <w:rFonts w:asciiTheme="majorHAnsi" w:hAnsiTheme="majorHAnsi"/>
              </w:rPr>
            </w:pPr>
            <w:r w:rsidRPr="00023FE8">
              <w:rPr>
                <w:rFonts w:asciiTheme="majorHAnsi" w:hAnsiTheme="majorHAnsi"/>
              </w:rPr>
              <w:t>Koja su prava Korisnika ukoliko PT 2 ne izvršava svoje obveze u skladu sa rokovima definiranim Općim uvjetima paragrafima 15.15 i 15.16 ?</w:t>
            </w:r>
          </w:p>
        </w:tc>
        <w:tc>
          <w:tcPr>
            <w:tcW w:w="6804" w:type="dxa"/>
          </w:tcPr>
          <w:p w14:paraId="4A6FD74E" w14:textId="77777777" w:rsidR="007154AA" w:rsidRPr="00023FE8" w:rsidRDefault="007154AA" w:rsidP="002C53F2">
            <w:pPr>
              <w:tabs>
                <w:tab w:val="left" w:pos="1395"/>
              </w:tabs>
              <w:jc w:val="both"/>
              <w:rPr>
                <w:rFonts w:asciiTheme="majorHAnsi" w:hAnsiTheme="majorHAnsi"/>
              </w:rPr>
            </w:pPr>
            <w:r w:rsidRPr="00023FE8">
              <w:rPr>
                <w:rFonts w:asciiTheme="majorHAnsi" w:hAnsiTheme="majorHAnsi"/>
              </w:rPr>
              <w:t>Molimo primite na znanje da je u okviru predmetnog ugovora  za verifikaciju prihvatljivosti troškova nadležna Agencija za strukovno obrazovanje i obrazovanje odraslih (PT2), a za izvršenje plaćanja Ministarstvo znanosti, obrazovanja i sporta (PT1). Na predmetni Ugovor se primjenjuje nacionalno zakonodavstvo Republike Hrvatske. Detalji o primjenjivom pravu i rješavanju sporova navedeni su u članku 13. Općih uvjeta ugovora.</w:t>
            </w:r>
          </w:p>
        </w:tc>
      </w:tr>
      <w:tr w:rsidR="007154AA" w:rsidRPr="00023FE8" w14:paraId="72EF6A66" w14:textId="77777777" w:rsidTr="00353473">
        <w:tc>
          <w:tcPr>
            <w:tcW w:w="7366" w:type="dxa"/>
          </w:tcPr>
          <w:p w14:paraId="02133766" w14:textId="77777777" w:rsidR="007154AA" w:rsidRPr="00023FE8" w:rsidRDefault="007154AA" w:rsidP="002C53F2">
            <w:pPr>
              <w:pStyle w:val="ListParagraph"/>
              <w:numPr>
                <w:ilvl w:val="0"/>
                <w:numId w:val="1"/>
              </w:numPr>
              <w:tabs>
                <w:tab w:val="left" w:pos="1395"/>
              </w:tabs>
              <w:jc w:val="both"/>
              <w:rPr>
                <w:rFonts w:asciiTheme="majorHAnsi" w:hAnsiTheme="majorHAnsi"/>
              </w:rPr>
            </w:pPr>
            <w:r w:rsidRPr="00023FE8">
              <w:rPr>
                <w:rFonts w:asciiTheme="majorHAnsi" w:hAnsiTheme="majorHAnsi"/>
              </w:rPr>
              <w:t>Ukoliko projekt traje do 15.07.2016. (prema Indikativnom rasporedu procesa prijave i odabira potpis ugovora predviđen je 15.07.2015. a prema Posebnim uvjetima trajanje Projekta je 12 mjeseci) kako će biti financirani troškovi nastali nakon 30.06.2016. obzirom na plaće sudionika projekta, a pogotovo ukoliko Korisnik koristi vanjske usluge revizije, računovodstva ili vođenja projekta?</w:t>
            </w:r>
          </w:p>
        </w:tc>
        <w:tc>
          <w:tcPr>
            <w:tcW w:w="6804" w:type="dxa"/>
          </w:tcPr>
          <w:p w14:paraId="3640E71F" w14:textId="77777777" w:rsidR="007154AA" w:rsidRPr="00023FE8" w:rsidRDefault="007154AA" w:rsidP="002C53F2">
            <w:pPr>
              <w:jc w:val="both"/>
              <w:rPr>
                <w:rFonts w:asciiTheme="majorHAnsi" w:hAnsiTheme="majorHAnsi"/>
              </w:rPr>
            </w:pPr>
            <w:r w:rsidRPr="00556585">
              <w:rPr>
                <w:rFonts w:asciiTheme="majorHAnsi" w:hAnsiTheme="majorHAnsi"/>
              </w:rPr>
              <w:t>Svi prihvatljivi troškovi koji će bit sastavni dio potpisanog ugovora bit će predmet refundacija tijekom provedbe projekta.</w:t>
            </w:r>
          </w:p>
        </w:tc>
      </w:tr>
      <w:tr w:rsidR="007154AA" w:rsidRPr="00023FE8" w14:paraId="0708598B" w14:textId="77777777" w:rsidTr="00353473">
        <w:tc>
          <w:tcPr>
            <w:tcW w:w="7366" w:type="dxa"/>
          </w:tcPr>
          <w:p w14:paraId="65D1CF9A" w14:textId="77777777" w:rsidR="007154AA" w:rsidRPr="00023FE8" w:rsidRDefault="007154AA" w:rsidP="002C53F2">
            <w:pPr>
              <w:pStyle w:val="ListParagraph"/>
              <w:numPr>
                <w:ilvl w:val="0"/>
                <w:numId w:val="1"/>
              </w:numPr>
              <w:tabs>
                <w:tab w:val="left" w:pos="1395"/>
              </w:tabs>
              <w:jc w:val="both"/>
              <w:rPr>
                <w:rFonts w:asciiTheme="majorHAnsi" w:hAnsiTheme="majorHAnsi"/>
              </w:rPr>
            </w:pPr>
            <w:r w:rsidRPr="00900D8B">
              <w:rPr>
                <w:rFonts w:asciiTheme="majorHAnsi" w:hAnsiTheme="majorHAnsi"/>
              </w:rPr>
              <w:t>Kako ćemo razlikovati promotivne materijale u svrhu organizacije sastanaka, okruglih stolova, tiskovnih i drugih konferencija i diseminacijskih radionica od promotivnih materijala u svrhu promocije projekta kada se načelno radi o istoj olovci istoj brošuri istoj kapi i</w:t>
            </w:r>
          </w:p>
        </w:tc>
        <w:tc>
          <w:tcPr>
            <w:tcW w:w="6804" w:type="dxa"/>
          </w:tcPr>
          <w:p w14:paraId="3D162D39" w14:textId="77777777" w:rsidR="007154AA" w:rsidRPr="00900D8B" w:rsidRDefault="007154AA" w:rsidP="002C53F2">
            <w:pPr>
              <w:jc w:val="both"/>
              <w:rPr>
                <w:rFonts w:asciiTheme="majorHAnsi" w:hAnsiTheme="majorHAnsi"/>
              </w:rPr>
            </w:pPr>
            <w:r w:rsidRPr="00900D8B">
              <w:rPr>
                <w:rFonts w:asciiTheme="majorHAnsi" w:hAnsiTheme="majorHAnsi"/>
              </w:rPr>
              <w:t xml:space="preserve">Iako se radi o istim promotivnim materijalima, njihova pripadnost izravnim ili neizravnim troškovima ovisi o svrsi u koju se koriste. Prema poglavljima A (4.) i B (5.) točke 4.3.2. Uputa za prijavitelje izravni troškovi vidljivosti podrazumijevaju troškove promotivnih aktivnosti, izrade i tiska promotivnih materijala ukoliko su izravno povezani s provedbom pojedinih projektnih </w:t>
            </w:r>
            <w:r w:rsidRPr="00900D8B">
              <w:rPr>
                <w:rFonts w:asciiTheme="majorHAnsi" w:hAnsiTheme="majorHAnsi"/>
              </w:rPr>
              <w:lastRenderedPageBreak/>
              <w:t xml:space="preserve">aktivnosti, a  neizravni troškovi vidljivosti podrazumijevaju troškove promotivnih aktivnosti, izrade promotivnih materijala te organizacije konferencija koji služe promociji projekta, a šireg su značenja i odnose se na cjelokupno područje djelovanja subjekta. Dakle, ukoliko se radi o troškovima informiranja i vidljivosti isključivo u svrhu promocije (provođenja) projekta (npr. letci, banneri, ploča na pročelju zgrade i sl.), govorimo o neizravnom trošku projekta. Ukoliko se radi o troškovima promotivnih aktivnosti ali izravno povezanih s provedbom projekta kao što je npr. vanjska usluga odnosa sa javnošću za organizaciju okruglog stola na temu rasprave s ključnim dionicima, govorimo o izravnom trošku promotivnih aktivnosti.   </w:t>
            </w:r>
          </w:p>
          <w:p w14:paraId="16D1BB3A" w14:textId="77777777" w:rsidR="007154AA" w:rsidRPr="00023FE8" w:rsidRDefault="007154AA" w:rsidP="002C53F2">
            <w:pPr>
              <w:jc w:val="both"/>
              <w:rPr>
                <w:rFonts w:asciiTheme="majorHAnsi" w:hAnsiTheme="majorHAnsi"/>
                <w:highlight w:val="yellow"/>
              </w:rPr>
            </w:pPr>
            <w:r w:rsidRPr="00900D8B">
              <w:rPr>
                <w:rFonts w:asciiTheme="majorHAnsi" w:hAnsiTheme="majorHAnsi"/>
              </w:rPr>
              <w:t>Ovisno o obrazloženju stavke troška ista će biti predmetom provjere prihvatljivosti od strane Posredničkog tijela razine 2 koji ima pravo od prijavitelja tražiti dodatne informacije kako bi se ocijenila prihvatljivost i/ili vrsta planiranog troška.</w:t>
            </w:r>
          </w:p>
        </w:tc>
      </w:tr>
      <w:tr w:rsidR="007154AA" w:rsidRPr="00900D8B" w14:paraId="6ED94D8E" w14:textId="77777777" w:rsidTr="00353473">
        <w:tc>
          <w:tcPr>
            <w:tcW w:w="7366" w:type="dxa"/>
          </w:tcPr>
          <w:p w14:paraId="665FE92F" w14:textId="77777777" w:rsidR="007154AA" w:rsidRPr="00900D8B" w:rsidRDefault="007154AA" w:rsidP="002C53F2">
            <w:pPr>
              <w:pStyle w:val="ListParagraph"/>
              <w:numPr>
                <w:ilvl w:val="0"/>
                <w:numId w:val="1"/>
              </w:numPr>
              <w:tabs>
                <w:tab w:val="left" w:pos="1395"/>
              </w:tabs>
              <w:jc w:val="both"/>
              <w:rPr>
                <w:rFonts w:asciiTheme="majorHAnsi" w:hAnsiTheme="majorHAnsi"/>
              </w:rPr>
            </w:pPr>
            <w:r w:rsidRPr="006F7098">
              <w:rPr>
                <w:rFonts w:asciiTheme="majorHAnsi" w:hAnsiTheme="majorHAnsi"/>
              </w:rPr>
              <w:lastRenderedPageBreak/>
              <w:t>Da li razdoblje provedbe ugovora može biti kraće od 12 mjeseci?</w:t>
            </w:r>
          </w:p>
        </w:tc>
        <w:tc>
          <w:tcPr>
            <w:tcW w:w="6804" w:type="dxa"/>
          </w:tcPr>
          <w:p w14:paraId="0881990D" w14:textId="77777777" w:rsidR="007154AA" w:rsidRPr="00900D8B" w:rsidRDefault="007154AA" w:rsidP="002C53F2">
            <w:pPr>
              <w:jc w:val="both"/>
              <w:rPr>
                <w:rFonts w:asciiTheme="majorHAnsi" w:hAnsiTheme="majorHAnsi"/>
              </w:rPr>
            </w:pPr>
            <w:r w:rsidRPr="006F7098">
              <w:rPr>
                <w:rFonts w:asciiTheme="majorHAnsi" w:hAnsiTheme="majorHAnsi"/>
              </w:rPr>
              <w:t>Sukladno Uputama za prijavitelje, u okviru ovog Poziva na dostavu projektnih prijedloga predviđeno trajanje projekata je 12 mjeseci a početak provedbe počinje danom sklapanja ugovora o dodjeli bespovratnih sredstava.</w:t>
            </w:r>
          </w:p>
        </w:tc>
      </w:tr>
      <w:tr w:rsidR="007154AA" w:rsidRPr="006F7098" w14:paraId="0DBFDD26" w14:textId="77777777" w:rsidTr="00353473">
        <w:tc>
          <w:tcPr>
            <w:tcW w:w="7366" w:type="dxa"/>
          </w:tcPr>
          <w:p w14:paraId="21812584" w14:textId="77777777" w:rsidR="007154AA" w:rsidRPr="006F7098" w:rsidRDefault="007154AA" w:rsidP="002C53F2">
            <w:pPr>
              <w:pStyle w:val="ListParagraph"/>
              <w:numPr>
                <w:ilvl w:val="0"/>
                <w:numId w:val="1"/>
              </w:numPr>
              <w:tabs>
                <w:tab w:val="left" w:pos="1395"/>
              </w:tabs>
              <w:jc w:val="both"/>
              <w:rPr>
                <w:rFonts w:asciiTheme="majorHAnsi" w:hAnsiTheme="majorHAnsi"/>
              </w:rPr>
            </w:pPr>
            <w:r w:rsidRPr="00E80280">
              <w:rPr>
                <w:rFonts w:asciiTheme="majorHAnsi" w:hAnsiTheme="majorHAnsi"/>
              </w:rPr>
              <w:t>Na koji način nezaposlene osobe mogu biti uključene u projekt? Naime, nije nam jasno kao možemo podijeliti sudionike prema statusu na tržištu rada kada oni nisu ciljana skupina, a time niti mogu biti obuhvaćeni projektom?</w:t>
            </w:r>
          </w:p>
        </w:tc>
        <w:tc>
          <w:tcPr>
            <w:tcW w:w="6804" w:type="dxa"/>
          </w:tcPr>
          <w:p w14:paraId="72890634" w14:textId="77777777" w:rsidR="007154AA" w:rsidRPr="006F7098" w:rsidRDefault="007154AA" w:rsidP="002C53F2">
            <w:pPr>
              <w:jc w:val="both"/>
              <w:rPr>
                <w:rFonts w:asciiTheme="majorHAnsi" w:hAnsiTheme="majorHAnsi"/>
              </w:rPr>
            </w:pPr>
            <w:r w:rsidRPr="00E80280">
              <w:rPr>
                <w:rFonts w:asciiTheme="majorHAnsi" w:hAnsiTheme="majorHAnsi"/>
              </w:rPr>
              <w:t xml:space="preserve">Vaše pitanje odnosi se na popunjavanje Annexa XXIII (Upute za prijavitelje str 10.) kojim se prikupljaju podaci o krajnjim korisnicima. Spomenuti Annex popunjava se tijekom provedbe vašeg projekta a na temelju ciljnih skupina koje sudjeluju u provedbi projektnih aktivnosti.  </w:t>
            </w:r>
          </w:p>
        </w:tc>
      </w:tr>
    </w:tbl>
    <w:p w14:paraId="1493AFC8" w14:textId="77777777" w:rsidR="00C53CE3" w:rsidRPr="00023FE8" w:rsidRDefault="00C53CE3" w:rsidP="002C53F2">
      <w:pPr>
        <w:jc w:val="both"/>
      </w:pPr>
    </w:p>
    <w:sectPr w:rsidR="00C53CE3" w:rsidRPr="00023FE8" w:rsidSect="008F2FD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09FFD" w14:textId="77777777" w:rsidR="004E7FA7" w:rsidRDefault="004E7FA7" w:rsidP="00FB1CFC">
      <w:pPr>
        <w:spacing w:after="0" w:line="240" w:lineRule="auto"/>
      </w:pPr>
      <w:r>
        <w:separator/>
      </w:r>
    </w:p>
  </w:endnote>
  <w:endnote w:type="continuationSeparator" w:id="0">
    <w:p w14:paraId="2B47FAD2" w14:textId="77777777" w:rsidR="004E7FA7" w:rsidRDefault="004E7FA7" w:rsidP="00FB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763557"/>
      <w:docPartObj>
        <w:docPartGallery w:val="Page Numbers (Bottom of Page)"/>
        <w:docPartUnique/>
      </w:docPartObj>
    </w:sdtPr>
    <w:sdtEndPr>
      <w:rPr>
        <w:noProof/>
      </w:rPr>
    </w:sdtEndPr>
    <w:sdtContent>
      <w:p w14:paraId="6661B770" w14:textId="77777777" w:rsidR="006E5AAA" w:rsidRDefault="006E5AAA">
        <w:pPr>
          <w:pStyle w:val="Footer"/>
          <w:jc w:val="right"/>
        </w:pPr>
        <w:r>
          <w:fldChar w:fldCharType="begin"/>
        </w:r>
        <w:r>
          <w:instrText xml:space="preserve"> PAGE   \* MERGEFORMAT </w:instrText>
        </w:r>
        <w:r>
          <w:fldChar w:fldCharType="separate"/>
        </w:r>
        <w:r w:rsidR="00D045B4">
          <w:rPr>
            <w:noProof/>
          </w:rPr>
          <w:t>3</w:t>
        </w:r>
        <w:r>
          <w:rPr>
            <w:noProof/>
          </w:rPr>
          <w:fldChar w:fldCharType="end"/>
        </w:r>
      </w:p>
    </w:sdtContent>
  </w:sdt>
  <w:p w14:paraId="4DC724CB" w14:textId="77777777" w:rsidR="006E5AAA" w:rsidRDefault="006E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21915" w14:textId="77777777" w:rsidR="004E7FA7" w:rsidRDefault="004E7FA7" w:rsidP="00FB1CFC">
      <w:pPr>
        <w:spacing w:after="0" w:line="240" w:lineRule="auto"/>
      </w:pPr>
      <w:r>
        <w:separator/>
      </w:r>
    </w:p>
  </w:footnote>
  <w:footnote w:type="continuationSeparator" w:id="0">
    <w:p w14:paraId="3B7FBB2B" w14:textId="77777777" w:rsidR="004E7FA7" w:rsidRDefault="004E7FA7" w:rsidP="00FB1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ACE5" w14:textId="77777777" w:rsidR="00FB1CFC" w:rsidRPr="00FB1CFC" w:rsidRDefault="00FB1CFC" w:rsidP="00FB1CFC">
    <w:pPr>
      <w:pStyle w:val="Header"/>
      <w:jc w:val="center"/>
      <w:rPr>
        <w:rFonts w:asciiTheme="majorHAnsi" w:hAnsiTheme="majorHAnsi"/>
        <w:b/>
      </w:rPr>
    </w:pPr>
    <w:r w:rsidRPr="00FB1CFC">
      <w:rPr>
        <w:rFonts w:asciiTheme="majorHAnsi" w:hAnsiTheme="majorHAnsi"/>
        <w:b/>
      </w:rPr>
      <w:t>Odgovori na često postavljena pitanja u okviru Poziva HR.3.1.20 „Promocija kvalitete i unaprjeđenje sustava odgoja i obrazovanja na srednjoškolskoj</w:t>
    </w:r>
  </w:p>
  <w:p w14:paraId="34479E6A" w14:textId="77777777" w:rsidR="00FB1CFC" w:rsidRPr="00FB1CFC" w:rsidRDefault="00FB1CFC" w:rsidP="00FB1CFC">
    <w:pPr>
      <w:pStyle w:val="Header"/>
      <w:jc w:val="center"/>
      <w:rPr>
        <w:rFonts w:asciiTheme="majorHAnsi" w:hAnsiTheme="majorHAnsi"/>
        <w:b/>
      </w:rPr>
    </w:pPr>
    <w:r w:rsidRPr="00FB1CFC">
      <w:rPr>
        <w:rFonts w:asciiTheme="majorHAnsi" w:hAnsiTheme="majorHAnsi"/>
        <w:b/>
      </w:rPr>
      <w:t>razini“</w:t>
    </w:r>
  </w:p>
  <w:p w14:paraId="3A951E74" w14:textId="77777777" w:rsidR="00FB1CFC" w:rsidRPr="00FB1CFC" w:rsidRDefault="00FB1CFC" w:rsidP="00FB1CFC">
    <w:pPr>
      <w:pStyle w:val="Header"/>
      <w:jc w:val="center"/>
      <w:rPr>
        <w:rFonts w:asciiTheme="majorHAnsi" w:hAnsiTheme="majorHAnsi"/>
        <w:b/>
      </w:rPr>
    </w:pPr>
    <w:r w:rsidRPr="00FB1CFC">
      <w:rPr>
        <w:rFonts w:asciiTheme="majorHAnsi" w:hAnsiTheme="majorHAnsi"/>
        <w:b/>
      </w:rPr>
      <w:t>17. travnja 2015. godine, 2. 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CB3"/>
    <w:multiLevelType w:val="hybridMultilevel"/>
    <w:tmpl w:val="4656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D778F"/>
    <w:multiLevelType w:val="hybridMultilevel"/>
    <w:tmpl w:val="9B4075D0"/>
    <w:lvl w:ilvl="0" w:tplc="08090011">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
    <w:nsid w:val="305C736E"/>
    <w:multiLevelType w:val="hybridMultilevel"/>
    <w:tmpl w:val="9B4075D0"/>
    <w:lvl w:ilvl="0" w:tplc="08090011">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
    <w:nsid w:val="375E4A30"/>
    <w:multiLevelType w:val="hybridMultilevel"/>
    <w:tmpl w:val="9B4075D0"/>
    <w:lvl w:ilvl="0" w:tplc="08090011">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4">
    <w:nsid w:val="49AD3187"/>
    <w:multiLevelType w:val="hybridMultilevel"/>
    <w:tmpl w:val="9B4075D0"/>
    <w:lvl w:ilvl="0" w:tplc="08090011">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F3"/>
    <w:rsid w:val="00011CCB"/>
    <w:rsid w:val="00023FE8"/>
    <w:rsid w:val="00040596"/>
    <w:rsid w:val="00093000"/>
    <w:rsid w:val="000B6EE9"/>
    <w:rsid w:val="000C05F0"/>
    <w:rsid w:val="000C32CE"/>
    <w:rsid w:val="000F0BA7"/>
    <w:rsid w:val="00111B14"/>
    <w:rsid w:val="00163BE2"/>
    <w:rsid w:val="001C2416"/>
    <w:rsid w:val="0023056F"/>
    <w:rsid w:val="0024149B"/>
    <w:rsid w:val="0024288E"/>
    <w:rsid w:val="00257392"/>
    <w:rsid w:val="00273BA5"/>
    <w:rsid w:val="002C53F2"/>
    <w:rsid w:val="002F6EE0"/>
    <w:rsid w:val="0032486C"/>
    <w:rsid w:val="00394E98"/>
    <w:rsid w:val="003A4048"/>
    <w:rsid w:val="004D314D"/>
    <w:rsid w:val="004D3FA8"/>
    <w:rsid w:val="004E7FA7"/>
    <w:rsid w:val="004F67A0"/>
    <w:rsid w:val="00556585"/>
    <w:rsid w:val="005668A9"/>
    <w:rsid w:val="0064186A"/>
    <w:rsid w:val="00675CFD"/>
    <w:rsid w:val="00685B72"/>
    <w:rsid w:val="0069029B"/>
    <w:rsid w:val="006E5AAA"/>
    <w:rsid w:val="006F7098"/>
    <w:rsid w:val="007154AA"/>
    <w:rsid w:val="00715844"/>
    <w:rsid w:val="00737B53"/>
    <w:rsid w:val="007721BB"/>
    <w:rsid w:val="007F5858"/>
    <w:rsid w:val="00820CED"/>
    <w:rsid w:val="00833DDC"/>
    <w:rsid w:val="0084050E"/>
    <w:rsid w:val="008E3BD9"/>
    <w:rsid w:val="008F2FD1"/>
    <w:rsid w:val="00900D8B"/>
    <w:rsid w:val="0091650E"/>
    <w:rsid w:val="00933587"/>
    <w:rsid w:val="00975FBB"/>
    <w:rsid w:val="009D623B"/>
    <w:rsid w:val="00A77BCF"/>
    <w:rsid w:val="00A82682"/>
    <w:rsid w:val="00AB6BCB"/>
    <w:rsid w:val="00AE68F3"/>
    <w:rsid w:val="00B42236"/>
    <w:rsid w:val="00B43857"/>
    <w:rsid w:val="00B6090F"/>
    <w:rsid w:val="00B67EDB"/>
    <w:rsid w:val="00B91230"/>
    <w:rsid w:val="00C53CE3"/>
    <w:rsid w:val="00C64848"/>
    <w:rsid w:val="00CC2DF9"/>
    <w:rsid w:val="00CE706C"/>
    <w:rsid w:val="00D045B4"/>
    <w:rsid w:val="00D2132A"/>
    <w:rsid w:val="00DA6599"/>
    <w:rsid w:val="00DE71E8"/>
    <w:rsid w:val="00E17D56"/>
    <w:rsid w:val="00E61B04"/>
    <w:rsid w:val="00E80280"/>
    <w:rsid w:val="00EB32B9"/>
    <w:rsid w:val="00EC3252"/>
    <w:rsid w:val="00ED609C"/>
    <w:rsid w:val="00F228AE"/>
    <w:rsid w:val="00F5108C"/>
    <w:rsid w:val="00F5575B"/>
    <w:rsid w:val="00FB1CFC"/>
    <w:rsid w:val="00FB24B1"/>
    <w:rsid w:val="00FB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9FA6"/>
  <w15:chartTrackingRefBased/>
  <w15:docId w15:val="{DDE734E5-617F-4635-A16F-BAE48942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48"/>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09C"/>
    <w:pPr>
      <w:ind w:left="720"/>
      <w:contextualSpacing/>
    </w:pPr>
  </w:style>
  <w:style w:type="paragraph" w:styleId="Header">
    <w:name w:val="header"/>
    <w:basedOn w:val="Normal"/>
    <w:link w:val="HeaderChar"/>
    <w:uiPriority w:val="99"/>
    <w:unhideWhenUsed/>
    <w:rsid w:val="00FB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FC"/>
    <w:rPr>
      <w:lang w:val="hr-HR"/>
    </w:rPr>
  </w:style>
  <w:style w:type="paragraph" w:styleId="Footer">
    <w:name w:val="footer"/>
    <w:basedOn w:val="Normal"/>
    <w:link w:val="FooterChar"/>
    <w:uiPriority w:val="99"/>
    <w:unhideWhenUsed/>
    <w:rsid w:val="00FB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FC"/>
    <w:rPr>
      <w:lang w:val="hr-HR"/>
    </w:rPr>
  </w:style>
  <w:style w:type="character" w:styleId="CommentReference">
    <w:name w:val="annotation reference"/>
    <w:basedOn w:val="DefaultParagraphFont"/>
    <w:uiPriority w:val="99"/>
    <w:semiHidden/>
    <w:unhideWhenUsed/>
    <w:rsid w:val="009D623B"/>
    <w:rPr>
      <w:sz w:val="16"/>
      <w:szCs w:val="16"/>
    </w:rPr>
  </w:style>
  <w:style w:type="paragraph" w:styleId="CommentText">
    <w:name w:val="annotation text"/>
    <w:basedOn w:val="Normal"/>
    <w:link w:val="CommentTextChar"/>
    <w:uiPriority w:val="99"/>
    <w:semiHidden/>
    <w:unhideWhenUsed/>
    <w:rsid w:val="009D623B"/>
    <w:pPr>
      <w:spacing w:line="240" w:lineRule="auto"/>
    </w:pPr>
    <w:rPr>
      <w:sz w:val="20"/>
      <w:szCs w:val="20"/>
    </w:rPr>
  </w:style>
  <w:style w:type="character" w:customStyle="1" w:styleId="CommentTextChar">
    <w:name w:val="Comment Text Char"/>
    <w:basedOn w:val="DefaultParagraphFont"/>
    <w:link w:val="CommentText"/>
    <w:uiPriority w:val="99"/>
    <w:semiHidden/>
    <w:rsid w:val="009D623B"/>
    <w:rPr>
      <w:sz w:val="20"/>
      <w:szCs w:val="20"/>
      <w:lang w:val="hr-HR"/>
    </w:rPr>
  </w:style>
  <w:style w:type="paragraph" w:styleId="CommentSubject">
    <w:name w:val="annotation subject"/>
    <w:basedOn w:val="CommentText"/>
    <w:next w:val="CommentText"/>
    <w:link w:val="CommentSubjectChar"/>
    <w:uiPriority w:val="99"/>
    <w:semiHidden/>
    <w:unhideWhenUsed/>
    <w:rsid w:val="009D623B"/>
    <w:rPr>
      <w:b/>
      <w:bCs/>
    </w:rPr>
  </w:style>
  <w:style w:type="character" w:customStyle="1" w:styleId="CommentSubjectChar">
    <w:name w:val="Comment Subject Char"/>
    <w:basedOn w:val="CommentTextChar"/>
    <w:link w:val="CommentSubject"/>
    <w:uiPriority w:val="99"/>
    <w:semiHidden/>
    <w:rsid w:val="009D623B"/>
    <w:rPr>
      <w:b/>
      <w:bCs/>
      <w:sz w:val="20"/>
      <w:szCs w:val="20"/>
      <w:lang w:val="hr-HR"/>
    </w:rPr>
  </w:style>
  <w:style w:type="paragraph" w:styleId="BalloonText">
    <w:name w:val="Balloon Text"/>
    <w:basedOn w:val="Normal"/>
    <w:link w:val="BalloonTextChar"/>
    <w:uiPriority w:val="99"/>
    <w:semiHidden/>
    <w:unhideWhenUsed/>
    <w:rsid w:val="009D6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3B"/>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Čolak</dc:creator>
  <cp:keywords/>
  <dc:description/>
  <cp:lastModifiedBy>Iva Čolak</cp:lastModifiedBy>
  <cp:revision>2</cp:revision>
  <dcterms:created xsi:type="dcterms:W3CDTF">2015-04-17T10:50:00Z</dcterms:created>
  <dcterms:modified xsi:type="dcterms:W3CDTF">2015-04-17T10:50:00Z</dcterms:modified>
</cp:coreProperties>
</file>