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DC" w:rsidRDefault="00132DDC"/>
    <w:p w:rsidR="00EE5398" w:rsidRDefault="00EE5398"/>
    <w:p w:rsidR="00EE5398" w:rsidRDefault="00EE5398"/>
    <w:p w:rsidR="0017601A" w:rsidRDefault="0017601A" w:rsidP="0017601A">
      <w:pPr>
        <w:jc w:val="center"/>
        <w:rPr>
          <w:b/>
          <w:noProof/>
          <w:sz w:val="28"/>
          <w:szCs w:val="28"/>
        </w:rPr>
      </w:pPr>
    </w:p>
    <w:p w:rsidR="0017601A" w:rsidRPr="00E368BC" w:rsidRDefault="0017601A" w:rsidP="0017601A">
      <w:pPr>
        <w:jc w:val="center"/>
        <w:rPr>
          <w:rFonts w:ascii="Times New Roman" w:hAnsi="Times New Roman" w:cs="Times New Roman"/>
          <w:b/>
          <w:noProof/>
          <w:sz w:val="22"/>
        </w:rPr>
      </w:pPr>
      <w:r w:rsidRPr="00E368BC">
        <w:rPr>
          <w:rFonts w:ascii="Times New Roman" w:hAnsi="Times New Roman" w:cs="Times New Roman"/>
          <w:b/>
          <w:noProof/>
          <w:sz w:val="22"/>
        </w:rPr>
        <w:t>Izmjena natječajne dokumentacije</w:t>
      </w:r>
    </w:p>
    <w:p w:rsidR="0017601A" w:rsidRPr="00E368BC" w:rsidRDefault="0017601A" w:rsidP="0017601A">
      <w:pPr>
        <w:jc w:val="center"/>
        <w:rPr>
          <w:rFonts w:ascii="Times New Roman" w:hAnsi="Times New Roman" w:cs="Times New Roman"/>
          <w:b/>
          <w:noProof/>
          <w:sz w:val="22"/>
        </w:rPr>
      </w:pPr>
    </w:p>
    <w:p w:rsidR="0017601A" w:rsidRPr="00E368BC" w:rsidRDefault="0017601A" w:rsidP="0017601A">
      <w:pPr>
        <w:jc w:val="center"/>
        <w:rPr>
          <w:rFonts w:ascii="Times New Roman" w:hAnsi="Times New Roman" w:cs="Times New Roman"/>
          <w:b/>
          <w:i/>
          <w:noProof/>
          <w:sz w:val="22"/>
        </w:rPr>
      </w:pPr>
      <w:r w:rsidRPr="00E368BC">
        <w:rPr>
          <w:rFonts w:ascii="Times New Roman" w:hAnsi="Times New Roman" w:cs="Times New Roman"/>
          <w:b/>
          <w:noProof/>
          <w:sz w:val="22"/>
        </w:rPr>
        <w:t>Otvorenog poziva na dostavu projektnih prijedloga „Podrška obrazovanju odraslih polaznika uključivanjem u prioritetne programe obrazovanja, usmjerene unapređenju vještina i kompetencija polaznika u svrhu povećanja zapošljivosti</w:t>
      </w:r>
      <w:r w:rsidRPr="00E368BC">
        <w:rPr>
          <w:rStyle w:val="Strong"/>
          <w:rFonts w:ascii="Times New Roman" w:hAnsi="Times New Roman" w:cs="Times New Roman"/>
          <w:noProof/>
          <w:sz w:val="22"/>
        </w:rPr>
        <w:t xml:space="preserve"> </w:t>
      </w:r>
      <w:r w:rsidRPr="00E368BC">
        <w:rPr>
          <w:rStyle w:val="Strong"/>
          <w:rFonts w:ascii="Times New Roman" w:hAnsi="Times New Roman" w:cs="Times New Roman"/>
          <w:sz w:val="22"/>
        </w:rPr>
        <w:t>''</w:t>
      </w:r>
    </w:p>
    <w:p w:rsidR="0017601A" w:rsidRPr="00E368BC" w:rsidRDefault="0017601A" w:rsidP="0017601A">
      <w:pPr>
        <w:rPr>
          <w:rFonts w:ascii="Times New Roman" w:hAnsi="Times New Roman" w:cs="Times New Roman"/>
          <w:i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sz w:val="22"/>
        </w:rPr>
      </w:pPr>
      <w:r w:rsidRPr="00E368BC">
        <w:rPr>
          <w:rFonts w:ascii="Times New Roman" w:hAnsi="Times New Roman" w:cs="Times New Roman"/>
          <w:b/>
          <w:noProof/>
          <w:sz w:val="22"/>
        </w:rPr>
        <w:t>Broj poziva: UP.03.2.3.02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U otvorenom pozivu na dostavu projektnih prijedloga </w:t>
      </w:r>
      <w:r w:rsidRPr="00E368BC">
        <w:rPr>
          <w:rFonts w:ascii="Times New Roman" w:hAnsi="Times New Roman" w:cs="Times New Roman"/>
          <w:b/>
          <w:bCs/>
          <w:i/>
          <w:noProof/>
          <w:sz w:val="22"/>
        </w:rPr>
        <w:t>Podrška obrazovanju odraslih polaznika uključivanjem u prioritetne programe obrazovanja, usmjerene unapređenju vještina i kompetencija polaznika u svrhu povećanja zapošljivosti</w:t>
      </w:r>
      <w:r w:rsidRPr="00E368BC">
        <w:rPr>
          <w:rFonts w:ascii="Times New Roman" w:hAnsi="Times New Roman" w:cs="Times New Roman"/>
          <w:i/>
          <w:noProof/>
          <w:sz w:val="22"/>
        </w:rPr>
        <w:t xml:space="preserve">, </w:t>
      </w:r>
      <w:r w:rsidRPr="00E368BC">
        <w:rPr>
          <w:rFonts w:ascii="Times New Roman" w:hAnsi="Times New Roman" w:cs="Times New Roman"/>
          <w:noProof/>
          <w:sz w:val="22"/>
        </w:rPr>
        <w:t xml:space="preserve">u okviru Operativnog programa "Učinkoviti ljudski potencijali" – 2014.-2020., prioritetne osi 3. </w:t>
      </w:r>
      <w:r w:rsidRPr="00E368BC">
        <w:rPr>
          <w:rFonts w:ascii="Times New Roman" w:hAnsi="Times New Roman" w:cs="Times New Roman"/>
          <w:i/>
          <w:noProof/>
          <w:sz w:val="22"/>
        </w:rPr>
        <w:t xml:space="preserve"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 profesionalnim usmjeravanjem i vrednovanjem stečenih kompetencija, Specifičnog cilja 10.3.3. Poboljšanje obrazovnog sustava za odrasle i unapređenje vještina i kompetencija odraslih polaznika, </w:t>
      </w:r>
      <w:r w:rsidRPr="00E368BC">
        <w:rPr>
          <w:rFonts w:ascii="Times New Roman" w:hAnsi="Times New Roman" w:cs="Times New Roman"/>
          <w:noProof/>
          <w:sz w:val="22"/>
        </w:rPr>
        <w:t>objavljenom</w:t>
      </w:r>
      <w:r w:rsidRPr="00E368BC">
        <w:rPr>
          <w:rFonts w:ascii="Times New Roman" w:hAnsi="Times New Roman" w:cs="Times New Roman"/>
          <w:i/>
          <w:noProof/>
          <w:sz w:val="22"/>
        </w:rPr>
        <w:t xml:space="preserve"> </w:t>
      </w:r>
      <w:r w:rsidRPr="00E368BC">
        <w:rPr>
          <w:rFonts w:ascii="Times New Roman" w:hAnsi="Times New Roman" w:cs="Times New Roman"/>
          <w:noProof/>
          <w:sz w:val="22"/>
        </w:rPr>
        <w:t>3. ožujka  2017. na mrežnoj stranici</w:t>
      </w:r>
      <w:r w:rsidRPr="00E368BC">
        <w:rPr>
          <w:rFonts w:ascii="Times New Roman" w:hAnsi="Times New Roman" w:cs="Times New Roman"/>
          <w:sz w:val="22"/>
        </w:rPr>
        <w:t xml:space="preserve"> </w:t>
      </w:r>
      <w:hyperlink r:id="rId8" w:history="1">
        <w:r w:rsidRPr="00E368BC">
          <w:rPr>
            <w:rStyle w:val="Hyperlink"/>
            <w:rFonts w:ascii="Times New Roman" w:hAnsi="Times New Roman" w:cs="Times New Roman"/>
            <w:sz w:val="22"/>
          </w:rPr>
          <w:t>http://www.strukturnifondovi.hr/natjecaji/1264</w:t>
        </w:r>
      </w:hyperlink>
      <w:r w:rsidRPr="00E368BC">
        <w:rPr>
          <w:rFonts w:ascii="Times New Roman" w:hAnsi="Times New Roman" w:cs="Times New Roman"/>
          <w:sz w:val="22"/>
        </w:rPr>
        <w:t xml:space="preserve"> </w:t>
      </w:r>
      <w:r w:rsidRPr="00E368BC">
        <w:rPr>
          <w:rFonts w:ascii="Times New Roman" w:hAnsi="Times New Roman" w:cs="Times New Roman"/>
          <w:noProof/>
          <w:sz w:val="22"/>
        </w:rPr>
        <w:t xml:space="preserve">izmjene se odnose na sljedeće natječajne dokumente i točke unutar tih dokumenata: 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UPUTE ZA PRIJAVITELJE 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>Naslovna stranica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Točka 1.4.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Svrha i cilj te ciljne skupine poziva na dostavu projektnih prijedloga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Točka 2.2.2. 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Kriteriji za isključenje Prijavitelja i ako je primjenjivo Partnera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>Točka 3.3</w:t>
      </w:r>
      <w:r>
        <w:rPr>
          <w:rFonts w:ascii="Times New Roman" w:hAnsi="Times New Roman" w:cs="Times New Roman"/>
          <w:noProof/>
          <w:sz w:val="22"/>
        </w:rPr>
        <w:t>.</w:t>
      </w:r>
      <w:r w:rsidRPr="00E368BC">
        <w:rPr>
          <w:rFonts w:ascii="Times New Roman" w:hAnsi="Times New Roman" w:cs="Times New Roman"/>
          <w:noProof/>
          <w:sz w:val="22"/>
        </w:rPr>
        <w:t xml:space="preserve">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Prihvatljive aktivnosti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>Točka 4.1.1</w:t>
      </w:r>
      <w:r>
        <w:rPr>
          <w:rFonts w:ascii="Times New Roman" w:hAnsi="Times New Roman" w:cs="Times New Roman"/>
          <w:noProof/>
          <w:sz w:val="22"/>
        </w:rPr>
        <w:t>.</w:t>
      </w:r>
      <w:r w:rsidRPr="00E368BC">
        <w:rPr>
          <w:rFonts w:ascii="Times New Roman" w:hAnsi="Times New Roman" w:cs="Times New Roman"/>
          <w:noProof/>
          <w:sz w:val="22"/>
        </w:rPr>
        <w:t xml:space="preserve">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Prihvatljivi izdaci</w:t>
      </w:r>
      <w:r w:rsidRPr="00E368BC">
        <w:t xml:space="preserve"> 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Točka 4.1.2.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Neprihvatljivi izdaci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r w:rsidRPr="00E368BC">
        <w:rPr>
          <w:rFonts w:ascii="Times New Roman" w:hAnsi="Times New Roman" w:cs="Times New Roman"/>
          <w:noProof/>
          <w:sz w:val="22"/>
        </w:rPr>
        <w:t xml:space="preserve">Točka 5.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Postupak prijave</w:t>
      </w:r>
      <w:r w:rsidRPr="00E368BC">
        <w:t xml:space="preserve"> </w:t>
      </w:r>
    </w:p>
    <w:p w:rsidR="0017601A" w:rsidRPr="00E368BC" w:rsidRDefault="0017601A" w:rsidP="0017601A"/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Točka 5.2.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Rok za podnošenje projektnih prijedloga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Točka 5.6.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Dodatne informacije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 xml:space="preserve">Točka 6.2. </w:t>
      </w:r>
      <w:r>
        <w:rPr>
          <w:rFonts w:ascii="Times New Roman" w:hAnsi="Times New Roman" w:cs="Times New Roman"/>
          <w:noProof/>
          <w:sz w:val="22"/>
        </w:rPr>
        <w:tab/>
      </w:r>
      <w:r w:rsidRPr="00E368BC">
        <w:rPr>
          <w:rFonts w:ascii="Times New Roman" w:hAnsi="Times New Roman" w:cs="Times New Roman"/>
          <w:noProof/>
          <w:sz w:val="22"/>
        </w:rPr>
        <w:t>Procjena kvalitete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  <w:r w:rsidRPr="00E368BC">
        <w:rPr>
          <w:rFonts w:ascii="Times New Roman" w:hAnsi="Times New Roman" w:cs="Times New Roman"/>
          <w:noProof/>
          <w:sz w:val="22"/>
        </w:rPr>
        <w:t>UPUTE ZA PRIJAVITELJE: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 xml:space="preserve">Naslovna stranica 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Krajnji rok za podnošenje projektnih prijedloga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Krajnji rok za podnošenje projektnih prijedloga: 12. svibnja 2017.</w:t>
      </w: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Krajnji rok za podnošenje projektnih prijedloga: 31. svibnja 2017.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2060"/>
          <w:sz w:val="22"/>
          <w:u w:val="single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 xml:space="preserve">Tekst točke: 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Točka 1.4. Svrha i cilj te ciljne skupine poziva na dostavu projektnih prijedloga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Pr="00E368BC">
        <w:rPr>
          <w:rFonts w:ascii="Times New Roman" w:hAnsi="Times New Roman" w:cs="Times New Roman"/>
          <w:b/>
          <w:bCs/>
          <w:sz w:val="22"/>
          <w:szCs w:val="22"/>
        </w:rPr>
        <w:t xml:space="preserve">Ciljne skupine: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/>
          <w:sz w:val="22"/>
        </w:rPr>
        <w:t xml:space="preserve">odrasle osobe bez završenog osnovnog obrazovanja,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/>
          <w:sz w:val="22"/>
        </w:rPr>
        <w:t xml:space="preserve">odrasle osobe s nižim razinama kvalifikacija,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/>
          <w:sz w:val="22"/>
        </w:rPr>
        <w:t xml:space="preserve">odrasle osobe u dobi između 15-34 godine bez kvalifikacija (samo sa završenom osnovnom razinom obrazovanja),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proofErr w:type="spellStart"/>
      <w:proofErr w:type="gramStart"/>
      <w:r w:rsidRPr="00E368BC">
        <w:rPr>
          <w:rFonts w:ascii="Times New Roman" w:hAnsi="Times New Roman" w:cs="Times New Roman"/>
          <w:color w:val="000000"/>
          <w:sz w:val="22"/>
          <w:lang w:val="en-GB"/>
        </w:rPr>
        <w:t>dugotrajno</w:t>
      </w:r>
      <w:proofErr w:type="spellEnd"/>
      <w:proofErr w:type="gramEnd"/>
      <w:r w:rsidRPr="00E368BC">
        <w:rPr>
          <w:rFonts w:ascii="Times New Roman" w:hAnsi="Times New Roman" w:cs="Times New Roman"/>
          <w:color w:val="000000"/>
          <w:sz w:val="22"/>
          <w:lang w:val="en-GB"/>
        </w:rPr>
        <w:t xml:space="preserve"> </w:t>
      </w:r>
      <w:proofErr w:type="spellStart"/>
      <w:r w:rsidRPr="00E368BC">
        <w:rPr>
          <w:rFonts w:ascii="Times New Roman" w:hAnsi="Times New Roman" w:cs="Times New Roman"/>
          <w:color w:val="000000"/>
          <w:sz w:val="22"/>
          <w:lang w:val="en-GB"/>
        </w:rPr>
        <w:t>nezaposlene</w:t>
      </w:r>
      <w:proofErr w:type="spellEnd"/>
      <w:r w:rsidRPr="00E368BC">
        <w:rPr>
          <w:rFonts w:ascii="Times New Roman" w:hAnsi="Times New Roman" w:cs="Times New Roman"/>
          <w:color w:val="000000"/>
          <w:sz w:val="22"/>
          <w:lang w:val="en-GB"/>
        </w:rPr>
        <w:t xml:space="preserve"> </w:t>
      </w:r>
      <w:proofErr w:type="spellStart"/>
      <w:r w:rsidRPr="00E368BC">
        <w:rPr>
          <w:rFonts w:ascii="Times New Roman" w:hAnsi="Times New Roman" w:cs="Times New Roman"/>
          <w:color w:val="000000"/>
          <w:sz w:val="22"/>
          <w:lang w:val="en-GB"/>
        </w:rPr>
        <w:t>osobe</w:t>
      </w:r>
      <w:proofErr w:type="spellEnd"/>
      <w:r w:rsidRPr="00E368BC">
        <w:rPr>
          <w:rFonts w:ascii="Times New Roman" w:hAnsi="Times New Roman" w:cs="Times New Roman"/>
          <w:color w:val="000000"/>
          <w:sz w:val="22"/>
          <w:lang w:val="en-GB"/>
        </w:rPr>
        <w:t xml:space="preserve"> </w:t>
      </w:r>
      <w:proofErr w:type="spellStart"/>
      <w:r w:rsidRPr="00E368BC">
        <w:rPr>
          <w:rFonts w:ascii="Times New Roman" w:hAnsi="Times New Roman" w:cs="Times New Roman"/>
          <w:color w:val="000000"/>
          <w:sz w:val="22"/>
          <w:lang w:val="en-GB"/>
        </w:rPr>
        <w:t>starije</w:t>
      </w:r>
      <w:proofErr w:type="spellEnd"/>
      <w:r w:rsidRPr="00E368BC">
        <w:rPr>
          <w:rFonts w:ascii="Times New Roman" w:hAnsi="Times New Roman" w:cs="Times New Roman"/>
          <w:color w:val="000000"/>
          <w:sz w:val="22"/>
          <w:lang w:val="en-GB"/>
        </w:rPr>
        <w:t xml:space="preserve"> od 34 </w:t>
      </w:r>
      <w:proofErr w:type="spellStart"/>
      <w:r w:rsidRPr="00E368BC">
        <w:rPr>
          <w:rFonts w:ascii="Times New Roman" w:hAnsi="Times New Roman" w:cs="Times New Roman"/>
          <w:color w:val="000000"/>
          <w:sz w:val="22"/>
          <w:lang w:val="en-GB"/>
        </w:rPr>
        <w:t>godine</w:t>
      </w:r>
      <w:proofErr w:type="spellEnd"/>
      <w:r w:rsidRPr="00E368BC">
        <w:rPr>
          <w:rFonts w:ascii="Times New Roman" w:hAnsi="Times New Roman" w:cs="Times New Roman"/>
          <w:color w:val="000000"/>
          <w:sz w:val="22"/>
          <w:lang w:val="en-GB"/>
        </w:rPr>
        <w:t xml:space="preserve">. </w:t>
      </w: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  <w:lang w:val="en-GB"/>
        </w:rPr>
      </w:pPr>
    </w:p>
    <w:p w:rsidR="0017601A" w:rsidRPr="00E368BC" w:rsidRDefault="0017601A" w:rsidP="0017601A">
      <w:p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b/>
          <w:i/>
          <w:color w:val="000000"/>
          <w:sz w:val="22"/>
        </w:rPr>
      </w:pPr>
      <w:r w:rsidRPr="00E368BC">
        <w:rPr>
          <w:rFonts w:ascii="Times New Roman" w:hAnsi="Times New Roman" w:cs="Times New Roman"/>
          <w:b/>
          <w:i/>
          <w:color w:val="000000"/>
          <w:sz w:val="22"/>
          <w:lang w:val="en-GB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MediumLis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666"/>
      </w:tblGrid>
      <w:tr w:rsidR="0017601A" w:rsidRPr="00E368BC" w:rsidTr="00311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601A" w:rsidRPr="00E368BC" w:rsidRDefault="0017601A" w:rsidP="003113A8">
            <w:pPr>
              <w:spacing w:before="12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>CILJNE SKUPINE</w:t>
            </w:r>
          </w:p>
        </w:tc>
        <w:tc>
          <w:tcPr>
            <w:tcW w:w="583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601A" w:rsidRPr="00E368BC" w:rsidRDefault="0017601A" w:rsidP="003113A8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368BC">
              <w:rPr>
                <w:rFonts w:ascii="Times New Roman" w:hAnsi="Times New Roman"/>
                <w:b/>
                <w:sz w:val="22"/>
              </w:rPr>
              <w:t>PRIMJERI DOKAZA (DOKUMENTI)</w:t>
            </w:r>
          </w:p>
        </w:tc>
      </w:tr>
      <w:tr w:rsidR="0017601A" w:rsidRPr="00E368BC" w:rsidTr="00311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1.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Odrasle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bez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obrazovanja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posljednje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svjedodžba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nekog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škole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i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potvrda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škole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kojom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se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potvrđuje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da je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iz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svjedodžbe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zadnje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npr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. 7.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)</w:t>
            </w:r>
          </w:p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  <w:tr w:rsidR="0017601A" w:rsidRPr="00E368BC" w:rsidTr="00311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2.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Odrasle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s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nižim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razinama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kvalifikacija</w:t>
            </w:r>
            <w:proofErr w:type="spellEnd"/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javne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isprave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o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izradbi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i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obrani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jednogodišnjeg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dvogodišnjeg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srednjoškolskog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obrazovanja</w:t>
            </w:r>
            <w:proofErr w:type="spellEnd"/>
          </w:p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  <w:tr w:rsidR="0017601A" w:rsidRPr="00E368BC" w:rsidTr="00311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3.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Odrasle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dobi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između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15-34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godine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bez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samo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obrazovanja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iskaznice</w:t>
            </w:r>
            <w:proofErr w:type="spellEnd"/>
          </w:p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osnovnoškolske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svjedodžbe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osmog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razreda</w:t>
            </w:r>
            <w:proofErr w:type="spellEnd"/>
          </w:p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  <w:tr w:rsidR="0017601A" w:rsidRPr="00E368BC" w:rsidTr="00311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keepNext/>
              <w:keepLines/>
              <w:spacing w:before="60" w:after="60"/>
              <w:outlineLvl w:val="8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lastRenderedPageBreak/>
              <w:t xml:space="preserve">4.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Dugotrajno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nezaposlene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starije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od 34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godine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iskaznice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</w:p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Ako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evidenciji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nezaposlenih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HZZ-a –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potvrda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o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vođenju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evidenciji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HZZ-a</w:t>
            </w:r>
          </w:p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 xml:space="preserve">Ciljne skupine: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/>
          <w:sz w:val="22"/>
        </w:rPr>
        <w:t xml:space="preserve">odrasle osobe bez završenog osnovnog obrazovanja,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 xml:space="preserve">odrasle osobe s nižim razinama kvalifikacija uključujući i razinu 4.1 prema Hrvatskom kvalifikacijskom okviru,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 xml:space="preserve">odrasle osobe u dobi između 15-34 godine bez kvalifikacija (samo sa završenom osnovnom razinom obrazovanja), </w:t>
      </w:r>
    </w:p>
    <w:p w:rsidR="0017601A" w:rsidRPr="00E368BC" w:rsidRDefault="0017601A" w:rsidP="00176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dugotrajno nezaposlene osobe starije od 34 godine s razinom kvalifikacija koja odgovara razini 1-4.2 prema Hrvatskom kvalifikacijskom okviru.</w:t>
      </w: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MediumLis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687"/>
      </w:tblGrid>
      <w:tr w:rsidR="0017601A" w:rsidRPr="00E368BC" w:rsidTr="00311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601A" w:rsidRPr="00E368BC" w:rsidRDefault="0017601A" w:rsidP="003113A8">
            <w:pPr>
              <w:spacing w:before="12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>CILJNE SKUPINE</w:t>
            </w:r>
          </w:p>
        </w:tc>
        <w:tc>
          <w:tcPr>
            <w:tcW w:w="583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601A" w:rsidRPr="00E368BC" w:rsidRDefault="0017601A" w:rsidP="003113A8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E368BC">
              <w:rPr>
                <w:rFonts w:ascii="Times New Roman" w:hAnsi="Times New Roman"/>
                <w:b/>
                <w:sz w:val="22"/>
              </w:rPr>
              <w:t>PRIMJERI DOKAZA (DOKUMENTI)</w:t>
            </w:r>
          </w:p>
        </w:tc>
      </w:tr>
      <w:tr w:rsidR="0017601A" w:rsidRPr="00E368BC" w:rsidTr="00311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1.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Odrasle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bez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obrazovanja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posljednje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svjedodžba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nekog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škole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i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potvrda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škole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kojom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se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potvrđuje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da je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iz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svjedodžbe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zadnje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npr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. 7.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)</w:t>
            </w:r>
          </w:p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  <w:tr w:rsidR="0017601A" w:rsidRPr="00E368BC" w:rsidTr="00311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2.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Odrasle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s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nižim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razinama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uključujući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i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4.1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prema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kvalifikacijskom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okviru</w:t>
            </w:r>
            <w:proofErr w:type="spellEnd"/>
          </w:p>
          <w:p w:rsidR="0017601A" w:rsidRPr="00E368BC" w:rsidRDefault="0017601A" w:rsidP="003113A8">
            <w:pPr>
              <w:spacing w:before="60" w:after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javne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isprave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o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izradbi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i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obrani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jednogodišnjeg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dvogodišnjeg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trogodišnjeg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srednjoškolskog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obrazovanja</w:t>
            </w:r>
            <w:proofErr w:type="spellEnd"/>
          </w:p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  <w:tr w:rsidR="0017601A" w:rsidRPr="00E368BC" w:rsidTr="00311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3.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Odrasle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dobi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između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15-34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godine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bez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samo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obrazovanja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iskaznice</w:t>
            </w:r>
            <w:proofErr w:type="spellEnd"/>
          </w:p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osnovnoškolske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svjedodžbe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završenog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osmog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razreda</w:t>
            </w:r>
            <w:proofErr w:type="spellEnd"/>
          </w:p>
          <w:p w:rsidR="0017601A" w:rsidRPr="00E368BC" w:rsidRDefault="0017601A" w:rsidP="003113A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  <w:tr w:rsidR="0017601A" w:rsidRPr="00E368BC" w:rsidTr="00311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auto"/>
          </w:tcPr>
          <w:p w:rsidR="0017601A" w:rsidRPr="00E368BC" w:rsidRDefault="0017601A" w:rsidP="003113A8">
            <w:pPr>
              <w:keepNext/>
              <w:keepLines/>
              <w:spacing w:before="60" w:after="60"/>
              <w:outlineLvl w:val="8"/>
              <w:rPr>
                <w:rFonts w:ascii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4.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Dugotrajno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nezaposlene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starije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od 34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godine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s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koja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odgovara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razini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1-4.2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prema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kvalifikacijskom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okviru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830" w:type="dxa"/>
            <w:shd w:val="clear" w:color="auto" w:fill="auto"/>
          </w:tcPr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Preslika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osobne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iskaznice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</w:p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Ako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su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evidenciji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nezaposlenih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osoba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HZZ-a –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potvrda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o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vođenju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evidenciji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HZZ-a</w:t>
            </w:r>
          </w:p>
          <w:p w:rsidR="0017601A" w:rsidRPr="00E368BC" w:rsidRDefault="0017601A" w:rsidP="003113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E368BC">
              <w:rPr>
                <w:rFonts w:ascii="Times New Roman" w:hAnsi="Times New Roman"/>
                <w:sz w:val="22"/>
              </w:rPr>
              <w:t>Uvid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u e-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radnu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knjižicu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Hrvatskog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zavoda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za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mirovinsko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368BC">
              <w:rPr>
                <w:rFonts w:ascii="Times New Roman" w:hAnsi="Times New Roman"/>
                <w:sz w:val="22"/>
              </w:rPr>
              <w:t>osiguranje</w:t>
            </w:r>
            <w:proofErr w:type="spellEnd"/>
            <w:r w:rsidRPr="00E368BC">
              <w:rPr>
                <w:rFonts w:ascii="Times New Roman" w:hAnsi="Times New Roman"/>
                <w:sz w:val="22"/>
              </w:rPr>
              <w:t xml:space="preserve"> (HZMO)</w:t>
            </w:r>
          </w:p>
        </w:tc>
      </w:tr>
    </w:tbl>
    <w:p w:rsidR="0017601A" w:rsidRPr="00E368BC" w:rsidRDefault="0017601A" w:rsidP="0017601A">
      <w:p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lastRenderedPageBreak/>
        <w:t>2.2.2.  Kriteriji za isključenje Prijavitelja i ako je primjenjivo Partnera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9"/>
        </w:numPr>
        <w:suppressAutoHyphens/>
        <w:spacing w:after="200" w:line="276" w:lineRule="auto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Za potrebe utvrđivanja uvjeta iz točke 2.1. prijavitelj dostavlja: 1) preslika rješenja nadležnog Ministarstva za program koji se planira izvoditi u okviru ovog Poziva 2) preslika Matične knjige polaznika u programima osposobljavanja i usavršavanja iz koje je vidljivo da je program koji će se izvoditi u okviru ovog Poziva prethodno izvođen najmanje jednom 3) popunjen obrazac 3 </w:t>
      </w:r>
      <w:r w:rsidRPr="00E368BC">
        <w:rPr>
          <w:rFonts w:ascii="Times New Roman" w:hAnsi="Times New Roman"/>
          <w:i/>
          <w:sz w:val="22"/>
        </w:rPr>
        <w:t>''Program/i obrazovanja odraslih koji/e se prijavljuje/u za izvođenje u okviru projekta''</w:t>
      </w:r>
      <w:r w:rsidRPr="00E368BC">
        <w:rPr>
          <w:rFonts w:ascii="Times New Roman" w:hAnsi="Times New Roman"/>
          <w:sz w:val="22"/>
        </w:rPr>
        <w:t xml:space="preserve">  </w:t>
      </w:r>
      <w:r w:rsidRPr="00E368BC">
        <w:rPr>
          <w:rFonts w:ascii="Times New Roman" w:hAnsi="Times New Roman"/>
          <w:b/>
          <w:i/>
          <w:sz w:val="22"/>
        </w:rPr>
        <w:t>Ukoliko se u fazi Procjene kvalitete utvrdi suprotno u odnosu na popunjeni obrazac, projektni prijedlog će biti isključen iz daljnjeg postupka predmetne dodjele bespovratnih sredstava.</w:t>
      </w:r>
    </w:p>
    <w:p w:rsidR="0017601A" w:rsidRPr="00E368BC" w:rsidRDefault="0017601A" w:rsidP="0017601A">
      <w:pPr>
        <w:pStyle w:val="ListParagraph"/>
        <w:suppressAutoHyphens/>
        <w:spacing w:line="276" w:lineRule="auto"/>
        <w:rPr>
          <w:rFonts w:ascii="Times New Roman" w:hAnsi="Times New Roman"/>
          <w:sz w:val="22"/>
        </w:rPr>
      </w:pP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9"/>
        </w:numPr>
        <w:suppressAutoHyphens/>
        <w:spacing w:after="200" w:line="276" w:lineRule="auto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Za potrebe utvrđivanja uvjeta iz točke 2.1. prijavitelj dostavlja: 1) preslika rješenja nadležnog Ministarstva za program koji se planira izvoditi u okviru ovog Poziva 2) preslika Matične knjige polaznika u programima obrazovanja odraslih iz koje je vidljivo da je program koji će se izvoditi u okviru ovog Poziva prethodno izvođen najmanje jednom 3) popunjen obrazac 3 </w:t>
      </w:r>
      <w:r w:rsidRPr="00E368BC">
        <w:rPr>
          <w:rFonts w:ascii="Times New Roman" w:hAnsi="Times New Roman"/>
          <w:i/>
          <w:sz w:val="22"/>
        </w:rPr>
        <w:t>''Program/i obrazovanja odraslih koji/e se prijavljuje/u za izvođenje u okviru projekta''</w:t>
      </w:r>
      <w:r w:rsidRPr="00E368BC">
        <w:rPr>
          <w:rFonts w:ascii="Times New Roman" w:hAnsi="Times New Roman"/>
          <w:sz w:val="22"/>
        </w:rPr>
        <w:t xml:space="preserve">  </w:t>
      </w:r>
      <w:r w:rsidRPr="00E368BC">
        <w:rPr>
          <w:rFonts w:ascii="Times New Roman" w:hAnsi="Times New Roman"/>
          <w:b/>
          <w:i/>
          <w:sz w:val="22"/>
        </w:rPr>
        <w:t>Ukoliko se u fazi Procjene kvalitete utvrdi suprotno u odnosu na popunjeni obrazac, projektni prijedlog će biti isključen iz daljnjeg postupka predmetne dodjele bespovratnih sredstava.</w:t>
      </w:r>
    </w:p>
    <w:p w:rsidR="0017601A" w:rsidRPr="00E368BC" w:rsidRDefault="0017601A" w:rsidP="0017601A">
      <w:pPr>
        <w:pStyle w:val="ListParagraph"/>
        <w:rPr>
          <w:rFonts w:ascii="Times New Roman" w:hAnsi="Times New Roman"/>
          <w:sz w:val="22"/>
        </w:rPr>
      </w:pPr>
    </w:p>
    <w:p w:rsidR="0017601A" w:rsidRPr="00E368BC" w:rsidRDefault="0017601A" w:rsidP="0017601A">
      <w:pPr>
        <w:pStyle w:val="ListParagraph"/>
        <w:rPr>
          <w:rFonts w:ascii="Times New Roman" w:hAnsi="Times New Roman"/>
          <w:sz w:val="22"/>
        </w:rPr>
      </w:pP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color w:val="000000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3.3. Prihvatljive aktivnosti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Element 2. Odabir polaznika za uključivanje u programe obrazovanja odraslih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spacing w:before="240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Cs w:val="24"/>
        </w:rPr>
        <w:t>1</w:t>
      </w:r>
      <w:r w:rsidRPr="00E368BC">
        <w:rPr>
          <w:rFonts w:ascii="Times New Roman" w:eastAsia="Times New Roman" w:hAnsi="Times New Roman"/>
          <w:sz w:val="22"/>
        </w:rPr>
        <w:t xml:space="preserve">.  Programi u sektorima: </w:t>
      </w:r>
    </w:p>
    <w:p w:rsidR="0017601A" w:rsidRPr="00E368BC" w:rsidRDefault="0017601A" w:rsidP="0017601A">
      <w:pPr>
        <w:pStyle w:val="ListParagraph"/>
        <w:numPr>
          <w:ilvl w:val="0"/>
          <w:numId w:val="3"/>
        </w:numPr>
        <w:suppressAutoHyphens/>
        <w:spacing w:before="240"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poljoprivrede</w:t>
      </w:r>
      <w:r w:rsidRPr="00E368BC">
        <w:rPr>
          <w:rFonts w:ascii="Times New Roman" w:eastAsia="Times New Roman" w:hAnsi="Times New Roman"/>
          <w:sz w:val="22"/>
        </w:rPr>
        <w:t>: program osposobljavanja za poslove vinogradara/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osposobljavanja za poslove maslinara/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i program osposobljavanja za poslove pčelara/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; </w:t>
      </w:r>
    </w:p>
    <w:p w:rsidR="0017601A" w:rsidRPr="00E368BC" w:rsidRDefault="0017601A" w:rsidP="0017601A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strojarstva i metalurgije</w:t>
      </w:r>
      <w:r w:rsidRPr="00E368BC">
        <w:rPr>
          <w:rFonts w:ascii="Times New Roman" w:eastAsia="Times New Roman" w:hAnsi="Times New Roman"/>
          <w:sz w:val="22"/>
        </w:rPr>
        <w:t>: program osposobljavanja za poslove zavarivača/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MIG-MAG postupkom, program osposobljavanja za poslove zavarivača/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REL postupkom, program usavršavanja za poslove montera/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solarno </w:t>
      </w:r>
      <w:proofErr w:type="spellStart"/>
      <w:r w:rsidRPr="00E368BC">
        <w:rPr>
          <w:rFonts w:ascii="Times New Roman" w:eastAsia="Times New Roman" w:hAnsi="Times New Roman"/>
          <w:sz w:val="22"/>
        </w:rPr>
        <w:t>toplovodnih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sustava</w:t>
      </w:r>
    </w:p>
    <w:p w:rsidR="0017601A" w:rsidRPr="00E368BC" w:rsidRDefault="0017601A" w:rsidP="0017601A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turizma i ugostiteljstva</w:t>
      </w:r>
      <w:r w:rsidRPr="00E368BC">
        <w:rPr>
          <w:rFonts w:ascii="Times New Roman" w:eastAsia="Times New Roman" w:hAnsi="Times New Roman"/>
          <w:sz w:val="22"/>
        </w:rPr>
        <w:t>: program osposobljavanja za poslove konobara/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osposobljavanja za poslove slastičara/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osposobljavanja za poslove kuhara/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usavršavanja za poslove kuhara/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specijalista nacionalnih jela, program usavršavanja za poslove barmena/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>; program za stjecanje srednje stručne spreme i prekvalifikacije u zanimanju kuhar/</w:t>
      </w:r>
      <w:proofErr w:type="spellStart"/>
      <w:r w:rsidRPr="00E368BC">
        <w:rPr>
          <w:rFonts w:ascii="Times New Roman" w:eastAsia="Times New Roman" w:hAnsi="Times New Roman"/>
          <w:sz w:val="22"/>
        </w:rPr>
        <w:t>ica</w:t>
      </w:r>
      <w:proofErr w:type="spellEnd"/>
    </w:p>
    <w:p w:rsidR="0017601A" w:rsidRPr="00E368BC" w:rsidRDefault="0017601A" w:rsidP="0017601A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lastRenderedPageBreak/>
        <w:t>sektor elektrotehnike i računarstva</w:t>
      </w:r>
      <w:r w:rsidRPr="00E368BC">
        <w:rPr>
          <w:rFonts w:ascii="Times New Roman" w:eastAsia="Times New Roman" w:hAnsi="Times New Roman"/>
          <w:sz w:val="22"/>
        </w:rPr>
        <w:t>: program usavršavanja za poslove montera/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 </w:t>
      </w:r>
      <w:proofErr w:type="spellStart"/>
      <w:r w:rsidRPr="00E368BC">
        <w:rPr>
          <w:rFonts w:ascii="Times New Roman" w:eastAsia="Times New Roman" w:hAnsi="Times New Roman"/>
          <w:sz w:val="22"/>
        </w:rPr>
        <w:t>fotonaponskih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sustava</w:t>
      </w:r>
    </w:p>
    <w:p w:rsidR="0017601A" w:rsidRPr="00E368BC" w:rsidRDefault="0017601A" w:rsidP="0017601A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informacija i komunikacija</w:t>
      </w:r>
      <w:r w:rsidRPr="00E368BC">
        <w:rPr>
          <w:rFonts w:ascii="Times New Roman" w:eastAsia="Times New Roman" w:hAnsi="Times New Roman"/>
          <w:sz w:val="22"/>
        </w:rPr>
        <w:t>: program usavršavanja za poslove računalnog/e operatera/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usavršavanja za poslove web dizajnera</w:t>
      </w:r>
    </w:p>
    <w:p w:rsidR="0017601A" w:rsidRPr="00E368BC" w:rsidRDefault="0017601A" w:rsidP="0017601A">
      <w:pPr>
        <w:pStyle w:val="ListParagraph"/>
        <w:numPr>
          <w:ilvl w:val="0"/>
          <w:numId w:val="3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zdravstva</w:t>
      </w:r>
      <w:r w:rsidRPr="00E368BC">
        <w:rPr>
          <w:rFonts w:ascii="Times New Roman" w:eastAsia="Times New Roman" w:hAnsi="Times New Roman"/>
          <w:sz w:val="22"/>
        </w:rPr>
        <w:t>: program osposobljavanja za poslove njegovatelja/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starijih i nemoćnih osoba. </w:t>
      </w:r>
    </w:p>
    <w:p w:rsidR="0017601A" w:rsidRPr="00E368BC" w:rsidRDefault="0017601A" w:rsidP="0017601A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eastAsia="Times New Roman" w:hAnsi="Times New Roman"/>
          <w:color w:val="000000" w:themeColor="text1"/>
          <w:sz w:val="22"/>
        </w:rPr>
        <w:t>Ostali programi prekvalifikacije, usavršavanja i osposobljavanja koji su u skladu sa Preporukama za obrazovnu upisnu politiku i politiku stipendiranja u 2017. Hrvatskog zavoda za zapošljavanje</w:t>
      </w: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Referenca 11</w:t>
      </w:r>
    </w:p>
    <w:p w:rsidR="0017601A" w:rsidRPr="00E368BC" w:rsidRDefault="00710D8C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hyperlink r:id="rId9" w:history="1">
        <w:r w:rsidR="0017601A" w:rsidRPr="00E368BC">
          <w:rPr>
            <w:rStyle w:val="Hyperlink"/>
            <w:rFonts w:ascii="Times New Roman" w:eastAsia="Times New Roman" w:hAnsi="Times New Roman"/>
            <w:sz w:val="20"/>
            <w:szCs w:val="20"/>
          </w:rPr>
          <w:t>Preporuke za obrazovnu upisnu politiku i politiku stipendiranja u 2017.</w:t>
        </w:r>
      </w:hyperlink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(…)</w:t>
      </w:r>
    </w:p>
    <w:p w:rsidR="0017601A" w:rsidRPr="00E368BC" w:rsidRDefault="0017601A" w:rsidP="0017601A">
      <w:pPr>
        <w:spacing w:before="240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</w:rPr>
        <w:t xml:space="preserve">1. Programi obrazovanja odraslih u sektorima: </w:t>
      </w:r>
    </w:p>
    <w:p w:rsidR="0017601A" w:rsidRPr="00E368BC" w:rsidRDefault="0017601A" w:rsidP="0017601A">
      <w:pPr>
        <w:pStyle w:val="ListParagraph"/>
        <w:numPr>
          <w:ilvl w:val="0"/>
          <w:numId w:val="10"/>
        </w:numPr>
        <w:suppressAutoHyphens/>
        <w:spacing w:before="240"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poljoprivrede</w:t>
      </w:r>
      <w:r w:rsidRPr="00E368BC">
        <w:rPr>
          <w:rFonts w:ascii="Times New Roman" w:eastAsia="Times New Roman" w:hAnsi="Times New Roman"/>
          <w:sz w:val="22"/>
        </w:rPr>
        <w:t>: program za vinogradara/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za  maslinara/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i program  za  pčelara/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; </w:t>
      </w:r>
    </w:p>
    <w:p w:rsidR="0017601A" w:rsidRPr="00E368BC" w:rsidRDefault="0017601A" w:rsidP="0017601A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strojarstva i metalurgije</w:t>
      </w:r>
      <w:r w:rsidRPr="00E368BC">
        <w:rPr>
          <w:rFonts w:ascii="Times New Roman" w:eastAsia="Times New Roman" w:hAnsi="Times New Roman"/>
          <w:sz w:val="22"/>
        </w:rPr>
        <w:t>: program za  zavarivača/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za montera/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solarno </w:t>
      </w:r>
      <w:proofErr w:type="spellStart"/>
      <w:r w:rsidRPr="00E368BC">
        <w:rPr>
          <w:rFonts w:ascii="Times New Roman" w:eastAsia="Times New Roman" w:hAnsi="Times New Roman"/>
          <w:sz w:val="22"/>
        </w:rPr>
        <w:t>toplovodnih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sustava</w:t>
      </w:r>
    </w:p>
    <w:p w:rsidR="0017601A" w:rsidRPr="00E368BC" w:rsidRDefault="0017601A" w:rsidP="0017601A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turizma i ugostiteljstva</w:t>
      </w:r>
      <w:r w:rsidRPr="00E368BC">
        <w:rPr>
          <w:rFonts w:ascii="Times New Roman" w:eastAsia="Times New Roman" w:hAnsi="Times New Roman"/>
          <w:sz w:val="22"/>
        </w:rPr>
        <w:t>: program  za  konobara/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za  slastičara/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 za kuhara/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za barmena/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; </w:t>
      </w:r>
    </w:p>
    <w:p w:rsidR="0017601A" w:rsidRPr="00E368BC" w:rsidRDefault="0017601A" w:rsidP="0017601A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elektrotehnike i računarstva</w:t>
      </w:r>
      <w:r w:rsidRPr="00E368BC">
        <w:rPr>
          <w:rFonts w:ascii="Times New Roman" w:eastAsia="Times New Roman" w:hAnsi="Times New Roman"/>
          <w:sz w:val="22"/>
        </w:rPr>
        <w:t>: program za montera/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 </w:t>
      </w:r>
      <w:proofErr w:type="spellStart"/>
      <w:r w:rsidRPr="00E368BC">
        <w:rPr>
          <w:rFonts w:ascii="Times New Roman" w:eastAsia="Times New Roman" w:hAnsi="Times New Roman"/>
          <w:sz w:val="22"/>
        </w:rPr>
        <w:t>fotonaponskih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sustava</w:t>
      </w:r>
    </w:p>
    <w:p w:rsidR="0017601A" w:rsidRPr="00E368BC" w:rsidRDefault="0017601A" w:rsidP="0017601A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informacija i komunikacija</w:t>
      </w:r>
      <w:r w:rsidRPr="00E368BC">
        <w:rPr>
          <w:rFonts w:ascii="Times New Roman" w:eastAsia="Times New Roman" w:hAnsi="Times New Roman"/>
          <w:sz w:val="22"/>
        </w:rPr>
        <w:t>: program za računalnog/e operatera/</w:t>
      </w:r>
      <w:proofErr w:type="spellStart"/>
      <w:r w:rsidRPr="00E368BC">
        <w:rPr>
          <w:rFonts w:ascii="Times New Roman" w:eastAsia="Times New Roman" w:hAnsi="Times New Roman"/>
          <w:sz w:val="22"/>
        </w:rPr>
        <w:t>ke</w:t>
      </w:r>
      <w:proofErr w:type="spellEnd"/>
      <w:r w:rsidRPr="00E368BC">
        <w:rPr>
          <w:rFonts w:ascii="Times New Roman" w:eastAsia="Times New Roman" w:hAnsi="Times New Roman"/>
          <w:sz w:val="22"/>
        </w:rPr>
        <w:t>, program za web dizajnera</w:t>
      </w:r>
    </w:p>
    <w:p w:rsidR="0017601A" w:rsidRPr="00E368BC" w:rsidRDefault="0017601A" w:rsidP="0017601A">
      <w:pPr>
        <w:pStyle w:val="ListParagraph"/>
        <w:numPr>
          <w:ilvl w:val="0"/>
          <w:numId w:val="10"/>
        </w:numPr>
        <w:suppressAutoHyphens/>
        <w:spacing w:line="276" w:lineRule="auto"/>
        <w:rPr>
          <w:rFonts w:ascii="Times New Roman" w:eastAsia="Times New Roman" w:hAnsi="Times New Roman"/>
          <w:sz w:val="22"/>
        </w:rPr>
      </w:pPr>
      <w:r w:rsidRPr="00E368BC">
        <w:rPr>
          <w:rFonts w:ascii="Times New Roman" w:eastAsia="Times New Roman" w:hAnsi="Times New Roman"/>
          <w:sz w:val="22"/>
          <w:u w:val="single"/>
        </w:rPr>
        <w:t>sektor zdravstva</w:t>
      </w:r>
      <w:r w:rsidRPr="00E368BC">
        <w:rPr>
          <w:rFonts w:ascii="Times New Roman" w:eastAsia="Times New Roman" w:hAnsi="Times New Roman"/>
          <w:sz w:val="22"/>
        </w:rPr>
        <w:t>: program  za njegovatelja/</w:t>
      </w:r>
      <w:proofErr w:type="spellStart"/>
      <w:r w:rsidRPr="00E368BC">
        <w:rPr>
          <w:rFonts w:ascii="Times New Roman" w:eastAsia="Times New Roman" w:hAnsi="Times New Roman"/>
          <w:sz w:val="22"/>
        </w:rPr>
        <w:t>ice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 starijih i nemoćnih osoba, program za </w:t>
      </w:r>
      <w:proofErr w:type="spellStart"/>
      <w:r w:rsidRPr="00E368BC">
        <w:rPr>
          <w:rFonts w:ascii="Times New Roman" w:eastAsia="Times New Roman" w:hAnsi="Times New Roman"/>
          <w:sz w:val="22"/>
        </w:rPr>
        <w:t>gerontodomaćina</w:t>
      </w:r>
      <w:proofErr w:type="spellEnd"/>
      <w:r w:rsidRPr="00E368BC">
        <w:rPr>
          <w:rFonts w:ascii="Times New Roman" w:eastAsia="Times New Roman" w:hAnsi="Times New Roman"/>
          <w:sz w:val="22"/>
        </w:rPr>
        <w:t>/</w:t>
      </w:r>
      <w:proofErr w:type="spellStart"/>
      <w:r w:rsidRPr="00E368BC">
        <w:rPr>
          <w:rFonts w:ascii="Times New Roman" w:eastAsia="Times New Roman" w:hAnsi="Times New Roman"/>
          <w:sz w:val="22"/>
        </w:rPr>
        <w:t>cu</w:t>
      </w:r>
      <w:proofErr w:type="spellEnd"/>
      <w:r w:rsidRPr="00E368BC">
        <w:rPr>
          <w:rFonts w:ascii="Times New Roman" w:eastAsia="Times New Roman" w:hAnsi="Times New Roman"/>
          <w:sz w:val="22"/>
        </w:rPr>
        <w:t xml:space="preserve">. </w:t>
      </w:r>
    </w:p>
    <w:p w:rsidR="0017601A" w:rsidRPr="00E368BC" w:rsidRDefault="0017601A" w:rsidP="0017601A">
      <w:pPr>
        <w:pStyle w:val="ListParagraph"/>
        <w:suppressAutoHyphens/>
        <w:spacing w:line="276" w:lineRule="auto"/>
        <w:rPr>
          <w:rFonts w:ascii="Times New Roman" w:eastAsia="Times New Roman" w:hAnsi="Times New Roman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eastAsia="Times New Roman" w:hAnsi="Times New Roman"/>
          <w:color w:val="000000" w:themeColor="text1"/>
          <w:sz w:val="22"/>
        </w:rPr>
        <w:t>Ostali programi obrazovanja odraslih koji su u skladu sa Preporukama za obrazovnu upisnu politiku i politiku stipendiranja u 2017. Hrvatskog zavoda za zapošljavanje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sz w:val="22"/>
          <w:u w:val="single"/>
        </w:rPr>
      </w:pPr>
      <w:r w:rsidRPr="00E368BC">
        <w:rPr>
          <w:rFonts w:ascii="Times New Roman" w:hAnsi="Times New Roman" w:cs="Times New Roman"/>
          <w:b/>
          <w:sz w:val="22"/>
          <w:u w:val="single"/>
        </w:rPr>
        <w:t>Referenca 11</w:t>
      </w:r>
    </w:p>
    <w:p w:rsidR="0017601A" w:rsidRPr="0080528B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80528B">
        <w:rPr>
          <w:rFonts w:ascii="Times New Roman" w:hAnsi="Times New Roman" w:cs="Times New Roman"/>
          <w:color w:val="000000" w:themeColor="text1"/>
          <w:sz w:val="22"/>
        </w:rPr>
        <w:t>Preporuke za obrazovnu upisnu politiku i politiku stipendiranja u 2017.  Napominjemo kako programi koje će prijavitelj prijaviti u sklopu projektne prijave moraju biti u skladu s popisom koji se odnosi na područje županije, uključujući gradove i općine na području županije u kojoj će se program izvoditi.</w:t>
      </w:r>
    </w:p>
    <w:p w:rsidR="0017601A" w:rsidRPr="0080528B" w:rsidRDefault="0017601A" w:rsidP="0017601A">
      <w:pPr>
        <w:spacing w:before="240"/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Točka 3.3. Prihvatljive aktivnosti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 (…)</w:t>
      </w: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Element 3. Organizacija i provedba izvođenja programa obrazovanja odraslih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Referenca 12 </w:t>
      </w: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Troškovi potrebni za provedbu aktivnosti u okviru Elementa 3 moraju iznositi najmanje 70% iznosa ukupnih prihvatljivih troškova projekta.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M</w:t>
      </w: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>(…)</w:t>
      </w:r>
    </w:p>
    <w:p w:rsidR="0017601A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olor w:val="000000" w:themeColor="text1"/>
          <w:sz w:val="22"/>
        </w:rPr>
        <w:t>Element 3. Organizacija i provedba izvođenja programa obrazovanja odraslih</w:t>
      </w:r>
    </w:p>
    <w:p w:rsidR="003E16E5" w:rsidRDefault="003E16E5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:rsidR="0017601A" w:rsidRPr="003E16E5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3E16E5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Referenca 12</w:t>
      </w:r>
    </w:p>
    <w:p w:rsidR="0017601A" w:rsidRPr="003E16E5" w:rsidRDefault="0017601A" w:rsidP="0017601A">
      <w:pPr>
        <w:rPr>
          <w:rFonts w:ascii="Times New Roman" w:hAnsi="Times New Roman"/>
          <w:sz w:val="22"/>
        </w:rPr>
      </w:pPr>
      <w:r w:rsidRPr="003E16E5">
        <w:rPr>
          <w:rFonts w:ascii="Times New Roman" w:hAnsi="Times New Roman"/>
          <w:sz w:val="22"/>
        </w:rPr>
        <w:t xml:space="preserve">Troškovi potrebni za provedbu aktivnosti u okviru Elementa 2, 3 i 4. moraju iznositi </w:t>
      </w:r>
      <w:r w:rsidRPr="003E16E5">
        <w:rPr>
          <w:rFonts w:ascii="Times New Roman" w:hAnsi="Times New Roman"/>
          <w:b/>
          <w:sz w:val="22"/>
        </w:rPr>
        <w:t>najmanje 70%</w:t>
      </w:r>
      <w:r w:rsidRPr="003E16E5">
        <w:rPr>
          <w:rFonts w:ascii="Times New Roman" w:hAnsi="Times New Roman"/>
          <w:sz w:val="22"/>
        </w:rPr>
        <w:t xml:space="preserve"> iznosa ukupnih prihvatljivih troškova projekta. 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b/>
          <w:i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>Točka 3.3. Prihvatljive aktivnosti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 (…)</w:t>
      </w:r>
    </w:p>
    <w:p w:rsidR="0017601A" w:rsidRPr="00E368BC" w:rsidRDefault="0017601A" w:rsidP="0017601A">
      <w:pPr>
        <w:autoSpaceDE w:val="0"/>
        <w:spacing w:before="240"/>
        <w:rPr>
          <w:rFonts w:ascii="Times New Roman" w:eastAsia="Times New Roman" w:hAnsi="Times New Roman"/>
          <w:sz w:val="22"/>
          <w:lang w:eastAsia="hr-HR"/>
        </w:rPr>
      </w:pPr>
      <w:r w:rsidRPr="00E368BC">
        <w:rPr>
          <w:rFonts w:ascii="Times New Roman" w:eastAsia="Times New Roman" w:hAnsi="Times New Roman"/>
          <w:sz w:val="22"/>
          <w:lang w:eastAsia="zh-CN"/>
        </w:rPr>
        <w:t>Element 4. Evaluacija provedbe programa</w:t>
      </w:r>
    </w:p>
    <w:p w:rsidR="0017601A" w:rsidRPr="00E368BC" w:rsidRDefault="0017601A" w:rsidP="0017601A">
      <w:pPr>
        <w:tabs>
          <w:tab w:val="left" w:pos="284"/>
        </w:tabs>
        <w:ind w:left="284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4.1. Provođenje analize podataka  o broju upisanih polaznika i onih koji su završili           </w:t>
      </w:r>
    </w:p>
    <w:p w:rsidR="0017601A" w:rsidRPr="00E368BC" w:rsidRDefault="0017601A" w:rsidP="0017601A">
      <w:pPr>
        <w:ind w:left="1134" w:hanging="425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>programe</w:t>
      </w:r>
    </w:p>
    <w:p w:rsidR="0017601A" w:rsidRPr="00E368BC" w:rsidRDefault="0017601A" w:rsidP="0017601A">
      <w:pPr>
        <w:ind w:left="709" w:hanging="425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>4.2. Evaluacija provedbe programa sukladno ostvarenim rezultatima polaznika i ciljevima programa</w:t>
      </w:r>
    </w:p>
    <w:p w:rsidR="0017601A" w:rsidRPr="00E368BC" w:rsidRDefault="0017601A" w:rsidP="0017601A">
      <w:pPr>
        <w:tabs>
          <w:tab w:val="left" w:pos="567"/>
        </w:tabs>
        <w:ind w:left="284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4.3. Podnošenje izvješća Ministarstvu znanosti i obrazovanja šest mjeseci po završetku </w:t>
      </w:r>
    </w:p>
    <w:p w:rsidR="0017601A" w:rsidRPr="00E368BC" w:rsidRDefault="0017601A" w:rsidP="0017601A">
      <w:pPr>
        <w:tabs>
          <w:tab w:val="left" w:pos="567"/>
        </w:tabs>
        <w:ind w:left="567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ab/>
        <w:t xml:space="preserve">projektnih aktivnosti radi praćenja posebnih  pokazatelja o broju polaznika zaposlenih </w:t>
      </w:r>
    </w:p>
    <w:p w:rsidR="0017601A" w:rsidRPr="00E368BC" w:rsidRDefault="0017601A" w:rsidP="0017601A">
      <w:pPr>
        <w:tabs>
          <w:tab w:val="left" w:pos="567"/>
        </w:tabs>
        <w:ind w:left="567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ab/>
        <w:t>po završetku obrazovanja te 2 godine nakon završetka provedbe projektnih aktivnosti</w:t>
      </w:r>
    </w:p>
    <w:p w:rsidR="003E16E5" w:rsidRDefault="003E16E5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 xml:space="preserve">Referenca 13: </w:t>
      </w:r>
      <w:r w:rsidRPr="00E368BC">
        <w:rPr>
          <w:rFonts w:ascii="Times New Roman" w:hAnsi="Times New Roman" w:cs="Times New Roman"/>
          <w:sz w:val="22"/>
        </w:rPr>
        <w:t>Napomena: zahtjevi regulirani i Posebnim uvjetima ugovora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M</w:t>
      </w: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(…)</w:t>
      </w:r>
    </w:p>
    <w:p w:rsidR="0017601A" w:rsidRPr="00E368BC" w:rsidRDefault="0017601A" w:rsidP="0017601A">
      <w:pPr>
        <w:autoSpaceDE w:val="0"/>
        <w:spacing w:before="240"/>
        <w:rPr>
          <w:rFonts w:ascii="Times New Roman" w:eastAsia="Times New Roman" w:hAnsi="Times New Roman"/>
          <w:b/>
          <w:sz w:val="22"/>
          <w:u w:val="single"/>
          <w:lang w:eastAsia="hr-HR"/>
        </w:rPr>
      </w:pPr>
      <w:r w:rsidRPr="00E368BC">
        <w:rPr>
          <w:rFonts w:ascii="Times New Roman" w:eastAsia="Times New Roman" w:hAnsi="Times New Roman"/>
          <w:b/>
          <w:sz w:val="22"/>
          <w:u w:val="single"/>
          <w:lang w:eastAsia="zh-CN"/>
        </w:rPr>
        <w:t>Element 4. Evaluacija provedbe programa</w:t>
      </w:r>
    </w:p>
    <w:p w:rsidR="0017601A" w:rsidRPr="00E368BC" w:rsidRDefault="0017601A" w:rsidP="0017601A">
      <w:pPr>
        <w:tabs>
          <w:tab w:val="left" w:pos="284"/>
        </w:tabs>
        <w:ind w:left="284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4.1. Provođenje analize podataka  o broju upisanih polaznika i onih koji su završili           </w:t>
      </w:r>
    </w:p>
    <w:p w:rsidR="0017601A" w:rsidRPr="00E368BC" w:rsidRDefault="0017601A" w:rsidP="0017601A">
      <w:pPr>
        <w:ind w:left="1134" w:hanging="425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>programe</w:t>
      </w:r>
    </w:p>
    <w:p w:rsidR="0017601A" w:rsidRPr="00E368BC" w:rsidRDefault="0017601A" w:rsidP="0017601A">
      <w:pPr>
        <w:ind w:left="709" w:hanging="425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>4.2. Evaluacija provedbe programa sukladno ostvarenim rezultatima polaznika i ciljevima programa</w:t>
      </w:r>
    </w:p>
    <w:p w:rsidR="0017601A" w:rsidRPr="00E368BC" w:rsidRDefault="0017601A" w:rsidP="0017601A">
      <w:pPr>
        <w:ind w:left="709" w:hanging="425"/>
        <w:rPr>
          <w:rFonts w:ascii="Times New Roman" w:hAnsi="Times New Roman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color w:val="000000" w:themeColor="text1"/>
          <w:sz w:val="22"/>
        </w:rPr>
        <w:t>Referenca 13</w:t>
      </w:r>
      <w:r w:rsidRPr="00E368BC">
        <w:rPr>
          <w:rFonts w:ascii="Times New Roman" w:hAnsi="Times New Roman" w:cs="Times New Roman"/>
          <w:color w:val="000000" w:themeColor="text1"/>
          <w:sz w:val="22"/>
        </w:rPr>
        <w:t>: Napomena: zahtjevi regulirani i Posebnim uvjetima ugovora, uključujući obvezu podnošenja izvješća Ministarstvu znanosti i obrazovanja šest mjeseci po završetku projektnih aktivnosti radi praćenja posebnih pokazatelja o broju polaznika zaposlenih po završetku obrazovanja te 2 godine nakon završetka provedbe projektnih aktivnosti.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Tekst točke: 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Točka 4.1.1 Prihvatljivi izdaci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Default="0017601A" w:rsidP="0017601A">
      <w:pPr>
        <w:contextualSpacing/>
        <w:rPr>
          <w:rFonts w:ascii="Times New Roman" w:hAnsi="Times New Roman"/>
          <w:b/>
          <w:szCs w:val="24"/>
        </w:rPr>
      </w:pPr>
      <w:r w:rsidRPr="002B2A4A">
        <w:rPr>
          <w:rFonts w:ascii="Times New Roman" w:hAnsi="Times New Roman"/>
          <w:b/>
          <w:sz w:val="22"/>
        </w:rPr>
        <w:t>IZRAVNI TROŠKOVI OSOBLJA</w:t>
      </w:r>
      <w:r w:rsidRPr="002B2A4A">
        <w:rPr>
          <w:rFonts w:ascii="Times New Roman" w:hAnsi="Times New Roman"/>
          <w:b/>
          <w:szCs w:val="24"/>
        </w:rPr>
        <w:t xml:space="preserve"> </w:t>
      </w:r>
      <w:r w:rsidRPr="00691CB0">
        <w:rPr>
          <w:rFonts w:ascii="Times New Roman" w:hAnsi="Times New Roman"/>
          <w:b/>
          <w:szCs w:val="24"/>
        </w:rPr>
        <w:t>IZRAVNI TROŠKOVI OSOBLJA</w:t>
      </w:r>
    </w:p>
    <w:p w:rsidR="0017601A" w:rsidRPr="002B2A4A" w:rsidRDefault="0017601A" w:rsidP="0017601A">
      <w:pPr>
        <w:contextualSpacing/>
        <w:rPr>
          <w:rFonts w:ascii="Times New Roman" w:eastAsia="Times New Roman" w:hAnsi="Times New Roman"/>
          <w:sz w:val="22"/>
          <w:lang w:eastAsia="hr-HR"/>
        </w:rPr>
      </w:pPr>
      <w:r w:rsidRPr="009E0F35">
        <w:rPr>
          <w:rFonts w:ascii="Times New Roman" w:hAnsi="Times New Roman"/>
          <w:b/>
          <w:sz w:val="22"/>
          <w:u w:val="single"/>
        </w:rPr>
        <w:t>Referenca 14:</w:t>
      </w:r>
      <w:r w:rsidRPr="002B2A4A">
        <w:rPr>
          <w:rFonts w:ascii="Times New Roman" w:hAnsi="Times New Roman"/>
          <w:b/>
          <w:sz w:val="22"/>
        </w:rPr>
        <w:t xml:space="preserve"> </w:t>
      </w:r>
      <w:r w:rsidRPr="002B2A4A">
        <w:rPr>
          <w:rFonts w:ascii="Times New Roman" w:eastAsia="Times New Roman" w:hAnsi="Times New Roman"/>
          <w:sz w:val="22"/>
          <w:lang w:eastAsia="hr-HR"/>
        </w:rPr>
        <w:t>Troškovi osoblja su troškovi koje je moguće jasno identificirati i koji proizlaze iz ugovora/rješenja između poslodavca (institucije i/ili organizacije) i zaposlenika ili ugovora o uslugama za vanjsko osoblje između poslodavca i fizičke osobe ukoliko takav ugovor nije potpisan u okviru postupka javne nabave, a isplaćuju se osoblju za obavljeni rad izravno povezan s operacijom.</w:t>
      </w:r>
    </w:p>
    <w:p w:rsidR="0017601A" w:rsidRDefault="0017601A" w:rsidP="0017601A">
      <w:pPr>
        <w:contextualSpacing/>
        <w:rPr>
          <w:rFonts w:ascii="Times New Roman" w:eastAsia="Times New Roman" w:hAnsi="Times New Roman"/>
          <w:sz w:val="20"/>
          <w:szCs w:val="18"/>
          <w:lang w:eastAsia="hr-HR"/>
        </w:rPr>
      </w:pPr>
    </w:p>
    <w:p w:rsidR="0017601A" w:rsidRPr="002B2A4A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M</w:t>
      </w:r>
      <w:r w:rsidRPr="002B2A4A">
        <w:rPr>
          <w:rFonts w:ascii="Times New Roman" w:hAnsi="Times New Roman" w:cs="Times New Roman"/>
          <w:b/>
          <w:color w:val="000000" w:themeColor="text1"/>
          <w:sz w:val="22"/>
        </w:rPr>
        <w:t xml:space="preserve">ijenja se i glasi: </w:t>
      </w:r>
    </w:p>
    <w:p w:rsidR="0017601A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  <w:r w:rsidRPr="002B2A4A">
        <w:rPr>
          <w:rFonts w:ascii="Times New Roman" w:hAnsi="Times New Roman" w:cs="Times New Roman"/>
          <w:b/>
          <w:color w:val="000000" w:themeColor="text1"/>
          <w:sz w:val="22"/>
        </w:rPr>
        <w:t>(…)</w:t>
      </w:r>
    </w:p>
    <w:p w:rsidR="0017601A" w:rsidRPr="002B2A4A" w:rsidRDefault="0017601A" w:rsidP="0017601A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17601A" w:rsidRPr="002B2A4A" w:rsidRDefault="0017601A" w:rsidP="0017601A">
      <w:pPr>
        <w:rPr>
          <w:rFonts w:ascii="Times New Roman" w:hAnsi="Times New Roman"/>
          <w:b/>
          <w:szCs w:val="24"/>
        </w:rPr>
      </w:pPr>
      <w:r w:rsidRPr="002B2A4A">
        <w:rPr>
          <w:rFonts w:ascii="Times New Roman" w:hAnsi="Times New Roman"/>
          <w:b/>
          <w:szCs w:val="24"/>
        </w:rPr>
        <w:t>IZRAVNI TROŠKOVI OSOBLJA IZRAVNI TROŠKOVI OSOBLJA</w:t>
      </w:r>
    </w:p>
    <w:p w:rsidR="0017601A" w:rsidRPr="002B2A4A" w:rsidRDefault="0017601A" w:rsidP="0017601A">
      <w:pPr>
        <w:rPr>
          <w:rFonts w:ascii="Times New Roman" w:hAnsi="Times New Roman"/>
          <w:sz w:val="22"/>
        </w:rPr>
      </w:pPr>
      <w:r w:rsidRPr="009E0F35">
        <w:rPr>
          <w:rFonts w:ascii="Times New Roman" w:hAnsi="Times New Roman"/>
          <w:b/>
          <w:sz w:val="22"/>
          <w:u w:val="single"/>
        </w:rPr>
        <w:t>Referenca 14:</w:t>
      </w:r>
      <w:r>
        <w:rPr>
          <w:rFonts w:ascii="Times New Roman" w:hAnsi="Times New Roman"/>
          <w:b/>
          <w:sz w:val="22"/>
        </w:rPr>
        <w:t xml:space="preserve"> </w:t>
      </w:r>
      <w:r w:rsidRPr="002B2A4A">
        <w:rPr>
          <w:rFonts w:ascii="Times New Roman" w:hAnsi="Times New Roman"/>
          <w:sz w:val="22"/>
        </w:rPr>
        <w:t xml:space="preserve">Troškovi osoblja su troškovi rada koje je moguće jasno identificirati i koji proizlaze iz rješenja/ ugovora između poslodavca i zaposlenika ili ugovora o uslugama za vanjsko osoblje između </w:t>
      </w:r>
      <w:r w:rsidRPr="002B2A4A">
        <w:rPr>
          <w:rFonts w:ascii="Times New Roman" w:hAnsi="Times New Roman"/>
          <w:sz w:val="22"/>
        </w:rPr>
        <w:lastRenderedPageBreak/>
        <w:t>naručitelja i fizičke osobe u vrijednosti manjoj od 200.000,00 kn bez poreza na dodanu vrijednost, a isplaćuju se osoblju za obavljeni rad koji je izravno povezan s operacijom.</w:t>
      </w:r>
    </w:p>
    <w:p w:rsidR="0017601A" w:rsidRDefault="0017601A" w:rsidP="0017601A">
      <w:pPr>
        <w:rPr>
          <w:rFonts w:ascii="Times New Roman" w:hAnsi="Times New Roman"/>
          <w:b/>
          <w:sz w:val="22"/>
        </w:rPr>
      </w:pPr>
    </w:p>
    <w:p w:rsidR="0017601A" w:rsidRPr="002B2A4A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2B2A4A">
        <w:rPr>
          <w:rFonts w:ascii="Times New Roman" w:hAnsi="Times New Roman" w:cs="Times New Roman"/>
          <w:b/>
          <w:noProof/>
          <w:color w:val="000000" w:themeColor="text1"/>
          <w:sz w:val="22"/>
        </w:rPr>
        <w:t>Tekst točke:</w:t>
      </w:r>
    </w:p>
    <w:p w:rsidR="0017601A" w:rsidRDefault="0017601A" w:rsidP="0017601A">
      <w:pPr>
        <w:rPr>
          <w:rFonts w:ascii="Times New Roman" w:hAnsi="Times New Roman"/>
          <w:b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/>
          <w:b/>
          <w:sz w:val="22"/>
        </w:rPr>
        <w:t>OSTALI IZRAVNI TROŠKOVI AKTIVNOSTI:</w:t>
      </w:r>
    </w:p>
    <w:p w:rsidR="0017601A" w:rsidRPr="00E368BC" w:rsidRDefault="0017601A" w:rsidP="0017601A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ind w:left="360" w:hanging="357"/>
        <w:contextualSpacing w:val="0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>Trošak putovanja u zemlji  za provedbu aktivnosti unutar Elementa 3:</w:t>
      </w:r>
    </w:p>
    <w:p w:rsidR="0017601A" w:rsidRPr="00E368BC" w:rsidRDefault="0017601A" w:rsidP="0017601A">
      <w:pPr>
        <w:pStyle w:val="ListParagraph"/>
        <w:numPr>
          <w:ilvl w:val="0"/>
          <w:numId w:val="5"/>
        </w:numPr>
        <w:suppressAutoHyphens/>
        <w:spacing w:before="240" w:after="240" w:line="276" w:lineRule="auto"/>
        <w:ind w:left="1208" w:hanging="357"/>
        <w:contextualSpacing w:val="0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  <w:u w:val="single"/>
        </w:rPr>
        <w:t>za zaposlene na projektu</w:t>
      </w:r>
      <w:r w:rsidRPr="00E368BC">
        <w:rPr>
          <w:rFonts w:ascii="Times New Roman" w:hAnsi="Times New Roman"/>
          <w:sz w:val="22"/>
        </w:rPr>
        <w:t xml:space="preserve"> (dnevnice, troškovi smještaja, putovanja, terenski dodatak)</w:t>
      </w:r>
    </w:p>
    <w:p w:rsidR="0017601A" w:rsidRPr="00E368BC" w:rsidRDefault="0017601A" w:rsidP="0017601A">
      <w:pPr>
        <w:pStyle w:val="ListParagraph"/>
        <w:numPr>
          <w:ilvl w:val="0"/>
          <w:numId w:val="5"/>
        </w:numPr>
        <w:suppressAutoHyphens/>
        <w:spacing w:before="240" w:after="240" w:line="276" w:lineRule="auto"/>
        <w:ind w:left="1208" w:hanging="357"/>
        <w:contextualSpacing w:val="0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  <w:u w:val="single"/>
        </w:rPr>
        <w:t>za ciljne skupine</w:t>
      </w:r>
      <w:r w:rsidRPr="00E368BC">
        <w:rPr>
          <w:rFonts w:ascii="Times New Roman" w:hAnsi="Times New Roman"/>
          <w:sz w:val="22"/>
        </w:rPr>
        <w:t xml:space="preserve"> koje sudjeluju  u projektnim aktivnostima (dnevnice, troškovi smještaja, troškovi organizacije prijevoza polaznika od mjesta stanovanja do mjesta izvođenja programa / stručne prakse, putovanja).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Mijenja se i glasi: 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>OSTALI IZRAVNI TROŠKOVI AKTIVNOSTI:</w:t>
      </w:r>
    </w:p>
    <w:p w:rsidR="0017601A" w:rsidRPr="00E368BC" w:rsidRDefault="0017601A" w:rsidP="0017601A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ind w:left="360" w:hanging="357"/>
        <w:contextualSpacing w:val="0"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</w:rPr>
        <w:t>Trošak putovanja u zemlji  za provedbu aktivnosti unutar Elementa 2 i 3:</w:t>
      </w:r>
    </w:p>
    <w:p w:rsidR="0017601A" w:rsidRPr="00E368BC" w:rsidRDefault="0017601A" w:rsidP="0017601A">
      <w:pPr>
        <w:pStyle w:val="ListParagraph"/>
        <w:numPr>
          <w:ilvl w:val="0"/>
          <w:numId w:val="5"/>
        </w:numPr>
        <w:suppressAutoHyphens/>
        <w:spacing w:before="240" w:after="240" w:line="276" w:lineRule="auto"/>
        <w:ind w:left="1208" w:hanging="357"/>
        <w:contextualSpacing w:val="0"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  <w:u w:val="single"/>
        </w:rPr>
        <w:t>za zaposlene na projektu</w:t>
      </w:r>
      <w:r w:rsidRPr="00E368BC">
        <w:rPr>
          <w:rFonts w:ascii="Times New Roman" w:hAnsi="Times New Roman"/>
          <w:szCs w:val="24"/>
        </w:rPr>
        <w:t xml:space="preserve"> (dnevnice, troškovi smještaja, putovanja, terenski dodatak)</w:t>
      </w:r>
    </w:p>
    <w:p w:rsidR="0017601A" w:rsidRPr="00E368BC" w:rsidRDefault="0017601A" w:rsidP="0017601A">
      <w:pPr>
        <w:pStyle w:val="ListParagraph"/>
        <w:numPr>
          <w:ilvl w:val="0"/>
          <w:numId w:val="5"/>
        </w:numPr>
        <w:suppressAutoHyphens/>
        <w:spacing w:before="240" w:after="240" w:line="276" w:lineRule="auto"/>
        <w:ind w:left="1208" w:hanging="357"/>
        <w:contextualSpacing w:val="0"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  <w:u w:val="single"/>
        </w:rPr>
        <w:t>za ciljne skupine</w:t>
      </w:r>
      <w:r w:rsidRPr="00E368BC">
        <w:rPr>
          <w:rFonts w:ascii="Times New Roman" w:hAnsi="Times New Roman"/>
          <w:szCs w:val="24"/>
        </w:rPr>
        <w:t xml:space="preserve"> koje sudjeluju  u projektnim aktivnostima (troškovi smještaja, troškovi organizacije prijevoza polaznika od mjesta stanovanja do mjesta izvođenja programa / stručne prakse, putovanja, troškovi prehrane)</w:t>
      </w:r>
    </w:p>
    <w:p w:rsidR="0017601A" w:rsidRPr="00E368BC" w:rsidRDefault="0017601A" w:rsidP="0017601A">
      <w:pPr>
        <w:pStyle w:val="ListParagraph"/>
        <w:numPr>
          <w:ilvl w:val="0"/>
          <w:numId w:val="4"/>
        </w:numPr>
        <w:suppressAutoHyphens/>
        <w:spacing w:before="240" w:after="240" w:line="276" w:lineRule="auto"/>
        <w:ind w:left="360"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</w:rPr>
        <w:t>Troškovi liječničkog pregleda potrebnog za ishođenje uvjerenja o zdravstvenoj sposobnosti te troškovi sanitarne iskaznice za ciljne skupine za navedeni program.</w:t>
      </w:r>
    </w:p>
    <w:p w:rsidR="0017601A" w:rsidRPr="00E368BC" w:rsidRDefault="0017601A" w:rsidP="0017601A">
      <w:pPr>
        <w:pStyle w:val="ListParagraph"/>
        <w:spacing w:before="240" w:after="240"/>
        <w:ind w:left="360"/>
        <w:rPr>
          <w:rFonts w:ascii="Times New Roman" w:hAnsi="Times New Roman"/>
          <w:szCs w:val="24"/>
        </w:rPr>
      </w:pPr>
    </w:p>
    <w:p w:rsidR="0017601A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Točka 4.1.2. Neprihvatljivi izdaci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numPr>
          <w:ilvl w:val="0"/>
          <w:numId w:val="6"/>
        </w:numPr>
        <w:suppressAutoHyphens/>
        <w:spacing w:line="276" w:lineRule="auto"/>
        <w:contextualSpacing/>
        <w:rPr>
          <w:rFonts w:ascii="Times New Roman" w:hAnsi="Times New Roman"/>
          <w:color w:val="000000" w:themeColor="text1"/>
          <w:szCs w:val="24"/>
        </w:rPr>
      </w:pPr>
      <w:r w:rsidRPr="00E368BC">
        <w:rPr>
          <w:rFonts w:ascii="Times New Roman" w:hAnsi="Times New Roman"/>
          <w:color w:val="000000" w:themeColor="text1"/>
          <w:szCs w:val="24"/>
        </w:rPr>
        <w:t>kupnja strojeva, opreme i namještaja koja premašuje 10% sukladno točki 4.1.1 ovih Uputa</w:t>
      </w:r>
    </w:p>
    <w:p w:rsidR="0017601A" w:rsidRPr="00E368BC" w:rsidRDefault="0017601A" w:rsidP="0017601A">
      <w:pPr>
        <w:numPr>
          <w:ilvl w:val="0"/>
          <w:numId w:val="6"/>
        </w:numPr>
        <w:suppressAutoHyphens/>
        <w:spacing w:line="276" w:lineRule="auto"/>
        <w:contextualSpacing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</w:rPr>
        <w:t>troškovi vezani uz provedbu Elemenata 1, 2, 4 i 5 koji zajedno premašuju 30% ukupnih prihvatljivih troškova projekta,</w:t>
      </w:r>
    </w:p>
    <w:p w:rsidR="0017601A" w:rsidRPr="00E368BC" w:rsidRDefault="0017601A" w:rsidP="0017601A">
      <w:pPr>
        <w:numPr>
          <w:ilvl w:val="0"/>
          <w:numId w:val="6"/>
        </w:numPr>
        <w:suppressAutoHyphens/>
        <w:spacing w:line="276" w:lineRule="auto"/>
        <w:contextualSpacing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</w:rPr>
        <w:t>troškovi putovanja nužni za izvođenje stručne prakse koji premašuju 10% ukupnih prihvatljivih troškova projekta sukladno točki 4.1.1. ovih Uputa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numPr>
          <w:ilvl w:val="0"/>
          <w:numId w:val="6"/>
        </w:numPr>
        <w:suppressAutoHyphens/>
        <w:spacing w:line="276" w:lineRule="auto"/>
        <w:contextualSpacing/>
        <w:rPr>
          <w:rFonts w:ascii="Times New Roman" w:hAnsi="Times New Roman"/>
          <w:color w:val="000000" w:themeColor="text1"/>
          <w:szCs w:val="24"/>
        </w:rPr>
      </w:pPr>
      <w:r w:rsidRPr="00E368BC">
        <w:rPr>
          <w:rFonts w:ascii="Times New Roman" w:hAnsi="Times New Roman"/>
          <w:color w:val="000000" w:themeColor="text1"/>
          <w:szCs w:val="24"/>
        </w:rPr>
        <w:t>kupnja strojeva, opreme i namještaja koja premašuje 10% ukupnih ugovorenih prihvatljivih troškova projekta sukladno točki 4.1.1 ovih Uputa</w:t>
      </w:r>
    </w:p>
    <w:p w:rsidR="0017601A" w:rsidRPr="00E368BC" w:rsidRDefault="0017601A" w:rsidP="0017601A">
      <w:pPr>
        <w:numPr>
          <w:ilvl w:val="0"/>
          <w:numId w:val="6"/>
        </w:numPr>
        <w:suppressAutoHyphens/>
        <w:spacing w:line="276" w:lineRule="auto"/>
        <w:contextualSpacing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</w:rPr>
        <w:lastRenderedPageBreak/>
        <w:t>troškovi vezani uz provedbu Elemenata 1 i 5 koji zajedno premašuju 30% ukupnih prihvatljivih troškova projekta,</w:t>
      </w:r>
    </w:p>
    <w:p w:rsidR="0017601A" w:rsidRPr="00E368BC" w:rsidRDefault="0017601A" w:rsidP="0017601A">
      <w:pPr>
        <w:numPr>
          <w:ilvl w:val="0"/>
          <w:numId w:val="6"/>
        </w:numPr>
        <w:suppressAutoHyphens/>
        <w:spacing w:line="276" w:lineRule="auto"/>
        <w:contextualSpacing/>
        <w:rPr>
          <w:rFonts w:ascii="Times New Roman" w:hAnsi="Times New Roman"/>
          <w:szCs w:val="24"/>
        </w:rPr>
      </w:pPr>
      <w:r w:rsidRPr="00E368BC">
        <w:rPr>
          <w:rFonts w:ascii="Times New Roman" w:hAnsi="Times New Roman"/>
          <w:szCs w:val="24"/>
        </w:rPr>
        <w:t>troškovi putovanja vezani uz provedbu Elemenata 2 i 3 koji premašuju 10% ukupnih ugovorenih prihvatljivih troškova projekta sukladno točki 4.1.1. ovih Uputa</w:t>
      </w:r>
    </w:p>
    <w:p w:rsidR="0017601A" w:rsidRPr="00E368BC" w:rsidRDefault="0017601A" w:rsidP="0017601A">
      <w:pPr>
        <w:ind w:left="426"/>
        <w:rPr>
          <w:rFonts w:ascii="Times New Roman" w:hAnsi="Times New Roman" w:cs="Times New Roman"/>
          <w:bCs/>
          <w:szCs w:val="24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Točka 5. Postupak prijave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pStyle w:val="ListParagraph"/>
        <w:numPr>
          <w:ilvl w:val="0"/>
          <w:numId w:val="8"/>
        </w:numPr>
        <w:suppressAutoHyphens/>
        <w:spacing w:before="240" w:line="276" w:lineRule="auto"/>
        <w:ind w:left="714" w:hanging="357"/>
        <w:contextualSpacing w:val="0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b/>
          <w:sz w:val="22"/>
        </w:rPr>
        <w:t>Preslike sljedećih popratnih dokumenata za dokazivanje prihvatljivosti prijavitelja /partnera</w:t>
      </w:r>
      <w:r w:rsidRPr="00E368BC">
        <w:rPr>
          <w:rFonts w:ascii="Times New Roman" w:hAnsi="Times New Roman"/>
          <w:sz w:val="22"/>
        </w:rPr>
        <w:t>:</w:t>
      </w:r>
    </w:p>
    <w:p w:rsidR="0017601A" w:rsidRPr="00E368BC" w:rsidRDefault="0017601A" w:rsidP="001760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2"/>
        </w:rPr>
      </w:pPr>
      <w:r w:rsidRPr="00E368BC">
        <w:rPr>
          <w:rFonts w:ascii="Times New Roman" w:hAnsi="Times New Roman"/>
          <w:iCs/>
          <w:sz w:val="22"/>
        </w:rPr>
        <w:t>Ispis iz sudskog ili drugog odgovarajućeg registra ili upisnika koji ne smije biti stariji od tri mjeseca računajući od datuma krajnjeg roka za dostavu projektnih prijedloga</w:t>
      </w:r>
    </w:p>
    <w:p w:rsidR="0017601A" w:rsidRPr="00E368BC" w:rsidRDefault="0017601A" w:rsidP="001760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2"/>
        </w:rPr>
      </w:pPr>
      <w:r w:rsidRPr="00E368BC">
        <w:rPr>
          <w:rFonts w:ascii="Times New Roman" w:hAnsi="Times New Roman"/>
          <w:iCs/>
          <w:sz w:val="22"/>
        </w:rPr>
        <w:t xml:space="preserve">Preslika Rješenja nadležnog ministarstva o odobrenom izvođenju programa koji će se provoditi u okviru projekta predmetnog Poziva </w:t>
      </w:r>
    </w:p>
    <w:p w:rsidR="0017601A" w:rsidRPr="00E368BC" w:rsidRDefault="0017601A" w:rsidP="001760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2"/>
        </w:rPr>
      </w:pPr>
      <w:r w:rsidRPr="00E368BC">
        <w:rPr>
          <w:rFonts w:ascii="Times New Roman" w:hAnsi="Times New Roman"/>
          <w:iCs/>
          <w:sz w:val="22"/>
        </w:rPr>
        <w:t>Preslika Matične knjige polaznika u programima osposobljavanja i usavršavanja iz koje je vidljivo da je program za koji Prijavitelj ima rješenje, i koji se planira izvoditi u okviru projekta prethodno proveden najmanje jednom do trenutka objave ovog Poziva.</w:t>
      </w: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ind w:left="1146"/>
        <w:rPr>
          <w:rFonts w:ascii="Times New Roman" w:hAnsi="Times New Roman"/>
          <w:color w:val="000000"/>
          <w:sz w:val="22"/>
        </w:rPr>
      </w:pPr>
      <w:r w:rsidRPr="00E368BC">
        <w:rPr>
          <w:rFonts w:ascii="Times New Roman" w:hAnsi="Times New Roman"/>
          <w:color w:val="000000"/>
          <w:sz w:val="22"/>
        </w:rPr>
        <w:t xml:space="preserve">FORMAT U KOJEM SE DOSTAVLJA: </w:t>
      </w:r>
      <w:r w:rsidRPr="00E368BC">
        <w:rPr>
          <w:rFonts w:ascii="Times New Roman" w:hAnsi="Times New Roman"/>
          <w:b/>
          <w:color w:val="000000"/>
          <w:sz w:val="22"/>
        </w:rPr>
        <w:t>elektroničke</w:t>
      </w:r>
      <w:r w:rsidRPr="00E368BC">
        <w:rPr>
          <w:rFonts w:ascii="Times New Roman" w:hAnsi="Times New Roman"/>
          <w:color w:val="000000"/>
          <w:sz w:val="22"/>
        </w:rPr>
        <w:t xml:space="preserve"> preslike dokumenata.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Mijenja se i glasi: 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pStyle w:val="ListParagraph"/>
        <w:numPr>
          <w:ilvl w:val="0"/>
          <w:numId w:val="8"/>
        </w:numPr>
        <w:suppressAutoHyphens/>
        <w:spacing w:before="240" w:line="276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>Preslike sljedećih popratnih dokumenata za dokazivanje prihvatljivosti prijavitelja /partnera</w:t>
      </w:r>
      <w:r w:rsidRPr="00E368BC">
        <w:rPr>
          <w:rFonts w:ascii="Times New Roman" w:hAnsi="Times New Roman" w:cs="Times New Roman"/>
          <w:sz w:val="22"/>
        </w:rPr>
        <w:t>:</w:t>
      </w:r>
    </w:p>
    <w:p w:rsidR="0017601A" w:rsidRPr="00E368BC" w:rsidRDefault="0017601A" w:rsidP="0017601A">
      <w:pPr>
        <w:pStyle w:val="ListParagraph"/>
        <w:numPr>
          <w:ilvl w:val="0"/>
          <w:numId w:val="16"/>
        </w:numPr>
        <w:suppressAutoHyphens/>
        <w:spacing w:before="240" w:line="276" w:lineRule="auto"/>
        <w:contextualSpacing w:val="0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 xml:space="preserve"> Preslike sljedećih popratnih dokumenata za dokazivanje prihvatljivosti prijavitelja /partnera</w:t>
      </w:r>
      <w:r w:rsidRPr="00E368BC">
        <w:rPr>
          <w:rFonts w:ascii="Times New Roman" w:hAnsi="Times New Roman" w:cs="Times New Roman"/>
          <w:sz w:val="22"/>
        </w:rPr>
        <w:t>:</w:t>
      </w:r>
    </w:p>
    <w:p w:rsidR="0017601A" w:rsidRPr="00E368BC" w:rsidRDefault="0017601A" w:rsidP="001760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2"/>
        </w:rPr>
      </w:pPr>
      <w:r w:rsidRPr="00E368BC">
        <w:rPr>
          <w:rFonts w:ascii="Times New Roman" w:hAnsi="Times New Roman" w:cs="Times New Roman"/>
          <w:iCs/>
          <w:sz w:val="22"/>
        </w:rPr>
        <w:t>Ispis iz sudskog ili drugog odgovarajućeg registra ili upisnika koji ne smije biti stariji od tri mjeseca računajući od datuma krajnjeg roka za dostavu projektnih prijedloga</w:t>
      </w:r>
    </w:p>
    <w:p w:rsidR="0017601A" w:rsidRPr="00E368BC" w:rsidRDefault="0017601A" w:rsidP="00176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2"/>
        </w:rPr>
      </w:pPr>
      <w:r w:rsidRPr="00E368BC">
        <w:rPr>
          <w:rFonts w:ascii="Times New Roman" w:hAnsi="Times New Roman"/>
          <w:iCs/>
          <w:sz w:val="22"/>
        </w:rPr>
        <w:t xml:space="preserve">Preslika Rješenja nadležnog ministarstva o odobrenom izvođenju programa koji će se provoditi u okviru projekta predmetnog Poziva </w:t>
      </w:r>
    </w:p>
    <w:p w:rsidR="0017601A" w:rsidRPr="00E368BC" w:rsidRDefault="0017601A" w:rsidP="00176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2"/>
        </w:rPr>
      </w:pPr>
      <w:r w:rsidRPr="00E368BC">
        <w:rPr>
          <w:rFonts w:ascii="Times New Roman" w:hAnsi="Times New Roman" w:cs="Times New Roman"/>
          <w:iCs/>
          <w:sz w:val="22"/>
        </w:rPr>
        <w:t>Preslika Matične knjige polaznika u programima obrazovanja odraslih iz koje je vidljivo da je program za koji Prijavitelj ima rješenje, i koji se planira izvoditi u okviru projekta prethodno proveden najmanje jednom do trenutka objave ovog Poziva</w:t>
      </w:r>
    </w:p>
    <w:p w:rsidR="0017601A" w:rsidRPr="00E368BC" w:rsidRDefault="0017601A" w:rsidP="0017601A">
      <w:pPr>
        <w:pStyle w:val="ListParagraph"/>
        <w:autoSpaceDE w:val="0"/>
        <w:autoSpaceDN w:val="0"/>
        <w:adjustRightInd w:val="0"/>
        <w:ind w:left="1146"/>
        <w:rPr>
          <w:rFonts w:ascii="Times New Roman" w:hAnsi="Times New Roman" w:cs="Times New Roman"/>
          <w:color w:val="000000"/>
          <w:sz w:val="22"/>
        </w:rPr>
      </w:pPr>
      <w:r w:rsidRPr="00E368BC">
        <w:rPr>
          <w:rFonts w:ascii="Times New Roman" w:hAnsi="Times New Roman" w:cs="Times New Roman"/>
          <w:color w:val="000000"/>
          <w:sz w:val="22"/>
        </w:rPr>
        <w:t xml:space="preserve">FORMAT U KOJEM SE DOSTAVLJA: </w:t>
      </w:r>
      <w:r w:rsidRPr="00E368BC">
        <w:rPr>
          <w:rFonts w:ascii="Times New Roman" w:hAnsi="Times New Roman" w:cs="Times New Roman"/>
          <w:b/>
          <w:color w:val="000000"/>
          <w:sz w:val="22"/>
        </w:rPr>
        <w:t>elektroničke</w:t>
      </w:r>
      <w:r w:rsidRPr="00E368BC">
        <w:rPr>
          <w:rFonts w:ascii="Times New Roman" w:hAnsi="Times New Roman" w:cs="Times New Roman"/>
          <w:color w:val="000000"/>
          <w:sz w:val="22"/>
        </w:rPr>
        <w:t xml:space="preserve"> preslike dokumenata.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Točka 5.2. Rok za podnošenje projektnih prijedloga</w:t>
      </w:r>
    </w:p>
    <w:p w:rsidR="0017601A" w:rsidRPr="00E368BC" w:rsidRDefault="0017601A" w:rsidP="0017601A">
      <w:pPr>
        <w:pStyle w:val="ESFBodysivo"/>
        <w:spacing w:before="240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sz w:val="22"/>
        </w:rPr>
        <w:t xml:space="preserve">Poziv se vodi u modalitetu privremenog poziva na dostavu projektnih prijedloga s krajnjim rokom za podnošenje projektnih prijedloga </w:t>
      </w:r>
      <w:r w:rsidRPr="00E368BC">
        <w:rPr>
          <w:rFonts w:ascii="Times New Roman" w:hAnsi="Times New Roman" w:cs="Times New Roman"/>
          <w:b/>
          <w:sz w:val="22"/>
        </w:rPr>
        <w:t>12. svibnja  2017.</w:t>
      </w:r>
      <w:r w:rsidRPr="00E368BC">
        <w:rPr>
          <w:rFonts w:ascii="Times New Roman" w:hAnsi="Times New Roman" w:cs="Times New Roman"/>
          <w:sz w:val="22"/>
        </w:rPr>
        <w:t xml:space="preserve">   </w:t>
      </w:r>
    </w:p>
    <w:p w:rsidR="0017601A" w:rsidRPr="00E368BC" w:rsidRDefault="0017601A" w:rsidP="0017601A">
      <w:pPr>
        <w:spacing w:before="240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U obzir će se kao pravodobni uzimati projektni prijedlozi poslani poštom kao preporučene pošiljke koje na dostavnici budu označene poštanskim žigom do uključivo </w:t>
      </w:r>
      <w:r w:rsidRPr="00E368BC">
        <w:rPr>
          <w:rFonts w:ascii="Times New Roman" w:hAnsi="Times New Roman"/>
          <w:b/>
          <w:sz w:val="22"/>
        </w:rPr>
        <w:t>12. svibnja 2017</w:t>
      </w:r>
      <w:r w:rsidRPr="00E368BC">
        <w:rPr>
          <w:rFonts w:ascii="Times New Roman" w:hAnsi="Times New Roman"/>
          <w:sz w:val="22"/>
        </w:rPr>
        <w:t xml:space="preserve">. Osobno dostavljeni </w:t>
      </w:r>
      <w:r w:rsidRPr="00E368BC">
        <w:rPr>
          <w:rFonts w:ascii="Times New Roman" w:hAnsi="Times New Roman"/>
          <w:sz w:val="22"/>
        </w:rPr>
        <w:lastRenderedPageBreak/>
        <w:t xml:space="preserve">projektni prijedlozi uzet će se u obzir kao pravodobni ako budu zaprimljeni u Pisarnicu Agencije do  </w:t>
      </w:r>
      <w:r w:rsidRPr="00E368BC">
        <w:rPr>
          <w:rFonts w:ascii="Times New Roman" w:hAnsi="Times New Roman"/>
          <w:b/>
          <w:sz w:val="22"/>
        </w:rPr>
        <w:t>12. svibnja 2017. do 16.00</w:t>
      </w:r>
      <w:r w:rsidRPr="00E368BC">
        <w:rPr>
          <w:rFonts w:ascii="Times New Roman" w:hAnsi="Times New Roman"/>
          <w:sz w:val="22"/>
        </w:rPr>
        <w:t xml:space="preserve"> sati.</w:t>
      </w:r>
    </w:p>
    <w:p w:rsidR="0017601A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pStyle w:val="ESFBodysivo"/>
        <w:spacing w:before="240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sz w:val="22"/>
        </w:rPr>
        <w:t xml:space="preserve">Poziv se vodi u modalitetu privremenog poziva na dostavu projektnih prijedloga s krajnjim rokom za podnošenje projektnih prijedloga </w:t>
      </w:r>
      <w:r w:rsidRPr="00E368BC">
        <w:rPr>
          <w:rFonts w:ascii="Times New Roman" w:hAnsi="Times New Roman" w:cs="Times New Roman"/>
          <w:b/>
          <w:sz w:val="22"/>
        </w:rPr>
        <w:t>31. svibnja  2017.</w:t>
      </w:r>
      <w:r w:rsidRPr="00E368BC">
        <w:rPr>
          <w:rFonts w:ascii="Times New Roman" w:hAnsi="Times New Roman" w:cs="Times New Roman"/>
          <w:sz w:val="22"/>
        </w:rPr>
        <w:t xml:space="preserve">   </w:t>
      </w:r>
    </w:p>
    <w:p w:rsidR="0017601A" w:rsidRPr="00E368BC" w:rsidRDefault="0017601A" w:rsidP="0017601A">
      <w:pPr>
        <w:spacing w:before="240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U obzir će se kao pravodobni uzimati projektni prijedlozi poslani poštom kao preporučene pošiljke koje na dostavnici budu označene poštanskim žigom do uključivo </w:t>
      </w:r>
      <w:r w:rsidRPr="00E368BC">
        <w:rPr>
          <w:rFonts w:ascii="Times New Roman" w:hAnsi="Times New Roman"/>
          <w:b/>
          <w:sz w:val="22"/>
        </w:rPr>
        <w:t>31. svibnja 2017</w:t>
      </w:r>
      <w:r w:rsidRPr="00E368BC">
        <w:rPr>
          <w:rFonts w:ascii="Times New Roman" w:hAnsi="Times New Roman"/>
          <w:sz w:val="22"/>
        </w:rPr>
        <w:t xml:space="preserve">. Osobno dostavljeni projektni prijedlozi uzet će se u obzir kao pravodobni ako budu zaprimljeni u Pisarnicu Agencije do  </w:t>
      </w:r>
      <w:r w:rsidRPr="00E368BC">
        <w:rPr>
          <w:rFonts w:ascii="Times New Roman" w:hAnsi="Times New Roman"/>
          <w:b/>
          <w:sz w:val="22"/>
        </w:rPr>
        <w:t>31. svibnja 2017. do 16.00</w:t>
      </w:r>
      <w:r w:rsidRPr="00E368BC">
        <w:rPr>
          <w:rFonts w:ascii="Times New Roman" w:hAnsi="Times New Roman"/>
          <w:sz w:val="22"/>
        </w:rPr>
        <w:t xml:space="preserve"> sati.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Točka 5.6. Dodatne informacije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t xml:space="preserve">Pitanja mogu biti poslana elektroničkom poštom najkasnije 14 kalendarskih dana prije isteka roka za podnošenje projektnih prijedloga na adresu </w:t>
      </w:r>
      <w:hyperlink r:id="rId10" w:history="1">
        <w:r w:rsidRPr="00E368BC">
          <w:rPr>
            <w:rStyle w:val="Hyperlink"/>
            <w:rFonts w:ascii="Times New Roman" w:hAnsi="Times New Roman"/>
            <w:sz w:val="22"/>
          </w:rPr>
          <w:t>esf@mzos.hr</w:t>
        </w:r>
      </w:hyperlink>
      <w:r w:rsidRPr="00E368BC">
        <w:rPr>
          <w:rFonts w:ascii="Times New Roman" w:hAnsi="Times New Roman"/>
          <w:sz w:val="22"/>
        </w:rPr>
        <w:t xml:space="preserve">. Pod predmet elektroničke pošte obvezno je navesti referentni broj i naziv Poziva na dostavu projektnih prijedloga. Ministarstvo znanosti i obrazovanja nije obvezno davati pojašnjenja na pitanja pristigla nakon navedenog roka. 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sz w:val="22"/>
        </w:rPr>
        <w:t xml:space="preserve">Odgovori će biti objavljeni najkasnije do 7 kalendarskih dana prije roka za dostavu projektnih prijedloga na mrežnim stranicama: </w:t>
      </w:r>
      <w:hyperlink r:id="rId11" w:history="1">
        <w:r w:rsidRPr="00E368BC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www.strukturnifondovi.hr</w:t>
        </w:r>
      </w:hyperlink>
      <w:r w:rsidRPr="00E368BC">
        <w:rPr>
          <w:rFonts w:ascii="Times New Roman" w:hAnsi="Times New Roman" w:cs="Times New Roman"/>
          <w:sz w:val="22"/>
        </w:rPr>
        <w:t xml:space="preserve"> i </w:t>
      </w:r>
      <w:hyperlink r:id="rId12" w:history="1">
        <w:r w:rsidRPr="00E368BC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www.mzos.hr</w:t>
        </w:r>
      </w:hyperlink>
      <w:r w:rsidRPr="00E368BC">
        <w:rPr>
          <w:rFonts w:ascii="Times New Roman" w:hAnsi="Times New Roman" w:cs="Times New Roman"/>
          <w:sz w:val="22"/>
        </w:rPr>
        <w:t>.</w:t>
      </w:r>
    </w:p>
    <w:p w:rsidR="0017601A" w:rsidRPr="00E368BC" w:rsidRDefault="0017601A" w:rsidP="0017601A">
      <w:pPr>
        <w:ind w:left="1" w:hanging="1"/>
        <w:rPr>
          <w:rFonts w:ascii="Times New Roman" w:hAnsi="Times New Roman" w:cs="Times New Roman"/>
          <w:b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>Informativne radionice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sz w:val="22"/>
        </w:rPr>
        <w:t xml:space="preserve">Za potencijalne prijavitelje bit će organizirane informativne radionice najkasnije 21 kalendarski dan prije isteka roka za podnošenje projektnih prijedloga. Informacije o točnom datumu i mjestu održavanja radionica bit će objavljene na mrežnim stranicama: </w:t>
      </w:r>
      <w:hyperlink r:id="rId13" w:history="1">
        <w:r w:rsidRPr="00E368BC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www.strukturnifondovi.hr</w:t>
        </w:r>
      </w:hyperlink>
      <w:r w:rsidRPr="00E368BC">
        <w:rPr>
          <w:rFonts w:ascii="Times New Roman" w:hAnsi="Times New Roman" w:cs="Times New Roman"/>
          <w:sz w:val="22"/>
        </w:rPr>
        <w:t xml:space="preserve"> i </w:t>
      </w:r>
      <w:hyperlink r:id="rId14" w:history="1">
        <w:r w:rsidRPr="00E368BC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www.mzos.hr</w:t>
        </w:r>
      </w:hyperlink>
      <w:r w:rsidRPr="00E368BC">
        <w:rPr>
          <w:rFonts w:ascii="Times New Roman" w:hAnsi="Times New Roman" w:cs="Times New Roman"/>
          <w:sz w:val="22"/>
        </w:rPr>
        <w:t>.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 w:cs="Times New Roman"/>
          <w:b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>Okvirni  raspored procesa prijave i odabira:</w:t>
      </w:r>
    </w:p>
    <w:p w:rsidR="0017601A" w:rsidRPr="00E368BC" w:rsidRDefault="0017601A" w:rsidP="0017601A">
      <w:pPr>
        <w:ind w:left="1" w:hanging="1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9"/>
        <w:gridCol w:w="2208"/>
        <w:gridCol w:w="2453"/>
      </w:tblGrid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DATUM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VRIJEME</w:t>
            </w: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 xml:space="preserve">Rok za dostavu pitanja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28. travnja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Rok za objavu odgovora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5. svibnja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Rok za podnošenje prijedloga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12. svibnja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16.00</w:t>
            </w: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Informacija prijavitelju o stanju prijave nakon administrativne provjere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9. lipnja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Informacija prijavitelju o stanju prijave nakon postupka procjene kvalitete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11. kolovoza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Dostava Odluke o financiranju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11. rujna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Potpisivanje Ugovora o dodjeli bespovratnih sredstava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2. listopada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Mijenja se i glasi: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/>
          <w:sz w:val="22"/>
        </w:rPr>
      </w:pPr>
      <w:r w:rsidRPr="00E368BC">
        <w:rPr>
          <w:rFonts w:ascii="Times New Roman" w:hAnsi="Times New Roman"/>
          <w:sz w:val="22"/>
        </w:rPr>
        <w:lastRenderedPageBreak/>
        <w:t xml:space="preserve">Pitanja mogu biti poslana elektroničkom poštom najkasnije 14 kalendarskih dana prije isteka roka za podnošenje projektnih prijedloga na adresu </w:t>
      </w:r>
      <w:hyperlink r:id="rId15" w:history="1">
        <w:r w:rsidRPr="00E368BC">
          <w:rPr>
            <w:rStyle w:val="Hyperlink"/>
            <w:rFonts w:ascii="Times New Roman" w:hAnsi="Times New Roman"/>
            <w:sz w:val="22"/>
          </w:rPr>
          <w:t>esf@mzo.hr</w:t>
        </w:r>
      </w:hyperlink>
      <w:r w:rsidRPr="00E368BC">
        <w:rPr>
          <w:rFonts w:ascii="Times New Roman" w:hAnsi="Times New Roman"/>
          <w:sz w:val="22"/>
        </w:rPr>
        <w:t xml:space="preserve">. Pod predmet elektroničke pošte obvezno je navesti referentni broj i naziv Poziva na dostavu projektnih prijedloga. Ministarstvo znanosti i obrazovanja nije obvezno davati pojašnjenja na pitanja pristigla nakon navedenog roka. 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sz w:val="22"/>
        </w:rPr>
        <w:t xml:space="preserve">Odgovori će biti objavljeni najkasnije do 7 kalendarskih dana prije roka za dostavu projektnih prijedloga na mrežnim stranicama: </w:t>
      </w:r>
      <w:hyperlink r:id="rId16" w:history="1">
        <w:r w:rsidRPr="00E368BC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www.strukturnifondovi.hr</w:t>
        </w:r>
      </w:hyperlink>
      <w:r w:rsidRPr="00E368BC">
        <w:rPr>
          <w:rFonts w:ascii="Times New Roman" w:hAnsi="Times New Roman" w:cs="Times New Roman"/>
          <w:sz w:val="22"/>
        </w:rPr>
        <w:t xml:space="preserve"> i </w:t>
      </w:r>
      <w:hyperlink r:id="rId17" w:history="1">
        <w:r w:rsidRPr="00E368BC">
          <w:rPr>
            <w:rStyle w:val="Hyperlink"/>
            <w:rFonts w:ascii="Times New Roman" w:hAnsi="Times New Roman" w:cs="Times New Roman"/>
            <w:sz w:val="22"/>
          </w:rPr>
          <w:t>www.esf.hr</w:t>
        </w:r>
      </w:hyperlink>
      <w:r w:rsidRPr="00E368BC">
        <w:rPr>
          <w:rFonts w:ascii="Times New Roman" w:hAnsi="Times New Roman" w:cs="Times New Roman"/>
          <w:sz w:val="22"/>
        </w:rPr>
        <w:t>.</w:t>
      </w:r>
    </w:p>
    <w:p w:rsidR="0017601A" w:rsidRPr="00E368BC" w:rsidRDefault="0017601A" w:rsidP="0017601A">
      <w:pPr>
        <w:ind w:left="1" w:hanging="1"/>
        <w:rPr>
          <w:rFonts w:ascii="Times New Roman" w:hAnsi="Times New Roman" w:cs="Times New Roman"/>
          <w:b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>Informativne radionice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 w:cs="Times New Roman"/>
          <w:sz w:val="22"/>
        </w:rPr>
      </w:pPr>
      <w:r w:rsidRPr="00E368BC">
        <w:rPr>
          <w:rFonts w:ascii="Times New Roman" w:hAnsi="Times New Roman" w:cs="Times New Roman"/>
          <w:sz w:val="22"/>
        </w:rPr>
        <w:t xml:space="preserve">Za potencijalne prijavitelje bit će organizirane informativne radionice najkasnije 21 kalendarski dan prije isteka roka za podnošenje projektnih prijedloga. Informacije o točnom datumu i mjestu održavanja radionica bit će objavljene na mrežnim stranicama: </w:t>
      </w:r>
      <w:hyperlink r:id="rId18" w:history="1">
        <w:r w:rsidRPr="00E368BC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www.strukturnifondovi.hr</w:t>
        </w:r>
      </w:hyperlink>
      <w:r w:rsidRPr="00E368BC">
        <w:rPr>
          <w:rFonts w:ascii="Times New Roman" w:hAnsi="Times New Roman" w:cs="Times New Roman"/>
          <w:sz w:val="22"/>
        </w:rPr>
        <w:t xml:space="preserve"> i </w:t>
      </w:r>
      <w:hyperlink r:id="rId19" w:history="1">
        <w:r w:rsidRPr="00E368BC">
          <w:rPr>
            <w:rStyle w:val="Hyperlink"/>
            <w:rFonts w:ascii="Times New Roman" w:hAnsi="Times New Roman" w:cs="Times New Roman"/>
            <w:sz w:val="22"/>
          </w:rPr>
          <w:t>www.esf.hr</w:t>
        </w:r>
      </w:hyperlink>
      <w:r w:rsidRPr="00E368BC">
        <w:rPr>
          <w:rFonts w:ascii="Times New Roman" w:hAnsi="Times New Roman" w:cs="Times New Roman"/>
          <w:sz w:val="22"/>
        </w:rPr>
        <w:t>.</w:t>
      </w:r>
    </w:p>
    <w:p w:rsidR="0017601A" w:rsidRPr="00E368BC" w:rsidRDefault="0017601A" w:rsidP="0017601A">
      <w:pPr>
        <w:spacing w:before="240"/>
        <w:ind w:left="1" w:hanging="1"/>
        <w:rPr>
          <w:rFonts w:ascii="Times New Roman" w:hAnsi="Times New Roman" w:cs="Times New Roman"/>
          <w:b/>
          <w:sz w:val="22"/>
        </w:rPr>
      </w:pPr>
      <w:r w:rsidRPr="00E368BC">
        <w:rPr>
          <w:rFonts w:ascii="Times New Roman" w:hAnsi="Times New Roman" w:cs="Times New Roman"/>
          <w:b/>
          <w:sz w:val="22"/>
        </w:rPr>
        <w:t>Okvirni  raspored procesa prijave i odabira:</w:t>
      </w:r>
    </w:p>
    <w:p w:rsidR="0017601A" w:rsidRPr="00E368BC" w:rsidRDefault="0017601A" w:rsidP="0017601A">
      <w:pPr>
        <w:ind w:left="1" w:hanging="1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9"/>
        <w:gridCol w:w="2208"/>
        <w:gridCol w:w="2453"/>
      </w:tblGrid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DATUM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VRIJEME</w:t>
            </w: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 xml:space="preserve">Rok za dostavu pitanja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17. svibnja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Rok za objavu odgovora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24. svibnja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Rok za podnošenje prijedloga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31. svibnja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16.00</w:t>
            </w: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Informacija prijavitelju o stanju prijave nakon administrativne provjere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28. lipnja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Informacija prijavitelju o stanju prijave nakon postupka procjene kvalitete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30. kolovoza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Dostava Odluke o financiranju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2. listopada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601A" w:rsidRPr="00E368BC" w:rsidTr="003113A8"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Potpisivanje Ugovora o dodjeli bespovratnih sredstava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  <w:r w:rsidRPr="00E368BC">
              <w:rPr>
                <w:rFonts w:ascii="Times New Roman" w:hAnsi="Times New Roman" w:cs="Times New Roman"/>
                <w:sz w:val="22"/>
              </w:rPr>
              <w:t>23. listopada 2017.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601A" w:rsidRPr="00E368BC" w:rsidRDefault="0017601A" w:rsidP="003113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>Tekst točke: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Točka 6.2. Procjena kvalitete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tbl>
      <w:tblPr>
        <w:tblW w:w="488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86"/>
        <w:gridCol w:w="4100"/>
        <w:gridCol w:w="2359"/>
        <w:gridCol w:w="1864"/>
      </w:tblGrid>
      <w:tr w:rsidR="0017601A" w:rsidRPr="00E368BC" w:rsidTr="003113A8">
        <w:trPr>
          <w:trHeight w:val="944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  <w:lang w:eastAsia="hr-HR"/>
              </w:rPr>
              <w:t>Br.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  <w:lang w:eastAsia="hr-HR"/>
              </w:rPr>
              <w:t>Pitanje za provjeru prihvatljivosti  projekta i aktivnosti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  <w:lang w:eastAsia="hr-HR"/>
              </w:rPr>
              <w:t>Izvor provjere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hAnsi="Times New Roman"/>
                <w:b/>
                <w:sz w:val="22"/>
              </w:rPr>
              <w:t>Mogućnost traženja pojašnjenja (Da/Ne)</w:t>
            </w:r>
          </w:p>
        </w:tc>
      </w:tr>
      <w:tr w:rsidR="0017601A" w:rsidRPr="00E368BC" w:rsidTr="003113A8">
        <w:trPr>
          <w:trHeight w:val="682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Projektne aktivnosti se neće dvostruko financirati.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Izjava prijavitelja/partnera Obrazac 2 i 3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682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Operacija/Projekt se provodi na prihvatljivom zemljopisnom području.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Prijavni obrazac A – Podaci o lokaciji projekta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905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Aktivnosti projekta su u skladu s točkom 3.3.: navedene su sve aktivnosti iz Elemenata 1-4 te barem jedna od aktivnosti navedenih u Elementu 5.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682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Planirano je izvođenje programa od strane prijavitelja prema uvjetima iz točke 2.1. Uputa za prijavitelje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  <w:r w:rsidRPr="00E368BC">
              <w:rPr>
                <w:rStyle w:val="FootnoteReference"/>
                <w:rFonts w:ascii="Times New Roman" w:eastAsia="Times New Roman" w:hAnsi="Times New Roman"/>
                <w:sz w:val="22"/>
              </w:rPr>
              <w:footnoteReference w:id="1"/>
            </w:r>
          </w:p>
        </w:tc>
      </w:tr>
      <w:tr w:rsidR="0017601A" w:rsidRPr="00E368BC" w:rsidTr="003113A8">
        <w:trPr>
          <w:trHeight w:val="1141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lastRenderedPageBreak/>
              <w:t>5.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 je u skladu s nacionalnim propisima i propisima EU, uvažavajući pravila o državnim potporama/ potporama male vrijednosti te druga pravila i zahtjeve primjenjive na predmetnu dodjelu.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– De </w:t>
            </w:r>
            <w:proofErr w:type="spellStart"/>
            <w:r w:rsidRPr="00E368BC">
              <w:rPr>
                <w:rFonts w:ascii="Times New Roman" w:eastAsia="Times New Roman" w:hAnsi="Times New Roman"/>
                <w:i/>
                <w:sz w:val="22"/>
              </w:rPr>
              <w:t>minimis</w:t>
            </w:r>
            <w:proofErr w:type="spellEnd"/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835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 u trenutku podnošenja projektnog prijedloga nije fizički niti financijski završen.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Izjava prijavitelja/partnera Obrazac 1 i 2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549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 doprinosi svim zadanim OP pokazateljima.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  <w:r w:rsidRPr="00E368BC">
              <w:rPr>
                <w:rStyle w:val="FootnoteReference"/>
                <w:rFonts w:ascii="Times New Roman" w:eastAsia="Times New Roman" w:hAnsi="Times New Roman"/>
                <w:sz w:val="22"/>
              </w:rPr>
              <w:footnoteReference w:id="2"/>
            </w:r>
          </w:p>
        </w:tc>
      </w:tr>
      <w:tr w:rsidR="0017601A" w:rsidRPr="00E368BC" w:rsidTr="003113A8">
        <w:trPr>
          <w:trHeight w:val="614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Cilj operacije/projekta je u skladu s ciljevima predmetne dodjele bespovratnih sredstava.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Prijavni obrazac A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680"/>
        <w:gridCol w:w="2593"/>
      </w:tblGrid>
      <w:tr w:rsidR="0017601A" w:rsidRPr="00E368BC" w:rsidTr="003113A8">
        <w:trPr>
          <w:jc w:val="center"/>
        </w:trPr>
        <w:tc>
          <w:tcPr>
            <w:tcW w:w="240" w:type="pct"/>
            <w:vAlign w:val="center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</w:rPr>
              <w:t>Br.</w:t>
            </w:r>
          </w:p>
        </w:tc>
        <w:tc>
          <w:tcPr>
            <w:tcW w:w="3258" w:type="pct"/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</w:rPr>
              <w:t>Pitanje za provjeru prihvatljivosti troškova</w:t>
            </w:r>
          </w:p>
        </w:tc>
        <w:tc>
          <w:tcPr>
            <w:tcW w:w="1502" w:type="pct"/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</w:rPr>
              <w:t>Mogućnost traženja pojašnjenja  (Da/Ne)</w:t>
            </w:r>
          </w:p>
        </w:tc>
      </w:tr>
      <w:tr w:rsidR="0017601A" w:rsidRPr="00E368BC" w:rsidTr="003113A8">
        <w:trPr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 xml:space="preserve">Izdaci su u skladu s Pravilnikom o prihvatljivosti izdataka u okviru Europskog socijalnog fonda (NN, br. 149/14, 14/16 i 74/16). 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Troškovi navedeni u proračunu projekta su realni i utemeljeni na tržišnim cijenama.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Uvjeti za formiranje odraslih polaznika za uključivanje u programe obrazovanja odraslih su uzeti u obzir pri planiranju 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3258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hAnsi="Times New Roman"/>
                <w:bCs/>
                <w:color w:val="000000"/>
                <w:sz w:val="22"/>
              </w:rPr>
              <w:t>Neizravni troškovi iznose 15% prihvatljivih izravnih troškova osoblja</w:t>
            </w: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3258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hAnsi="Times New Roman"/>
                <w:bCs/>
                <w:color w:val="000000"/>
                <w:sz w:val="22"/>
              </w:rPr>
              <w:t xml:space="preserve">Troškovi putovanja, u okviru elementa 3 ne iznose više od 10% ukupnih prihvatljivih troškova projekta.  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68BC">
              <w:rPr>
                <w:rFonts w:ascii="Times New Roman" w:hAnsi="Times New Roman"/>
                <w:bCs/>
                <w:color w:val="000000"/>
                <w:sz w:val="22"/>
              </w:rPr>
              <w:t>Troškovi kupnje strojeva, opreme i namještaja ne iznose više od 10% ukupnih prihvatljivih troškova projekta.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T</w:t>
            </w:r>
            <w:r w:rsidRPr="00E368BC">
              <w:rPr>
                <w:rFonts w:ascii="Times New Roman" w:hAnsi="Times New Roman"/>
                <w:sz w:val="22"/>
              </w:rPr>
              <w:t>roškovi vezani uz provedbu Elementa 3 ne iznose manje od 70% ukupnih prihvatljivih troškova projekta.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Ako je primjenjivo, nakon provedenog postupka provjere prihvatljivosti troškova odnosno, po potrebi,  isključivanja neprihvatljivih troškova, projektni prijedlog ispunjava kriterije prihvatljivosti u odnosu na najviši iznos bespovratnih sredstava i u odnosu na propisani intenzitet potpore te svrha projekta nije ugrožena.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noProof/>
          <w:color w:val="000000" w:themeColor="text1"/>
          <w:sz w:val="22"/>
        </w:rPr>
        <w:t xml:space="preserve">Mijenja se i glasi: 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  <w:t>(…)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tbl>
      <w:tblPr>
        <w:tblW w:w="488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86"/>
        <w:gridCol w:w="4100"/>
        <w:gridCol w:w="2359"/>
        <w:gridCol w:w="1864"/>
      </w:tblGrid>
      <w:tr w:rsidR="0017601A" w:rsidRPr="00E368BC" w:rsidTr="003113A8">
        <w:trPr>
          <w:trHeight w:val="944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  <w:lang w:eastAsia="hr-HR"/>
              </w:rPr>
              <w:t>Br.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  <w:lang w:eastAsia="hr-HR"/>
              </w:rPr>
              <w:t>Pitanje za provjeru prihvatljivosti  projekta i aktivnosti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  <w:lang w:eastAsia="hr-HR"/>
              </w:rPr>
              <w:t>Izvor provjere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hr-HR"/>
              </w:rPr>
            </w:pPr>
            <w:r w:rsidRPr="00E368BC">
              <w:rPr>
                <w:rFonts w:ascii="Times New Roman" w:hAnsi="Times New Roman"/>
                <w:b/>
                <w:sz w:val="22"/>
              </w:rPr>
              <w:t>Mogućnost traženja pojašnjenja (Da/Ne)</w:t>
            </w:r>
          </w:p>
        </w:tc>
      </w:tr>
      <w:tr w:rsidR="0017601A" w:rsidRPr="00E368BC" w:rsidTr="003113A8">
        <w:trPr>
          <w:trHeight w:val="682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lastRenderedPageBreak/>
              <w:t>1.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Projektne aktivnosti se neće dvostruko financirati.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Izjava prijavitelja/partnera Obrazac 1 i 2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682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Operacija/Projekt se provodi na prihvatljivom zemljopisnom području.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Prijavni obrazac A – Podaci o lokaciji projekta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905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Aktivnosti projekta su u skladu s točkom 3.3.: navedene su sve aktivnosti iz Elemenata 1-4 te barem jedna od aktivnosti navedenih u Elementu 5.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682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Planirano je izvođenje programa od strane prijavitelja prema uvjetima iz točke 2.1. Uputa za prijavitelje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  <w:r w:rsidRPr="00E368BC">
              <w:rPr>
                <w:rStyle w:val="FootnoteReference"/>
                <w:rFonts w:ascii="Times New Roman" w:eastAsia="Times New Roman" w:hAnsi="Times New Roman"/>
                <w:sz w:val="22"/>
              </w:rPr>
              <w:footnoteReference w:id="3"/>
            </w:r>
          </w:p>
        </w:tc>
      </w:tr>
      <w:tr w:rsidR="0017601A" w:rsidRPr="00E368BC" w:rsidTr="003113A8">
        <w:trPr>
          <w:trHeight w:val="1141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ind w:left="96"/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 je u skladu s nacionalnim propisima i propisima EU, uvažavajući pravila o državnim potporama/ potporama male vrijednosti te druga pravila i zahtjeve primjenjive na predmetnu dodjelu.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– De </w:t>
            </w:r>
            <w:proofErr w:type="spellStart"/>
            <w:r w:rsidRPr="00E368BC">
              <w:rPr>
                <w:rFonts w:ascii="Times New Roman" w:eastAsia="Times New Roman" w:hAnsi="Times New Roman"/>
                <w:i/>
                <w:sz w:val="22"/>
              </w:rPr>
              <w:t>minimis</w:t>
            </w:r>
            <w:proofErr w:type="spellEnd"/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835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 u trenutku podnošenja projektnog prijedloga nije fizički niti financijski završen.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Izjava prijavitelja/partnera Obrazac 1 i 2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549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Projekt doprinosi svim zadanim OP pokazateljima.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 xml:space="preserve">Prijavni obrazac A 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  <w:r w:rsidRPr="00E368BC">
              <w:rPr>
                <w:rStyle w:val="FootnoteReference"/>
                <w:rFonts w:ascii="Times New Roman" w:eastAsia="Times New Roman" w:hAnsi="Times New Roman"/>
                <w:sz w:val="22"/>
              </w:rPr>
              <w:footnoteReference w:id="4"/>
            </w:r>
          </w:p>
        </w:tc>
      </w:tr>
      <w:tr w:rsidR="0017601A" w:rsidRPr="00E368BC" w:rsidTr="003113A8">
        <w:trPr>
          <w:trHeight w:val="1130"/>
          <w:jc w:val="center"/>
        </w:trPr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23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tabs>
                <w:tab w:val="left" w:pos="0"/>
              </w:tabs>
              <w:rPr>
                <w:rFonts w:ascii="Times New Roman" w:eastAsia="Cambria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Cambria" w:hAnsi="Times New Roman"/>
                <w:bCs/>
                <w:iCs/>
                <w:sz w:val="22"/>
              </w:rPr>
              <w:t>Cilj operacije/projekta je u skladu s ciljevima predmetne dodjele bespovratnih sredstava.</w:t>
            </w:r>
          </w:p>
        </w:tc>
        <w:tc>
          <w:tcPr>
            <w:tcW w:w="13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i/>
                <w:sz w:val="22"/>
              </w:rPr>
              <w:t>Prijavni obrazac A</w:t>
            </w: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i/>
          <w:noProof/>
          <w:color w:val="000000" w:themeColor="text1"/>
          <w:sz w:val="22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680"/>
        <w:gridCol w:w="2593"/>
      </w:tblGrid>
      <w:tr w:rsidR="0017601A" w:rsidRPr="00E368BC" w:rsidTr="003113A8">
        <w:trPr>
          <w:jc w:val="center"/>
        </w:trPr>
        <w:tc>
          <w:tcPr>
            <w:tcW w:w="240" w:type="pct"/>
            <w:vAlign w:val="center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</w:rPr>
              <w:t>Br.</w:t>
            </w:r>
          </w:p>
        </w:tc>
        <w:tc>
          <w:tcPr>
            <w:tcW w:w="3258" w:type="pct"/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</w:rPr>
              <w:t>Pitanje za provjeru prihvatljivosti troškova</w:t>
            </w:r>
          </w:p>
        </w:tc>
        <w:tc>
          <w:tcPr>
            <w:tcW w:w="1502" w:type="pct"/>
            <w:vAlign w:val="center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368BC">
              <w:rPr>
                <w:rFonts w:ascii="Times New Roman" w:eastAsia="Times New Roman" w:hAnsi="Times New Roman"/>
                <w:b/>
                <w:sz w:val="22"/>
              </w:rPr>
              <w:t>Mogućnost traženja pojašnjenja  (Da/Ne)</w:t>
            </w:r>
          </w:p>
        </w:tc>
      </w:tr>
      <w:tr w:rsidR="0017601A" w:rsidRPr="00E368BC" w:rsidTr="003113A8">
        <w:trPr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 xml:space="preserve">Izdaci su u skladu s Pravilnikom o prihvatljivosti izdataka u okviru Europskog socijalnog fonda (NN, br. 149/14, 14/16 i 74/16). 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Troškovi navedeni u proračunu projekta su realni i utemeljeni na tržišnim cijenama.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 xml:space="preserve">Uvjeti za formiranje odraslih polaznika za uključivanje u programe obrazovanja odraslih su uzeti u obzir pri planiranju 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3258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hAnsi="Times New Roman"/>
                <w:bCs/>
                <w:color w:val="000000"/>
                <w:sz w:val="22"/>
              </w:rPr>
              <w:t>Neizravni troškovi iznose 15% prihvatljivih izravnih troškova osoblja</w:t>
            </w: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3258" w:type="pct"/>
          </w:tcPr>
          <w:p w:rsidR="0017601A" w:rsidRPr="00E368BC" w:rsidDel="001C691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hAnsi="Times New Roman"/>
                <w:bCs/>
                <w:color w:val="000000"/>
                <w:sz w:val="22"/>
              </w:rPr>
              <w:t xml:space="preserve">Troškovi putovanja, u okviru elementa 2 i 3 ne iznose više od 10% ukupnih prihvatljivih troškova projekta.  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68BC">
              <w:rPr>
                <w:rFonts w:ascii="Times New Roman" w:hAnsi="Times New Roman"/>
                <w:bCs/>
                <w:color w:val="000000"/>
                <w:sz w:val="22"/>
              </w:rPr>
              <w:t>Troškovi kupnje strojeva, opreme i namještaja ne iznose više od 10% ukupnih prihvatljivih troškova projekta.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lastRenderedPageBreak/>
              <w:t>7.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T</w:t>
            </w:r>
            <w:r w:rsidRPr="00E368BC">
              <w:rPr>
                <w:rFonts w:ascii="Times New Roman" w:hAnsi="Times New Roman"/>
                <w:sz w:val="22"/>
              </w:rPr>
              <w:t>roškovi vezani uz provedbu Elementa 2, 3 i 4. ne iznose manje od 70% ukupnih prihvatljivih troškova projekta.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Da</w:t>
            </w:r>
          </w:p>
        </w:tc>
      </w:tr>
      <w:tr w:rsidR="0017601A" w:rsidRPr="00E368BC" w:rsidTr="003113A8">
        <w:trPr>
          <w:trHeight w:val="470"/>
          <w:jc w:val="center"/>
        </w:trPr>
        <w:tc>
          <w:tcPr>
            <w:tcW w:w="240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3258" w:type="pct"/>
          </w:tcPr>
          <w:p w:rsidR="0017601A" w:rsidRPr="00E368BC" w:rsidRDefault="0017601A" w:rsidP="003113A8">
            <w:pPr>
              <w:rPr>
                <w:rFonts w:ascii="Times New Roman" w:eastAsia="Times New Roman" w:hAnsi="Times New Roman"/>
                <w:bCs/>
                <w:iCs/>
                <w:sz w:val="22"/>
              </w:rPr>
            </w:pPr>
            <w:r w:rsidRPr="00E368BC">
              <w:rPr>
                <w:rFonts w:ascii="Times New Roman" w:eastAsia="Times New Roman" w:hAnsi="Times New Roman"/>
                <w:bCs/>
                <w:iCs/>
                <w:sz w:val="22"/>
              </w:rPr>
              <w:t>Ako je primjenjivo, nakon provedenog postupka provjere prihvatljivosti troškova odnosno, po potrebi,  isključivanja neprihvatljivih troškova, projektni prijedlog ispunjava kriterije prihvatljivosti u odnosu na najniži i najviši iznos bespovratnih sredstava i u odnosu na propisani intenzitet potpore te svrha projekta nije ugrožena.</w:t>
            </w:r>
          </w:p>
        </w:tc>
        <w:tc>
          <w:tcPr>
            <w:tcW w:w="1502" w:type="pct"/>
          </w:tcPr>
          <w:p w:rsidR="0017601A" w:rsidRPr="00E368BC" w:rsidRDefault="0017601A" w:rsidP="003113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368BC">
              <w:rPr>
                <w:rFonts w:ascii="Times New Roman" w:eastAsia="Times New Roman" w:hAnsi="Times New Roman"/>
                <w:sz w:val="22"/>
              </w:rPr>
              <w:t>Ne</w:t>
            </w:r>
          </w:p>
        </w:tc>
      </w:tr>
    </w:tbl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aps/>
          <w:noProof/>
          <w:sz w:val="22"/>
        </w:rPr>
      </w:pPr>
      <w:r w:rsidRPr="00E368BC">
        <w:rPr>
          <w:rFonts w:ascii="Times New Roman" w:hAnsi="Times New Roman" w:cs="Times New Roman"/>
          <w:caps/>
          <w:noProof/>
          <w:sz w:val="22"/>
        </w:rPr>
        <w:t>Program/i obrazovanja odraslih koji/e se prijavljuju za izvođenje u okviru projekta (obrazac 3):</w:t>
      </w:r>
    </w:p>
    <w:p w:rsidR="0017601A" w:rsidRPr="00E368BC" w:rsidRDefault="0017601A" w:rsidP="0017601A">
      <w:pPr>
        <w:rPr>
          <w:rFonts w:ascii="Times New Roman" w:hAnsi="Times New Roman" w:cs="Times New Roman"/>
          <w:b/>
          <w:noProof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noProof/>
          <w:color w:val="000000" w:themeColor="text1"/>
          <w:sz w:val="22"/>
        </w:rPr>
        <w:t>Obrazac 3 izmijenjen je sukladno navedenim izmjenama Uputa za prijavitelje - 3.3. Prihvatljive aktivnosti, Element 2. Odabir polaznika za uključivanje u programe obrazovanja odraslih</w:t>
      </w: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rPr>
          <w:rFonts w:ascii="Times New Roman" w:hAnsi="Times New Roman" w:cs="Times New Roman"/>
          <w:caps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aps/>
          <w:noProof/>
          <w:color w:val="000000" w:themeColor="text1"/>
          <w:sz w:val="22"/>
        </w:rPr>
        <w:t xml:space="preserve">Kriteriji odabira i metodologija bodovanja projektnih prijedloga </w:t>
      </w:r>
    </w:p>
    <w:p w:rsidR="0017601A" w:rsidRPr="00E368BC" w:rsidRDefault="0017601A" w:rsidP="0017601A">
      <w:pPr>
        <w:rPr>
          <w:rFonts w:ascii="Times New Roman" w:hAnsi="Times New Roman" w:cs="Times New Roman"/>
          <w:caps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caps/>
          <w:noProof/>
          <w:color w:val="000000" w:themeColor="text1"/>
          <w:sz w:val="22"/>
        </w:rPr>
        <w:t xml:space="preserve">(pRILOG  4) </w:t>
      </w:r>
    </w:p>
    <w:p w:rsidR="0017601A" w:rsidRPr="00E368BC" w:rsidRDefault="0017601A" w:rsidP="0017601A">
      <w:pPr>
        <w:rPr>
          <w:rFonts w:ascii="Times New Roman" w:hAnsi="Times New Roman" w:cs="Times New Roman"/>
          <w:caps/>
          <w:noProof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E368BC">
        <w:rPr>
          <w:rFonts w:ascii="Times New Roman" w:hAnsi="Times New Roman" w:cs="Times New Roman"/>
          <w:noProof/>
          <w:color w:val="000000" w:themeColor="text1"/>
          <w:sz w:val="22"/>
        </w:rPr>
        <w:t>Kriterij 3.2. Mogućnost dugoročnog utjecaja – ciljne skupine prilagođene izmjenama Uputa za prijavitelje - točka 1.4. Svrha i cilj te ciljne skupine poziva na dostavu projektnih prijedloga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17601A">
      <w:pPr>
        <w:suppressAutoHyphens/>
        <w:spacing w:line="276" w:lineRule="auto"/>
        <w:rPr>
          <w:rFonts w:ascii="Times New Roman" w:hAnsi="Times New Roman"/>
          <w:caps/>
        </w:rPr>
      </w:pPr>
      <w:r w:rsidRPr="00E368BC">
        <w:rPr>
          <w:rFonts w:ascii="Times New Roman" w:hAnsi="Times New Roman"/>
          <w:caps/>
        </w:rPr>
        <w:t>Predložak ugovora o dodjeli bespovratnih sredstava – posebni uvjeti (Prilog 2)</w:t>
      </w:r>
    </w:p>
    <w:p w:rsidR="0017601A" w:rsidRPr="00E368BC" w:rsidRDefault="0017601A" w:rsidP="0017601A">
      <w:pPr>
        <w:pStyle w:val="ListParagraph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17601A" w:rsidRPr="00E368BC" w:rsidRDefault="0017601A" w:rsidP="00E42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CB2E69">
        <w:rPr>
          <w:rFonts w:ascii="Times New Roman" w:hAnsi="Times New Roman" w:cs="Times New Roman"/>
          <w:noProof/>
          <w:color w:val="000000" w:themeColor="text1"/>
          <w:sz w:val="22"/>
        </w:rPr>
        <w:t>Članak 5. – Neprihvatljivi izdatci – prilagođeno izmjenama Uputa za prijavitelje - točka 4.1.2. Neprihvatljivi izdaci</w:t>
      </w:r>
    </w:p>
    <w:sectPr w:rsidR="0017601A" w:rsidRPr="00E368B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8C" w:rsidRDefault="00710D8C" w:rsidP="00EE5398">
      <w:r>
        <w:separator/>
      </w:r>
    </w:p>
  </w:endnote>
  <w:endnote w:type="continuationSeparator" w:id="0">
    <w:p w:rsidR="00710D8C" w:rsidRDefault="00710D8C" w:rsidP="00EE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A" w:rsidRDefault="00176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A" w:rsidRDefault="0017601A" w:rsidP="0017601A">
    <w:pPr>
      <w:pStyle w:val="Footer"/>
      <w:tabs>
        <w:tab w:val="clear" w:pos="4513"/>
        <w:tab w:val="clear" w:pos="9026"/>
        <w:tab w:val="left" w:pos="1875"/>
      </w:tabs>
      <w:jc w:val="right"/>
    </w:pPr>
    <w:r>
      <w:tab/>
    </w:r>
    <w:r w:rsidRPr="001A26F3">
      <w:rPr>
        <w:rFonts w:ascii="Calibri" w:eastAsia="Droid Sans Fallback" w:hAnsi="Calibri" w:cs="Times New Roman"/>
        <w:noProof/>
        <w:color w:val="00000A"/>
        <w:sz w:val="22"/>
        <w:lang w:eastAsia="hr-HR"/>
      </w:rPr>
      <w:drawing>
        <wp:inline distT="0" distB="0" distL="0" distR="0" wp14:anchorId="30CE217E" wp14:editId="6EE7AEF2">
          <wp:extent cx="2447925" cy="68167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15"/>
                  <a:stretch/>
                </pic:blipFill>
                <pic:spPr bwMode="auto">
                  <a:xfrm>
                    <a:off x="0" y="0"/>
                    <a:ext cx="2466420" cy="686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A" w:rsidRDefault="00176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8C" w:rsidRDefault="00710D8C" w:rsidP="00EE5398">
      <w:r>
        <w:separator/>
      </w:r>
    </w:p>
  </w:footnote>
  <w:footnote w:type="continuationSeparator" w:id="0">
    <w:p w:rsidR="00710D8C" w:rsidRDefault="00710D8C" w:rsidP="00EE5398">
      <w:r>
        <w:continuationSeparator/>
      </w:r>
    </w:p>
  </w:footnote>
  <w:footnote w:id="1">
    <w:p w:rsidR="0017601A" w:rsidRDefault="0017601A" w:rsidP="001760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2A3">
        <w:rPr>
          <w:rFonts w:ascii="Times New Roman" w:hAnsi="Times New Roman"/>
        </w:rPr>
        <w:t>U skladu s navodom iz fusnote 9, točka 2.2.2. Uputa</w:t>
      </w:r>
    </w:p>
  </w:footnote>
  <w:footnote w:id="2">
    <w:p w:rsidR="0017601A" w:rsidRDefault="0017601A" w:rsidP="001760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44A1">
        <w:rPr>
          <w:rFonts w:ascii="Times New Roman" w:hAnsi="Times New Roman"/>
        </w:rPr>
        <w:t>U skladu s uvjetom iz točke 1.5.</w:t>
      </w:r>
    </w:p>
  </w:footnote>
  <w:footnote w:id="3">
    <w:p w:rsidR="0017601A" w:rsidRDefault="0017601A" w:rsidP="001760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2A3">
        <w:rPr>
          <w:rFonts w:ascii="Times New Roman" w:hAnsi="Times New Roman"/>
        </w:rPr>
        <w:t>U skladu s navodom iz fusnote 9, točka 2.2.2. Uputa</w:t>
      </w:r>
    </w:p>
  </w:footnote>
  <w:footnote w:id="4">
    <w:p w:rsidR="0017601A" w:rsidRDefault="0017601A" w:rsidP="001760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44A1">
        <w:rPr>
          <w:rFonts w:ascii="Times New Roman" w:hAnsi="Times New Roman"/>
        </w:rPr>
        <w:t>U skladu s uvjetom iz točke 1.5.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98" w:rsidRDefault="00710D8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2" o:spid="_x0000_s2053" type="#_x0000_t75" style="position:absolute;left:0;text-align:left;margin-left:0;margin-top:0;width:451pt;height:567.6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98" w:rsidRDefault="0017601A">
    <w:pPr>
      <w:pStyle w:val="Header"/>
    </w:pPr>
    <w:r>
      <w:rPr>
        <w:noProof/>
        <w:lang w:eastAsia="hr-HR"/>
      </w:rPr>
      <w:drawing>
        <wp:inline distT="0" distB="0" distL="0" distR="0" wp14:anchorId="1B8643FD" wp14:editId="08EB06BF">
          <wp:extent cx="2093640" cy="48577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505" cy="49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398" w:rsidRDefault="00710D8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3" o:spid="_x0000_s2054" type="#_x0000_t75" style="position:absolute;left:0;text-align:left;margin-left:32.4pt;margin-top:78.55pt;width:451pt;height:567.6pt;z-index:-251656192;mso-position-horizontal-relative:margin;mso-position-vertical-relative:margin" o:allowincell="f">
          <v:imagedata r:id="rId2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98" w:rsidRDefault="00710D8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1" o:spid="_x0000_s2052" type="#_x0000_t75" style="position:absolute;left:0;text-align:left;margin-left:0;margin-top:0;width:451pt;height:567.6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E2E"/>
    <w:multiLevelType w:val="hybridMultilevel"/>
    <w:tmpl w:val="94B45654"/>
    <w:lvl w:ilvl="0" w:tplc="CD84C35E">
      <w:start w:val="3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1070C"/>
    <w:multiLevelType w:val="hybridMultilevel"/>
    <w:tmpl w:val="98DE28A4"/>
    <w:lvl w:ilvl="0" w:tplc="51523CC4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44148F"/>
    <w:multiLevelType w:val="hybridMultilevel"/>
    <w:tmpl w:val="F32EE85A"/>
    <w:lvl w:ilvl="0" w:tplc="87868D2A">
      <w:start w:val="3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95186"/>
    <w:multiLevelType w:val="hybridMultilevel"/>
    <w:tmpl w:val="6DA6D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7BC5"/>
    <w:multiLevelType w:val="hybridMultilevel"/>
    <w:tmpl w:val="07E4F71C"/>
    <w:lvl w:ilvl="0" w:tplc="078618FE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9C5"/>
    <w:multiLevelType w:val="hybridMultilevel"/>
    <w:tmpl w:val="84B234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AE"/>
    <w:multiLevelType w:val="hybridMultilevel"/>
    <w:tmpl w:val="25ACB708"/>
    <w:lvl w:ilvl="0" w:tplc="FD4A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52B23"/>
    <w:multiLevelType w:val="hybridMultilevel"/>
    <w:tmpl w:val="37DE9998"/>
    <w:lvl w:ilvl="0" w:tplc="78BE6F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AD1DC8"/>
    <w:multiLevelType w:val="hybridMultilevel"/>
    <w:tmpl w:val="F47AB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C30A2"/>
    <w:multiLevelType w:val="hybridMultilevel"/>
    <w:tmpl w:val="F2066498"/>
    <w:lvl w:ilvl="0" w:tplc="041A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25633A"/>
    <w:multiLevelType w:val="hybridMultilevel"/>
    <w:tmpl w:val="3120E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A6B99"/>
    <w:multiLevelType w:val="hybridMultilevel"/>
    <w:tmpl w:val="E438F9F4"/>
    <w:lvl w:ilvl="0" w:tplc="D5025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330E"/>
    <w:multiLevelType w:val="hybridMultilevel"/>
    <w:tmpl w:val="F47AB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4068B"/>
    <w:multiLevelType w:val="hybridMultilevel"/>
    <w:tmpl w:val="7F380BF2"/>
    <w:lvl w:ilvl="0" w:tplc="87F6779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EF1C3D"/>
    <w:multiLevelType w:val="hybridMultilevel"/>
    <w:tmpl w:val="84B234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C23E0"/>
    <w:multiLevelType w:val="hybridMultilevel"/>
    <w:tmpl w:val="EA76378C"/>
    <w:lvl w:ilvl="0" w:tplc="0000000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8"/>
    <w:rsid w:val="00132DDC"/>
    <w:rsid w:val="0017601A"/>
    <w:rsid w:val="003E16E5"/>
    <w:rsid w:val="00710D8C"/>
    <w:rsid w:val="0080528B"/>
    <w:rsid w:val="00C2730B"/>
    <w:rsid w:val="00CB2E69"/>
    <w:rsid w:val="00E31822"/>
    <w:rsid w:val="00EE5398"/>
    <w:rsid w:val="00EF1C87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CACBD33-D527-4668-9B59-69CE5C12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1A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98"/>
  </w:style>
  <w:style w:type="paragraph" w:styleId="Footer">
    <w:name w:val="footer"/>
    <w:basedOn w:val="Normal"/>
    <w:link w:val="FooterChar"/>
    <w:uiPriority w:val="99"/>
    <w:unhideWhenUsed/>
    <w:rsid w:val="00EE5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98"/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"/>
    <w:basedOn w:val="Normal"/>
    <w:link w:val="FootnoteTextChar1"/>
    <w:uiPriority w:val="99"/>
    <w:unhideWhenUsed/>
    <w:rsid w:val="0017601A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17601A"/>
    <w:rPr>
      <w:sz w:val="20"/>
      <w:szCs w:val="20"/>
    </w:rPr>
  </w:style>
  <w:style w:type="character" w:customStyle="1" w:styleId="FootnoteTextChar1">
    <w:name w:val="Footnote Text Char1"/>
    <w:aliases w:val="- OP Char,Fußnote Char,Podrozdział Char,Fußnotentextf Char,Footnote Text Char Char Char,single space Char,footnote text Char,FOOTNOTES Char,fn Char,stile 1 Char,Footnote Char,Footnote1 Char,Footnote2 Char,Footnote3 Char"/>
    <w:basedOn w:val="DefaultParagraphFont"/>
    <w:link w:val="FootnoteText"/>
    <w:uiPriority w:val="99"/>
    <w:rsid w:val="0017601A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17601A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17601A"/>
    <w:pPr>
      <w:ind w:left="720"/>
      <w:contextualSpacing/>
    </w:pPr>
  </w:style>
  <w:style w:type="paragraph" w:customStyle="1" w:styleId="ESFBodysivo">
    <w:name w:val="ESF Body_sivo"/>
    <w:basedOn w:val="Normal"/>
    <w:link w:val="ESFBodysivoChar"/>
    <w:qFormat/>
    <w:rsid w:val="0017601A"/>
  </w:style>
  <w:style w:type="character" w:customStyle="1" w:styleId="ESFBodysivoChar">
    <w:name w:val="ESF Body_sivo Char"/>
    <w:basedOn w:val="DefaultParagraphFont"/>
    <w:link w:val="ESFBodysivo"/>
    <w:rsid w:val="0017601A"/>
    <w:rPr>
      <w:sz w:val="24"/>
    </w:rPr>
  </w:style>
  <w:style w:type="character" w:styleId="Hyperlink">
    <w:name w:val="Hyperlink"/>
    <w:basedOn w:val="DefaultParagraphFont"/>
    <w:uiPriority w:val="99"/>
    <w:unhideWhenUsed/>
    <w:rsid w:val="0017601A"/>
    <w:rPr>
      <w:color w:val="0563C1" w:themeColor="hyperlink"/>
      <w:u w:val="single"/>
    </w:rPr>
  </w:style>
  <w:style w:type="paragraph" w:customStyle="1" w:styleId="Default">
    <w:name w:val="Default"/>
    <w:rsid w:val="00176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7601A"/>
    <w:rPr>
      <w:b/>
      <w:bCs/>
    </w:rPr>
  </w:style>
  <w:style w:type="character" w:customStyle="1" w:styleId="ListParagraphChar">
    <w:name w:val="List Paragraph Char"/>
    <w:link w:val="ListParagraph"/>
    <w:locked/>
    <w:rsid w:val="0017601A"/>
    <w:rPr>
      <w:sz w:val="24"/>
    </w:rPr>
  </w:style>
  <w:style w:type="paragraph" w:customStyle="1" w:styleId="Char2">
    <w:name w:val="Char2"/>
    <w:basedOn w:val="Normal"/>
    <w:link w:val="FootnoteReference"/>
    <w:uiPriority w:val="99"/>
    <w:rsid w:val="0017601A"/>
    <w:pPr>
      <w:spacing w:after="160" w:line="240" w:lineRule="exact"/>
      <w:jc w:val="left"/>
    </w:pPr>
    <w:rPr>
      <w:sz w:val="22"/>
      <w:vertAlign w:val="superscript"/>
    </w:rPr>
  </w:style>
  <w:style w:type="table" w:customStyle="1" w:styleId="MediumList11">
    <w:name w:val="Medium List 11"/>
    <w:basedOn w:val="TableNormal"/>
    <w:uiPriority w:val="65"/>
    <w:rsid w:val="0017601A"/>
    <w:pPr>
      <w:spacing w:after="0" w:line="240" w:lineRule="auto"/>
    </w:pPr>
    <w:rPr>
      <w:rFonts w:ascii="Calibri" w:eastAsia="Droid Sans Fallback" w:hAnsi="Calibri" w:cs="Times New Roman"/>
      <w:color w:val="000000" w:themeColor="text1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natjecaji/1264" TargetMode="External"/><Relationship Id="rId13" Type="http://schemas.openxmlformats.org/officeDocument/2006/relationships/hyperlink" Target="http://www.strukturnifondovi.hr/" TargetMode="External"/><Relationship Id="rId18" Type="http://schemas.openxmlformats.org/officeDocument/2006/relationships/hyperlink" Target="http://www.strukturnifondovi.h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zos.hr" TargetMode="External"/><Relationship Id="rId17" Type="http://schemas.openxmlformats.org/officeDocument/2006/relationships/hyperlink" Target="http://www.esf.h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esf@mzo.h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esf@mzos.hr" TargetMode="External"/><Relationship Id="rId19" Type="http://schemas.openxmlformats.org/officeDocument/2006/relationships/hyperlink" Target="http://www.es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z.hr/UserDocsImages/preporuke_16.pdf" TargetMode="External"/><Relationship Id="rId14" Type="http://schemas.openxmlformats.org/officeDocument/2006/relationships/hyperlink" Target="http://www.mzos.h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0645-17A5-44D6-86F8-B5642760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Henig</dc:creator>
  <cp:keywords/>
  <dc:description/>
  <cp:lastModifiedBy>jmajsec</cp:lastModifiedBy>
  <cp:revision>6</cp:revision>
  <dcterms:created xsi:type="dcterms:W3CDTF">2017-02-15T10:08:00Z</dcterms:created>
  <dcterms:modified xsi:type="dcterms:W3CDTF">2017-05-04T12:33:00Z</dcterms:modified>
</cp:coreProperties>
</file>