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89A9A" w14:textId="77777777" w:rsidR="00FE7D6E" w:rsidRPr="003D056E" w:rsidRDefault="00FE7D6E" w:rsidP="00C76821">
      <w:pPr>
        <w:tabs>
          <w:tab w:val="left" w:pos="604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989A9B" w14:textId="77777777" w:rsidR="00A24C72" w:rsidRPr="003D056E" w:rsidRDefault="00A96FC4" w:rsidP="00A96FC4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BF18E3" w:rsidRPr="003D056E">
        <w:rPr>
          <w:rFonts w:ascii="Times New Roman" w:eastAsia="Times New Roman" w:hAnsi="Times New Roman" w:cs="Times New Roman"/>
          <w:b/>
          <w:sz w:val="24"/>
          <w:szCs w:val="24"/>
        </w:rPr>
        <w:t>ažet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A24C72" w:rsidRPr="003D056E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="003521EE" w:rsidRPr="003D05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18E3" w:rsidRPr="003D056E">
        <w:rPr>
          <w:rFonts w:ascii="Times New Roman" w:eastAsia="Times New Roman" w:hAnsi="Times New Roman" w:cs="Times New Roman"/>
          <w:b/>
          <w:sz w:val="24"/>
          <w:szCs w:val="24"/>
        </w:rPr>
        <w:t>poziva</w:t>
      </w:r>
    </w:p>
    <w:p w14:paraId="62989A9C" w14:textId="77777777" w:rsidR="003521EE" w:rsidRPr="003D056E" w:rsidRDefault="003521EE" w:rsidP="00C76821">
      <w:pPr>
        <w:tabs>
          <w:tab w:val="center" w:pos="4320"/>
          <w:tab w:val="center" w:pos="4819"/>
          <w:tab w:val="right" w:pos="8640"/>
          <w:tab w:val="right" w:pos="963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14:paraId="62989A9D" w14:textId="77777777" w:rsidR="003521EE" w:rsidRPr="003D056E" w:rsidRDefault="003521EE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9E" w14:textId="77777777" w:rsidR="00D52FE9" w:rsidRPr="003D056E" w:rsidRDefault="00D52FE9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9F" w14:textId="001F413E" w:rsidR="003521EE" w:rsidRDefault="003D056E" w:rsidP="003F7B65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„</w:t>
      </w:r>
      <w:r w:rsidR="003F7B65" w:rsidRPr="003F7B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SUSTAV VODOOPSKRBE, ODVODNJE I PROČIŠĆAVANJA OTPADNIH VODA AGLOMERACIJE JASTREBARSKO</w:t>
      </w:r>
      <w:r w:rsidRPr="003D05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“</w:t>
      </w:r>
    </w:p>
    <w:p w14:paraId="62989AA0" w14:textId="71DE6416" w:rsidR="00CE0FA0" w:rsidRPr="003D056E" w:rsidRDefault="00312F44" w:rsidP="007A20F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(Projekt </w:t>
      </w:r>
      <w:r w:rsidR="0013724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Jastrebarsko</w:t>
      </w:r>
      <w:r w:rsidR="00CE0F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</w:p>
    <w:p w14:paraId="62989AA1" w14:textId="77777777" w:rsidR="003521EE" w:rsidRPr="003D056E" w:rsidRDefault="003521EE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A2" w14:textId="77777777" w:rsidR="003521EE" w:rsidRPr="003D056E" w:rsidRDefault="003521EE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A3" w14:textId="77777777" w:rsidR="00D52FE9" w:rsidRPr="003D056E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hAnsi="Times New Roman" w:cs="Times New Roman"/>
          <w:sz w:val="24"/>
          <w:szCs w:val="24"/>
        </w:rPr>
        <w:t>Cilj</w:t>
      </w:r>
      <w:r w:rsidR="000014C2" w:rsidRPr="003D056E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0014C2" w:rsidRPr="001F5B8A">
        <w:rPr>
          <w:rStyle w:val="hps"/>
          <w:rFonts w:ascii="Times New Roman" w:hAnsi="Times New Roman" w:cs="Times New Roman"/>
          <w:sz w:val="24"/>
          <w:szCs w:val="24"/>
        </w:rPr>
        <w:t>(ako je primjenjivo, svrha i namjena)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poziva</w:t>
      </w:r>
    </w:p>
    <w:p w14:paraId="62989AA4" w14:textId="77777777" w:rsidR="003D056E" w:rsidRDefault="003D056E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6470C2E" w14:textId="4F99D0F6" w:rsidR="00EF4743" w:rsidRPr="00EF4743" w:rsidRDefault="00EF4743" w:rsidP="00EF474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F47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Cilj ovog postupka je usklađivanje aglomeracije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Jastrebarsko</w:t>
      </w:r>
      <w:r w:rsidRPr="00EF47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 Okvirnom direktivom o vodama (2000/60/EC) i Direktivom o pročišćavanju komunalnih otpadnih voda (91/271/EEZ) kako bi se postiglo i očuvalo dobro stanje voda radi zaštite života i zdravlja ljudi, te zaštite vodnih i o vodi ovisnih ekosustava.</w:t>
      </w:r>
    </w:p>
    <w:p w14:paraId="6EAAEA12" w14:textId="52A9A27C" w:rsidR="00EF4743" w:rsidRPr="006451CA" w:rsidRDefault="00E23FAC" w:rsidP="000D4AED">
      <w:pPr>
        <w:spacing w:before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Primarno, </w:t>
      </w:r>
      <w:r w:rsidR="00EF4743" w:rsidRPr="006451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Projekt obuhvaća </w:t>
      </w:r>
      <w:r w:rsidR="000D4AED" w:rsidRPr="006451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mjere rekonstrukcije i poboljšanja postojećeg sustava odvodnje kroz </w:t>
      </w:r>
      <w:r w:rsidR="00EF4743" w:rsidRPr="006451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01FF0">
        <w:rPr>
          <w:rFonts w:ascii="Times New Roman" w:eastAsia="Calibri" w:hAnsi="Times New Roman" w:cs="Times New Roman"/>
          <w:sz w:val="24"/>
          <w:szCs w:val="24"/>
          <w:lang w:eastAsia="en-US"/>
        </w:rPr>
        <w:t>izgradnju</w:t>
      </w:r>
      <w:r w:rsidR="000D4AED" w:rsidRPr="006451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 retencijska bazena, 2 kišna preljeva, 2 crpne stanice sa pripadnih 92 m tlačnih cjevovoda i rekonstrukciju 2695 m kanala</w:t>
      </w:r>
      <w:r w:rsidR="00EF4743" w:rsidRPr="006451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izgradnju </w:t>
      </w:r>
      <w:r w:rsidR="000D4AED" w:rsidRPr="006451CA">
        <w:rPr>
          <w:rFonts w:ascii="Times New Roman" w:eastAsia="Calibri" w:hAnsi="Times New Roman" w:cs="Times New Roman"/>
          <w:sz w:val="24"/>
          <w:szCs w:val="24"/>
          <w:lang w:eastAsia="en-US"/>
        </w:rPr>
        <w:t>novih 43,5 km gravitacijskih kolektora, 13 crpnih stanica i 651 m pripadajućih tlačnih cjevovoda</w:t>
      </w:r>
      <w:r w:rsidR="00EF4743" w:rsidRPr="006451C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F075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Također, planirana je mjera izgradnje sustava pročišćavanja otpadnih voda izgradnjom</w:t>
      </w:r>
      <w:r w:rsidR="00F075D0" w:rsidRPr="00F075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UPOV-a III. stupanja pročišćavanja</w:t>
      </w:r>
      <w:r w:rsidR="00F075D0">
        <w:rPr>
          <w:rFonts w:ascii="Times New Roman" w:eastAsia="Calibri" w:hAnsi="Times New Roman" w:cs="Times New Roman"/>
          <w:sz w:val="24"/>
          <w:szCs w:val="24"/>
          <w:lang w:eastAsia="en-US"/>
        </w:rPr>
        <w:t>, kapaciteta 14.965 ES</w:t>
      </w:r>
      <w:r w:rsidR="00F075D0" w:rsidRPr="00F075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C4B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koji će </w:t>
      </w:r>
      <w:r w:rsidR="00F075D0" w:rsidRPr="00F075D0">
        <w:rPr>
          <w:rFonts w:ascii="Times New Roman" w:eastAsia="Calibri" w:hAnsi="Times New Roman" w:cs="Times New Roman"/>
          <w:sz w:val="24"/>
          <w:szCs w:val="24"/>
          <w:lang w:eastAsia="en-US"/>
        </w:rPr>
        <w:t>osigurat</w:t>
      </w:r>
      <w:r w:rsidR="00FC4B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 </w:t>
      </w:r>
      <w:r w:rsidR="00F075D0" w:rsidRPr="00F075D0">
        <w:rPr>
          <w:rFonts w:ascii="Times New Roman" w:eastAsia="Calibri" w:hAnsi="Times New Roman" w:cs="Times New Roman"/>
          <w:sz w:val="24"/>
          <w:szCs w:val="24"/>
          <w:lang w:eastAsia="en-US"/>
        </w:rPr>
        <w:t>obradu vode do razine kako je definirano u OPKV Direktivi.</w:t>
      </w:r>
      <w:bookmarkStart w:id="0" w:name="_GoBack"/>
      <w:bookmarkEnd w:id="0"/>
    </w:p>
    <w:p w14:paraId="2DE29892" w14:textId="01566897" w:rsidR="00EF4743" w:rsidRPr="00EF4743" w:rsidRDefault="00EF4743" w:rsidP="00EF474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F47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Projektom se doprinosi ostvarivanju specifičnog cilja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6ii1:</w:t>
      </w:r>
      <w:r w:rsidRPr="00EF47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Unapređenje javnog vodoopskrbnog sustava sa svrhom osiguranja kvalitete i sigurnosti usluga opskrbe pitkom vodom kroz osiguranje dovoljne količine kvalitetne pitke vode i povećanje stope priključenosti stanovništva na javne sustave opskrbe pitkom vodom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,</w:t>
      </w:r>
      <w:r w:rsidR="0087230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i</w:t>
      </w:r>
      <w:r w:rsidR="0087230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EF47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6ii2: </w:t>
      </w:r>
      <w:r w:rsidRPr="00EF474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Razvoj sustava prikupljanja i obrade otpadnih voda s ciljem doprinosa poboljšanju stanja voda doprinoseći većoj stopi priključenosti stanovništva na javne sustave odvodnje i većoj količini otpadne vode koja se pročišćava na odgovarajućoj razini nakon prikupljanja</w:t>
      </w:r>
      <w:r w:rsidR="006451C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</w:t>
      </w:r>
      <w:r w:rsidRPr="00EF47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Operativnog programa „Konkurentnost i kohezija“ te provedbi obveza preuzetih tijekom procesa pregovora za pristupanje Republike Hrvatske u EU sadržanih u Ugovoru o pristupanju Republike Hrvatske Europskoj uniji te prenesenih u Višegodišnji program gradnje komunalnih vodnih građevina za razdoblje 2014</w:t>
      </w:r>
      <w:r w:rsidR="0087230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EF47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-2023.</w:t>
      </w:r>
    </w:p>
    <w:p w14:paraId="2C0E774D" w14:textId="77777777" w:rsidR="00EF4743" w:rsidRDefault="00EF4743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AB" w14:textId="77777777" w:rsidR="00D52FE9" w:rsidRPr="001F5B8A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hAnsi="Times New Roman" w:cs="Times New Roman"/>
          <w:sz w:val="24"/>
          <w:szCs w:val="24"/>
        </w:rPr>
        <w:t>Ukupna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raspoloživa sredstva</w:t>
      </w:r>
    </w:p>
    <w:p w14:paraId="62989AAC" w14:textId="77777777" w:rsidR="001F5B8A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5E6762F" w14:textId="77C3EF09" w:rsidR="006451CA" w:rsidRDefault="006451CA" w:rsidP="006451CA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6488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Ukupna raspoloživa </w:t>
      </w:r>
      <w:r w:rsidRPr="00FF38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bespovratna sredstva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Pr="00FF38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 Kohezijskog fonda za projekt 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</w:t>
      </w:r>
      <w:r w:rsidRPr="006451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ustav vodoopskrbe, odvodnje i pročišćavanja otpadnih voda aglomeracije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</w:t>
      </w:r>
      <w:r w:rsidRPr="006451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astrebarsko</w:t>
      </w:r>
      <w:r w:rsidRPr="00FF38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“ iznose </w:t>
      </w:r>
      <w:r w:rsidRPr="006451CA">
        <w:rPr>
          <w:rFonts w:ascii="Times New Roman" w:eastAsia="PMingLiU" w:hAnsi="Times New Roman" w:cs="Times New Roman"/>
          <w:color w:val="000000"/>
          <w:sz w:val="24"/>
          <w:szCs w:val="24"/>
          <w:lang w:eastAsia="en-US"/>
        </w:rPr>
        <w:t>97.836.673,60 kuna.</w:t>
      </w:r>
    </w:p>
    <w:p w14:paraId="62989AAE" w14:textId="77777777" w:rsidR="001F5B8A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AF" w14:textId="77777777" w:rsidR="001F5B8A" w:rsidRPr="001F5B8A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B0" w14:textId="77777777" w:rsidR="00D52FE9" w:rsidRPr="001F5B8A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hAnsi="Times New Roman" w:cs="Times New Roman"/>
          <w:sz w:val="24"/>
          <w:szCs w:val="24"/>
        </w:rPr>
        <w:t>Raspoloživa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sredstva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po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="009345F5" w:rsidRPr="003D056E">
        <w:rPr>
          <w:rStyle w:val="hps"/>
          <w:rFonts w:ascii="Times New Roman" w:hAnsi="Times New Roman" w:cs="Times New Roman"/>
          <w:sz w:val="24"/>
          <w:szCs w:val="24"/>
        </w:rPr>
        <w:t>prijavitelju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3D056E">
        <w:rPr>
          <w:rFonts w:ascii="Times New Roman" w:hAnsi="Times New Roman" w:cs="Times New Roman"/>
          <w:sz w:val="24"/>
          <w:szCs w:val="24"/>
        </w:rPr>
        <w:t xml:space="preserve">min.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–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56E">
        <w:rPr>
          <w:rStyle w:val="hps"/>
          <w:rFonts w:ascii="Times New Roman" w:hAnsi="Times New Roman" w:cs="Times New Roman"/>
          <w:sz w:val="24"/>
          <w:szCs w:val="24"/>
        </w:rPr>
        <w:t>maks</w:t>
      </w:r>
      <w:proofErr w:type="spellEnd"/>
      <w:r w:rsidRPr="003D056E">
        <w:rPr>
          <w:rStyle w:val="hps"/>
          <w:rFonts w:ascii="Times New Roman" w:hAnsi="Times New Roman" w:cs="Times New Roman"/>
          <w:sz w:val="24"/>
          <w:szCs w:val="24"/>
        </w:rPr>
        <w:t>.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iznos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ako je relevantno</w:t>
      </w:r>
      <w:r w:rsidR="00D52FE9" w:rsidRPr="003D056E">
        <w:rPr>
          <w:rFonts w:ascii="Times New Roman" w:hAnsi="Times New Roman" w:cs="Times New Roman"/>
          <w:sz w:val="24"/>
          <w:szCs w:val="24"/>
        </w:rPr>
        <w:t>)</w:t>
      </w:r>
    </w:p>
    <w:p w14:paraId="62989AB1" w14:textId="77777777" w:rsidR="001F5B8A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B2" w14:textId="77777777" w:rsidR="001F5B8A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Nije primjenjivo.</w:t>
      </w:r>
    </w:p>
    <w:p w14:paraId="62989AB3" w14:textId="77777777" w:rsidR="001F5B8A" w:rsidRPr="001F5B8A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B4" w14:textId="77777777" w:rsidR="00D52FE9" w:rsidRPr="001F5B8A" w:rsidRDefault="00440612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hAnsi="Times New Roman" w:cs="Times New Roman"/>
          <w:sz w:val="24"/>
          <w:szCs w:val="24"/>
        </w:rPr>
        <w:t>Predviđeni intenzitet potpore</w:t>
      </w:r>
    </w:p>
    <w:p w14:paraId="62989AB5" w14:textId="77777777" w:rsidR="001F5B8A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B6" w14:textId="32B629B3" w:rsidR="0031176E" w:rsidRDefault="0031176E" w:rsidP="0031176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117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Maksimalna  stopa  sufinanciranja  sredstvima  KF-a  iznosi  85%  od  iznosa  prihvatljivih izdataka. Za projekte koji ostvaruju prihode, iznos prihvatljivih izdataka utvrđuje se na temelju financijskog jaza izračunatog u skladu s metodološkim smjernicama sadržanim 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</w:t>
      </w:r>
      <w:r w:rsidRPr="003117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odiču za izradu analize troškova i koristi odnosno u skladu su s delegiranim aktima Komisije iz članka 61. stavka 3. Uredbe (EU) br. 1303/2013.</w:t>
      </w:r>
      <w:r w:rsidR="006451CA" w:rsidRPr="006451CA">
        <w:t xml:space="preserve"> </w:t>
      </w:r>
      <w:r w:rsidR="006451CA" w:rsidRPr="006451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Stopa sufinanciranja</w:t>
      </w:r>
      <w:r w:rsidR="00E0650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prihvatljivih troškova</w:t>
      </w:r>
      <w:r w:rsidR="006451CA" w:rsidRPr="006451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za projekt „</w:t>
      </w:r>
      <w:r w:rsidR="006451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</w:t>
      </w:r>
      <w:r w:rsidR="006451CA" w:rsidRPr="006451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ustav vodoopskrbe, odvodnje i pročišćavanja otpadnih voda aglomeracije </w:t>
      </w:r>
      <w:r w:rsidR="006451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</w:t>
      </w:r>
      <w:r w:rsidR="006451CA" w:rsidRPr="006451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astrebarsko“ iznosi </w:t>
      </w:r>
      <w:r w:rsidR="009D78D4" w:rsidRPr="009D78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72,25%</w:t>
      </w:r>
      <w:r w:rsidR="006451CA" w:rsidRPr="006451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62989AB7" w14:textId="77777777" w:rsidR="0031176E" w:rsidRDefault="0031176E" w:rsidP="00FC220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B8" w14:textId="77777777" w:rsidR="00FC220F" w:rsidRDefault="00FC220F" w:rsidP="00FC220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C22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Preostali dio sufinanciranja čini nacionalna komponenta sufinanciranja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koja se određuje prema modelu određenom Višegodišnjim</w:t>
      </w:r>
      <w:r w:rsidRPr="00FC22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program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om</w:t>
      </w:r>
      <w:r w:rsidRPr="00FC22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gradnje komunalnih vodnih građevina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koji je donijela Vlada RH (</w:t>
      </w:r>
      <w:r w:rsidRPr="00FC220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Odluka o donošenju Višegodišnjeg programa gradnje komunalnih vodnih građevina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 „Narodne novine“, broj 117/2015)</w:t>
      </w:r>
      <w:r w:rsidR="003117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62989AB9" w14:textId="77777777" w:rsidR="00CE0FA0" w:rsidRDefault="00CE0FA0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BA" w14:textId="77777777" w:rsidR="00CE0FA0" w:rsidRPr="001F5B8A" w:rsidRDefault="00CE0FA0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BB" w14:textId="77777777" w:rsidR="00D52FE9" w:rsidRPr="008757DD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hAnsi="Times New Roman" w:cs="Times New Roman"/>
          <w:sz w:val="24"/>
          <w:szCs w:val="24"/>
        </w:rPr>
        <w:t>Pr</w:t>
      </w:r>
      <w:r w:rsidR="000524BE" w:rsidRPr="003D056E">
        <w:rPr>
          <w:rStyle w:val="hps"/>
          <w:rFonts w:ascii="Times New Roman" w:hAnsi="Times New Roman" w:cs="Times New Roman"/>
          <w:sz w:val="24"/>
          <w:szCs w:val="24"/>
        </w:rPr>
        <w:t>i</w:t>
      </w:r>
      <w:r w:rsidR="00B9154C" w:rsidRPr="003D056E">
        <w:rPr>
          <w:rStyle w:val="hps"/>
          <w:rFonts w:ascii="Times New Roman" w:hAnsi="Times New Roman" w:cs="Times New Roman"/>
          <w:sz w:val="24"/>
          <w:szCs w:val="24"/>
        </w:rPr>
        <w:t>hvatljivi pr</w:t>
      </w:r>
      <w:r w:rsidR="00D52FE9" w:rsidRPr="003D056E">
        <w:rPr>
          <w:rStyle w:val="hps"/>
          <w:rFonts w:ascii="Times New Roman" w:hAnsi="Times New Roman" w:cs="Times New Roman"/>
          <w:sz w:val="24"/>
          <w:szCs w:val="24"/>
        </w:rPr>
        <w:t>ijavitelji</w:t>
      </w:r>
    </w:p>
    <w:p w14:paraId="62989ABC" w14:textId="77777777" w:rsidR="008757DD" w:rsidRDefault="008757DD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BD" w14:textId="6613C534" w:rsidR="005270CC" w:rsidRPr="005270CC" w:rsidRDefault="009D78D4" w:rsidP="005270CC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D78D4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Sukladno Operativnom programu „Konkurentnost i kohezija“ prihvatljivi prijavitelji unutar specifičnog cilja 6ii2 su javni isporučitelji vodnih usluga. Prihvatljivi prijavitelj za projekt</w:t>
      </w:r>
      <w:r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6451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</w:t>
      </w:r>
      <w:r w:rsidRPr="006451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ustav vodoopskrbe, odvodnje i pročišćavanja otpadnih voda aglomeracije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</w:t>
      </w:r>
      <w:r w:rsidRPr="006451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astrebarsko“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su</w:t>
      </w:r>
      <w:r w:rsidRPr="009D78D4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37247" w:rsidRPr="00137247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Vode Jastrebarsko d.o.o.</w:t>
      </w:r>
    </w:p>
    <w:p w14:paraId="62989ABE" w14:textId="77777777" w:rsidR="005270CC" w:rsidRDefault="005270CC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</w:p>
    <w:p w14:paraId="62989ABF" w14:textId="77777777" w:rsidR="008757DD" w:rsidRDefault="008757DD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C0" w14:textId="77777777" w:rsidR="00D52FE9" w:rsidRPr="008757DD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hAnsi="Times New Roman" w:cs="Times New Roman"/>
          <w:sz w:val="24"/>
          <w:szCs w:val="24"/>
        </w:rPr>
        <w:t>Prihvatljive aktivnosti</w:t>
      </w:r>
    </w:p>
    <w:p w14:paraId="62989AC1" w14:textId="77777777" w:rsidR="00FA5AE8" w:rsidRDefault="00FA5AE8" w:rsidP="00FA5AE8">
      <w:pPr>
        <w:tabs>
          <w:tab w:val="center" w:pos="4320"/>
          <w:tab w:val="right" w:pos="8640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</w:pPr>
    </w:p>
    <w:p w14:paraId="62989AC2" w14:textId="26BBA6E5" w:rsidR="00FA5AE8" w:rsidRPr="0094199B" w:rsidRDefault="00FA5AE8" w:rsidP="00FA5A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19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Aktivnosti koje su prihvatljive za financiranje kako bi se postigao cilj </w:t>
      </w:r>
      <w:r w:rsidR="000B5B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Poziva </w:t>
      </w:r>
      <w:r w:rsidRPr="009419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su:</w:t>
      </w:r>
    </w:p>
    <w:p w14:paraId="62989AC3" w14:textId="77777777" w:rsidR="00FA5AE8" w:rsidRPr="00FA5AE8" w:rsidRDefault="00FA5AE8" w:rsidP="00FA5A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lt-LT"/>
        </w:rPr>
      </w:pPr>
    </w:p>
    <w:p w14:paraId="2DD927BA" w14:textId="483C7C2A" w:rsidR="00506D35" w:rsidRDefault="00137247" w:rsidP="00137247">
      <w:pPr>
        <w:pStyle w:val="Odlomakpopisa"/>
        <w:numPr>
          <w:ilvl w:val="0"/>
          <w:numId w:val="12"/>
        </w:numPr>
        <w:tabs>
          <w:tab w:val="center" w:pos="4320"/>
          <w:tab w:val="right" w:pos="8640"/>
        </w:tabs>
        <w:spacing w:before="120" w:after="0" w:line="240" w:lineRule="auto"/>
        <w:ind w:left="426" w:hanging="426"/>
        <w:jc w:val="both"/>
        <w:rPr>
          <w:rStyle w:val="hps"/>
          <w:rFonts w:asciiTheme="majorBidi" w:hAnsiTheme="majorBidi" w:cstheme="majorBidi"/>
          <w:bCs/>
          <w:sz w:val="24"/>
          <w:szCs w:val="24"/>
          <w:lang w:eastAsia="ar-SA"/>
        </w:rPr>
      </w:pPr>
      <w:r w:rsidRPr="00137247">
        <w:rPr>
          <w:rStyle w:val="hps"/>
          <w:rFonts w:asciiTheme="majorBidi" w:hAnsiTheme="majorBidi" w:cstheme="majorBidi"/>
          <w:bCs/>
          <w:sz w:val="24"/>
          <w:szCs w:val="24"/>
          <w:lang w:eastAsia="ar-SA"/>
        </w:rPr>
        <w:t>mjere kojima se osigurava opskrba kvalitetnom vodom za piće</w:t>
      </w:r>
      <w:r w:rsidR="00506D35">
        <w:rPr>
          <w:rStyle w:val="hps"/>
          <w:rFonts w:asciiTheme="majorBidi" w:hAnsiTheme="majorBidi" w:cstheme="majorBidi"/>
          <w:bCs/>
          <w:sz w:val="24"/>
          <w:szCs w:val="24"/>
          <w:lang w:eastAsia="ar-SA"/>
        </w:rPr>
        <w:t>, odnosno osiguravaju dostane količine vode u periodima vršnog opterećenje kroz izgradnju vodosprema</w:t>
      </w:r>
      <w:r w:rsidR="00D44DA6">
        <w:rPr>
          <w:rStyle w:val="hps"/>
          <w:rFonts w:asciiTheme="majorBidi" w:hAnsiTheme="majorBidi" w:cstheme="majorBidi"/>
          <w:bCs/>
          <w:sz w:val="24"/>
          <w:szCs w:val="24"/>
          <w:lang w:eastAsia="ar-SA"/>
        </w:rPr>
        <w:t>;</w:t>
      </w:r>
    </w:p>
    <w:p w14:paraId="62989AC4" w14:textId="35A572DE" w:rsidR="005270CC" w:rsidRPr="00506D35" w:rsidRDefault="00FA5AE8" w:rsidP="00766E7A">
      <w:pPr>
        <w:pStyle w:val="Odlomakpopisa"/>
        <w:numPr>
          <w:ilvl w:val="0"/>
          <w:numId w:val="12"/>
        </w:numPr>
        <w:tabs>
          <w:tab w:val="center" w:pos="4320"/>
          <w:tab w:val="right" w:pos="8640"/>
        </w:tabs>
        <w:spacing w:before="120" w:after="0" w:line="240" w:lineRule="auto"/>
        <w:ind w:left="426" w:hanging="426"/>
        <w:jc w:val="both"/>
        <w:rPr>
          <w:rStyle w:val="hps"/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06D35">
        <w:rPr>
          <w:rStyle w:val="hps"/>
          <w:rFonts w:asciiTheme="majorBidi" w:hAnsiTheme="majorBidi" w:cstheme="majorBidi"/>
          <w:bCs/>
          <w:sz w:val="24"/>
          <w:szCs w:val="24"/>
          <w:lang w:eastAsia="ar-SA"/>
        </w:rPr>
        <w:t>mjere kojima se povećava priključenost stanovništva na javne sustave odvodnje izgradnjom</w:t>
      </w:r>
      <w:r w:rsidR="00506D35" w:rsidRPr="00506D35">
        <w:rPr>
          <w:rStyle w:val="hps"/>
          <w:rFonts w:asciiTheme="majorBidi" w:hAnsiTheme="majorBidi" w:cstheme="majorBidi"/>
          <w:bCs/>
          <w:sz w:val="24"/>
          <w:szCs w:val="24"/>
          <w:lang w:eastAsia="ar-SA"/>
        </w:rPr>
        <w:t xml:space="preserve"> i rekonstrukcijskom javnog </w:t>
      </w:r>
      <w:r w:rsidRPr="00506D35">
        <w:rPr>
          <w:rStyle w:val="hps"/>
          <w:rFonts w:asciiTheme="majorBidi" w:hAnsiTheme="majorBidi" w:cstheme="majorBidi"/>
          <w:bCs/>
          <w:sz w:val="24"/>
          <w:szCs w:val="24"/>
          <w:lang w:eastAsia="ar-SA"/>
        </w:rPr>
        <w:t>sustava odvodnje</w:t>
      </w:r>
      <w:r w:rsidR="00506D35" w:rsidRPr="00506D35">
        <w:rPr>
          <w:rStyle w:val="hps"/>
          <w:rFonts w:asciiTheme="majorBidi" w:hAnsiTheme="majorBidi" w:cstheme="majorBidi"/>
          <w:bCs/>
          <w:sz w:val="24"/>
          <w:szCs w:val="24"/>
          <w:lang w:eastAsia="ar-SA"/>
        </w:rPr>
        <w:t xml:space="preserve">. Mjere uključuju </w:t>
      </w:r>
      <w:r w:rsidRPr="00506D35">
        <w:rPr>
          <w:rStyle w:val="hps"/>
          <w:rFonts w:asciiTheme="majorBidi" w:hAnsiTheme="majorBidi" w:cstheme="majorBidi"/>
          <w:bCs/>
          <w:sz w:val="24"/>
          <w:szCs w:val="24"/>
          <w:lang w:eastAsia="ar-SA"/>
        </w:rPr>
        <w:t xml:space="preserve"> </w:t>
      </w:r>
      <w:r w:rsidR="00506D35" w:rsidRPr="00506D35">
        <w:rPr>
          <w:rStyle w:val="hps"/>
          <w:rFonts w:ascii="Times New Roman" w:hAnsi="Times New Roman" w:cs="Times New Roman"/>
          <w:bCs/>
          <w:sz w:val="24"/>
          <w:szCs w:val="24"/>
          <w:lang w:eastAsia="ar-SA"/>
        </w:rPr>
        <w:t xml:space="preserve">izgradnju gravitacijskih kolektora, crpnih stanica i pripadajućih tlačni cjevovoda, </w:t>
      </w:r>
      <w:proofErr w:type="spellStart"/>
      <w:r w:rsidR="00506D35" w:rsidRPr="00506D35">
        <w:rPr>
          <w:rStyle w:val="hps"/>
          <w:rFonts w:ascii="Times New Roman" w:hAnsi="Times New Roman" w:cs="Times New Roman"/>
          <w:bCs/>
          <w:sz w:val="24"/>
          <w:szCs w:val="24"/>
          <w:lang w:eastAsia="ar-SA"/>
        </w:rPr>
        <w:t>retencijskih</w:t>
      </w:r>
      <w:proofErr w:type="spellEnd"/>
      <w:r w:rsidR="00506D35" w:rsidRPr="00506D35">
        <w:rPr>
          <w:rStyle w:val="hps"/>
          <w:rFonts w:ascii="Times New Roman" w:hAnsi="Times New Roman" w:cs="Times New Roman"/>
          <w:bCs/>
          <w:sz w:val="24"/>
          <w:szCs w:val="24"/>
          <w:lang w:eastAsia="ar-SA"/>
        </w:rPr>
        <w:t xml:space="preserve"> bazena, kišnih preljeva i crpnih stanica, rekonstrukciju postojećih  kanala te nabavu </w:t>
      </w:r>
      <w:r w:rsidR="00506D35" w:rsidRPr="00506D35">
        <w:rPr>
          <w:rFonts w:ascii="Times New Roman" w:hAnsi="Times New Roman" w:cs="Times New Roman"/>
          <w:sz w:val="24"/>
          <w:szCs w:val="24"/>
        </w:rPr>
        <w:t>specijalnog kombiniranog vozila za čišćenje sustava odvodnje</w:t>
      </w:r>
      <w:r w:rsidRPr="00506D35">
        <w:rPr>
          <w:rStyle w:val="hps"/>
          <w:rFonts w:asciiTheme="majorBidi" w:hAnsiTheme="majorBidi" w:cstheme="majorBidi"/>
          <w:bCs/>
          <w:sz w:val="24"/>
          <w:szCs w:val="24"/>
          <w:lang w:eastAsia="ar-SA"/>
        </w:rPr>
        <w:t>;</w:t>
      </w:r>
    </w:p>
    <w:p w14:paraId="4C4455F0" w14:textId="2734790E" w:rsidR="00506D35" w:rsidRDefault="005270CC" w:rsidP="005270CC">
      <w:pPr>
        <w:pStyle w:val="Odlomakpopisa"/>
        <w:numPr>
          <w:ilvl w:val="0"/>
          <w:numId w:val="12"/>
        </w:numPr>
        <w:tabs>
          <w:tab w:val="center" w:pos="4320"/>
          <w:tab w:val="right" w:pos="8640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="00FA5AE8" w:rsidRPr="00FA5AE8">
        <w:rPr>
          <w:rFonts w:ascii="Times New Roman" w:eastAsia="Times New Roman" w:hAnsi="Times New Roman" w:cs="Times New Roman"/>
          <w:sz w:val="24"/>
          <w:szCs w:val="24"/>
          <w:lang w:eastAsia="lt-LT"/>
        </w:rPr>
        <w:t>zgradnja</w:t>
      </w:r>
      <w:r w:rsidR="00506D3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A5AE8" w:rsidRPr="00FA5AE8">
        <w:rPr>
          <w:rFonts w:ascii="Times New Roman" w:eastAsia="Times New Roman" w:hAnsi="Times New Roman" w:cs="Times New Roman"/>
          <w:sz w:val="24"/>
          <w:szCs w:val="24"/>
          <w:lang w:eastAsia="lt-LT"/>
        </w:rPr>
        <w:t>uređaja za pročišćavanje otpadnih voda</w:t>
      </w:r>
      <w:r w:rsidR="00D44DA6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62989AC6" w14:textId="7CE645FF" w:rsidR="00FA5AE8" w:rsidRDefault="00506D35" w:rsidP="00506D35">
      <w:pPr>
        <w:pStyle w:val="Odlomakpopisa"/>
        <w:numPr>
          <w:ilvl w:val="0"/>
          <w:numId w:val="12"/>
        </w:numPr>
        <w:tabs>
          <w:tab w:val="center" w:pos="4320"/>
          <w:tab w:val="right" w:pos="8640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nadzor građevinskih radova te promidžba i vidljivosti projekta</w:t>
      </w:r>
      <w:r w:rsidR="00D44DA6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62989AC7" w14:textId="77777777" w:rsidR="00FA5AE8" w:rsidRDefault="00FA5AE8" w:rsidP="00FA5AE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</w:p>
    <w:p w14:paraId="153160A3" w14:textId="77777777" w:rsidR="006A2A2B" w:rsidRDefault="006A2A2B" w:rsidP="00FA5AE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</w:p>
    <w:p w14:paraId="22551406" w14:textId="77777777" w:rsidR="006A2A2B" w:rsidRDefault="006A2A2B" w:rsidP="00FA5AE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</w:p>
    <w:p w14:paraId="34EDF69C" w14:textId="77777777" w:rsidR="006A2A2B" w:rsidRDefault="006A2A2B" w:rsidP="00FA5AE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</w:p>
    <w:p w14:paraId="62989AC8" w14:textId="77777777" w:rsidR="00D52FE9" w:rsidRPr="008757DD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hAnsi="Times New Roman" w:cs="Times New Roman"/>
          <w:sz w:val="24"/>
          <w:szCs w:val="24"/>
        </w:rPr>
        <w:lastRenderedPageBreak/>
        <w:t>Geografsk</w:t>
      </w:r>
      <w:r w:rsidR="000524BE" w:rsidRPr="003D056E">
        <w:rPr>
          <w:rStyle w:val="hps"/>
          <w:rFonts w:ascii="Times New Roman" w:hAnsi="Times New Roman" w:cs="Times New Roman"/>
          <w:sz w:val="24"/>
          <w:szCs w:val="24"/>
        </w:rPr>
        <w:t>a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ograničenja</w:t>
      </w:r>
      <w:r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Pr="003D056E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3D056E">
        <w:rPr>
          <w:rFonts w:ascii="Times New Roman" w:hAnsi="Times New Roman" w:cs="Times New Roman"/>
          <w:sz w:val="24"/>
          <w:szCs w:val="24"/>
        </w:rPr>
        <w:t>ako je primjenjivo</w:t>
      </w:r>
      <w:r w:rsidR="00D52FE9" w:rsidRPr="003D056E">
        <w:rPr>
          <w:rFonts w:ascii="Times New Roman" w:hAnsi="Times New Roman" w:cs="Times New Roman"/>
          <w:sz w:val="24"/>
          <w:szCs w:val="24"/>
        </w:rPr>
        <w:t>)</w:t>
      </w:r>
    </w:p>
    <w:p w14:paraId="62989AC9" w14:textId="77777777" w:rsidR="008757DD" w:rsidRDefault="008757DD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CA" w14:textId="1B454A27" w:rsidR="008757DD" w:rsidRDefault="008757DD" w:rsidP="00FA5AE8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 se provodi na podru</w:t>
      </w:r>
      <w:r w:rsidR="00C768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čju </w:t>
      </w:r>
      <w:r w:rsidR="00312F4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Zagrebačke</w:t>
      </w:r>
      <w:r w:rsidR="007A20F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županije konkretnije na području </w:t>
      </w:r>
      <w:r w:rsidR="00C768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aglomeracije</w:t>
      </w:r>
      <w:r w:rsidR="005270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3724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Jastrebarsko</w:t>
      </w:r>
      <w:r w:rsidR="00E0650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r w:rsidR="00E0650E" w:rsidRPr="00E0650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Grad Jastrebarsko, te prigradsk</w:t>
      </w:r>
      <w:r w:rsidR="00E0650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</w:t>
      </w:r>
      <w:r w:rsidR="00E0650E" w:rsidRPr="00E0650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naselja </w:t>
      </w:r>
      <w:r w:rsidR="00766E7A" w:rsidRPr="00766E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Cvetković, </w:t>
      </w:r>
      <w:proofErr w:type="spellStart"/>
      <w:r w:rsidR="00766E7A" w:rsidRPr="00766E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Čabdin</w:t>
      </w:r>
      <w:proofErr w:type="spellEnd"/>
      <w:r w:rsidR="00766E7A" w:rsidRPr="00766E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="00766E7A" w:rsidRPr="00766E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Domagović</w:t>
      </w:r>
      <w:proofErr w:type="spellEnd"/>
      <w:r w:rsidR="00766E7A" w:rsidRPr="00766E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Donja Reka, Donji </w:t>
      </w:r>
      <w:proofErr w:type="spellStart"/>
      <w:r w:rsidR="00766E7A" w:rsidRPr="00766E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Desinec</w:t>
      </w:r>
      <w:proofErr w:type="spellEnd"/>
      <w:r w:rsidR="00766E7A" w:rsidRPr="00766E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Gornja Reka, Gornji </w:t>
      </w:r>
      <w:proofErr w:type="spellStart"/>
      <w:r w:rsidR="00766E7A" w:rsidRPr="00766E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Desinec</w:t>
      </w:r>
      <w:proofErr w:type="spellEnd"/>
      <w:r w:rsidR="00766E7A" w:rsidRPr="00766E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="00766E7A" w:rsidRPr="00766E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Izimje</w:t>
      </w:r>
      <w:proofErr w:type="spellEnd"/>
      <w:r w:rsidR="00766E7A" w:rsidRPr="00766E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="00766E7A" w:rsidRPr="00766E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Novaki</w:t>
      </w:r>
      <w:proofErr w:type="spellEnd"/>
      <w:r w:rsidR="00766E7A" w:rsidRPr="00766E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="00766E7A" w:rsidRPr="00766E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Petrovinski</w:t>
      </w:r>
      <w:proofErr w:type="spellEnd"/>
      <w:r w:rsidR="00766E7A" w:rsidRPr="00766E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="00766E7A" w:rsidRPr="00766E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Prhoć</w:t>
      </w:r>
      <w:proofErr w:type="spellEnd"/>
      <w:r w:rsidR="00766E7A" w:rsidRPr="00766E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="00766E7A" w:rsidRPr="00766E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Volavje</w:t>
      </w:r>
      <w:proofErr w:type="spellEnd"/>
      <w:r w:rsidR="00766E7A" w:rsidRPr="00766E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 </w:t>
      </w:r>
      <w:proofErr w:type="spellStart"/>
      <w:r w:rsidR="00766E7A" w:rsidRPr="00766E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Zdihovo</w:t>
      </w:r>
      <w:proofErr w:type="spellEnd"/>
      <w:r w:rsidR="00E0650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="0064387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62989ACB" w14:textId="77777777" w:rsidR="008757DD" w:rsidRPr="008757DD" w:rsidRDefault="008757DD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CC" w14:textId="77777777" w:rsidR="003521EE" w:rsidRPr="003D056E" w:rsidRDefault="00B9154C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Style w:val="hps"/>
          <w:rFonts w:ascii="Times New Roman" w:hAnsi="Times New Roman" w:cs="Times New Roman"/>
          <w:sz w:val="24"/>
          <w:szCs w:val="24"/>
        </w:rPr>
        <w:t>Administrativni podaci</w:t>
      </w:r>
      <w:r w:rsidR="00D52FE9" w:rsidRPr="003D056E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BF18E3" w:rsidRPr="003D056E">
        <w:rPr>
          <w:rStyle w:val="hps"/>
          <w:rFonts w:ascii="Times New Roman" w:hAnsi="Times New Roman" w:cs="Times New Roman"/>
          <w:sz w:val="24"/>
          <w:szCs w:val="24"/>
        </w:rPr>
        <w:t>(rok</w:t>
      </w:r>
      <w:r w:rsidR="00BF18E3" w:rsidRPr="003D056E">
        <w:rPr>
          <w:rFonts w:ascii="Times New Roman" w:hAnsi="Times New Roman" w:cs="Times New Roman"/>
          <w:sz w:val="24"/>
          <w:szCs w:val="24"/>
        </w:rPr>
        <w:t xml:space="preserve">, </w:t>
      </w:r>
      <w:r w:rsidR="00BF18E3" w:rsidRPr="003D056E">
        <w:rPr>
          <w:rStyle w:val="hps"/>
          <w:rFonts w:ascii="Times New Roman" w:hAnsi="Times New Roman" w:cs="Times New Roman"/>
          <w:sz w:val="24"/>
          <w:szCs w:val="24"/>
        </w:rPr>
        <w:t>oblik</w:t>
      </w:r>
      <w:r w:rsidR="00BF18E3"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="00BF18E3" w:rsidRPr="003D056E">
        <w:rPr>
          <w:rStyle w:val="hps"/>
          <w:rFonts w:ascii="Times New Roman" w:hAnsi="Times New Roman" w:cs="Times New Roman"/>
          <w:sz w:val="24"/>
          <w:szCs w:val="24"/>
        </w:rPr>
        <w:t>i mjesto</w:t>
      </w:r>
      <w:r w:rsidR="00BF18E3" w:rsidRPr="003D056E">
        <w:rPr>
          <w:rFonts w:ascii="Times New Roman" w:hAnsi="Times New Roman" w:cs="Times New Roman"/>
          <w:sz w:val="24"/>
          <w:szCs w:val="24"/>
        </w:rPr>
        <w:t xml:space="preserve"> </w:t>
      </w:r>
      <w:r w:rsidR="00BF18E3" w:rsidRPr="003D056E">
        <w:rPr>
          <w:rStyle w:val="hps"/>
          <w:rFonts w:ascii="Times New Roman" w:hAnsi="Times New Roman" w:cs="Times New Roman"/>
          <w:sz w:val="24"/>
          <w:szCs w:val="24"/>
        </w:rPr>
        <w:t>(</w:t>
      </w:r>
      <w:r w:rsidR="00BF18E3" w:rsidRPr="003D056E">
        <w:rPr>
          <w:rFonts w:ascii="Times New Roman" w:hAnsi="Times New Roman" w:cs="Times New Roman"/>
          <w:sz w:val="24"/>
          <w:szCs w:val="24"/>
        </w:rPr>
        <w:t xml:space="preserve">ako je relevantno) </w:t>
      </w:r>
      <w:r w:rsidR="00BF18E3" w:rsidRPr="003D056E">
        <w:rPr>
          <w:rStyle w:val="hps"/>
          <w:rFonts w:ascii="Times New Roman" w:hAnsi="Times New Roman" w:cs="Times New Roman"/>
          <w:sz w:val="24"/>
          <w:szCs w:val="24"/>
        </w:rPr>
        <w:t>podnošenja</w:t>
      </w:r>
      <w:r w:rsidR="00BF18E3" w:rsidRPr="003D056E">
        <w:rPr>
          <w:rFonts w:ascii="Times New Roman" w:hAnsi="Times New Roman" w:cs="Times New Roman"/>
          <w:sz w:val="24"/>
          <w:szCs w:val="24"/>
        </w:rPr>
        <w:t>)</w:t>
      </w:r>
      <w:r w:rsidR="00BF18E3" w:rsidRPr="003D05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62989ACD" w14:textId="77777777" w:rsidR="003521EE" w:rsidRPr="003D056E" w:rsidRDefault="00BF18E3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D05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62989ACE" w14:textId="30CD44C1" w:rsidR="007A20FA" w:rsidRDefault="009D78D4" w:rsidP="009D78D4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D78D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 obzirom na to da se radi o izravnoj dodjeli bespovratnih sredstava za strateški projekt rok podnošenja projektnog prijedloga nije unaprijed definiran</w:t>
      </w:r>
      <w:r w:rsidR="00A4632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sectPr w:rsidR="007A20FA" w:rsidSect="00B016E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0767DE6" w15:done="0"/>
  <w15:commentEx w15:paraId="5568D3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46BC8" w14:textId="77777777" w:rsidR="00A26873" w:rsidRDefault="00A26873" w:rsidP="005B0573">
      <w:pPr>
        <w:spacing w:after="0" w:line="240" w:lineRule="auto"/>
      </w:pPr>
      <w:r>
        <w:separator/>
      </w:r>
    </w:p>
  </w:endnote>
  <w:endnote w:type="continuationSeparator" w:id="0">
    <w:p w14:paraId="4A691E88" w14:textId="77777777" w:rsidR="00A26873" w:rsidRDefault="00A26873" w:rsidP="005B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0156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14:paraId="62989AEF" w14:textId="7B517371" w:rsidR="0015724A" w:rsidRPr="008F77E5" w:rsidRDefault="0015724A">
        <w:pPr>
          <w:pStyle w:val="Podnoje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8F77E5">
          <w:rPr>
            <w:rFonts w:ascii="Times New Roman" w:hAnsi="Times New Roman" w:cs="Times New Roman"/>
            <w:sz w:val="18"/>
            <w:szCs w:val="18"/>
          </w:rPr>
          <w:t xml:space="preserve">Stranica </w:t>
        </w:r>
        <w:r w:rsidRPr="008F77E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8F77E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8F77E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D5B8E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8F77E5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62989AF0" w14:textId="77777777" w:rsidR="005B0573" w:rsidRDefault="005B057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65301" w14:textId="77777777" w:rsidR="00A26873" w:rsidRDefault="00A26873" w:rsidP="005B0573">
      <w:pPr>
        <w:spacing w:after="0" w:line="240" w:lineRule="auto"/>
      </w:pPr>
      <w:r>
        <w:separator/>
      </w:r>
    </w:p>
  </w:footnote>
  <w:footnote w:type="continuationSeparator" w:id="0">
    <w:p w14:paraId="66383FCD" w14:textId="77777777" w:rsidR="00A26873" w:rsidRDefault="00A26873" w:rsidP="005B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89AEE" w14:textId="7BA23427" w:rsidR="00522B99" w:rsidRPr="00CD2D6B" w:rsidRDefault="00596F12">
    <w:pPr>
      <w:pStyle w:val="Zaglavlje"/>
    </w:pPr>
    <w:bookmarkStart w:id="1" w:name="_Toc456362911"/>
    <w:bookmarkStart w:id="2" w:name="_Toc475441583"/>
    <w:bookmarkStart w:id="3" w:name="_Toc475707733"/>
    <w:bookmarkStart w:id="4" w:name="_Toc475707828"/>
    <w:bookmarkStart w:id="5" w:name="_Toc475707998"/>
    <w:bookmarkStart w:id="6" w:name="_Toc475708047"/>
    <w:bookmarkStart w:id="7" w:name="_Toc475708184"/>
    <w:r w:rsidRPr="00CC5842">
      <w:rPr>
        <w:noProof/>
      </w:rPr>
      <w:drawing>
        <wp:inline distT="0" distB="0" distL="0" distR="0" wp14:anchorId="18B7B6FA" wp14:editId="048F0EE5">
          <wp:extent cx="5760720" cy="1219835"/>
          <wp:effectExtent l="0" t="0" r="0" b="0"/>
          <wp:docPr id="8" name="Picture 8" descr="C:\Users\nsimunovic\AppData\Local\Temp\Temp1_MRRFEU pasice s logotipima.zip\MRRFEU pasice s logotipima\MRRFEU pasica logotipi M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simunovic\AppData\Local\Temp\Temp1_MRRFEU pasice s logotipima.zip\MRRFEU pasice s logotipima\MRRFEU pasica logotipi M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1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7F0"/>
    <w:multiLevelType w:val="hybridMultilevel"/>
    <w:tmpl w:val="43940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D5141"/>
    <w:multiLevelType w:val="hybridMultilevel"/>
    <w:tmpl w:val="DC72A6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C1872"/>
    <w:multiLevelType w:val="hybridMultilevel"/>
    <w:tmpl w:val="7ABE2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C0F4D"/>
    <w:multiLevelType w:val="hybridMultilevel"/>
    <w:tmpl w:val="70ACD736"/>
    <w:lvl w:ilvl="0" w:tplc="8C2AC944">
      <w:start w:val="1"/>
      <w:numFmt w:val="bullet"/>
      <w:lvlText w:val="–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C43B8"/>
    <w:multiLevelType w:val="hybridMultilevel"/>
    <w:tmpl w:val="3A44A790"/>
    <w:lvl w:ilvl="0" w:tplc="D5ACD388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8A6A3F"/>
    <w:multiLevelType w:val="hybridMultilevel"/>
    <w:tmpl w:val="43940FFA"/>
    <w:lvl w:ilvl="0" w:tplc="041A000F">
      <w:start w:val="1"/>
      <w:numFmt w:val="decimal"/>
      <w:lvlText w:val="%1."/>
      <w:lvlJc w:val="left"/>
      <w:pPr>
        <w:ind w:left="5464" w:hanging="360"/>
      </w:pPr>
    </w:lvl>
    <w:lvl w:ilvl="1" w:tplc="041A0019" w:tentative="1">
      <w:start w:val="1"/>
      <w:numFmt w:val="lowerLetter"/>
      <w:lvlText w:val="%2."/>
      <w:lvlJc w:val="left"/>
      <w:pPr>
        <w:ind w:left="6184" w:hanging="360"/>
      </w:pPr>
    </w:lvl>
    <w:lvl w:ilvl="2" w:tplc="041A001B" w:tentative="1">
      <w:start w:val="1"/>
      <w:numFmt w:val="lowerRoman"/>
      <w:lvlText w:val="%3."/>
      <w:lvlJc w:val="right"/>
      <w:pPr>
        <w:ind w:left="6904" w:hanging="180"/>
      </w:pPr>
    </w:lvl>
    <w:lvl w:ilvl="3" w:tplc="041A000F" w:tentative="1">
      <w:start w:val="1"/>
      <w:numFmt w:val="decimal"/>
      <w:lvlText w:val="%4."/>
      <w:lvlJc w:val="left"/>
      <w:pPr>
        <w:ind w:left="7624" w:hanging="360"/>
      </w:pPr>
    </w:lvl>
    <w:lvl w:ilvl="4" w:tplc="041A0019" w:tentative="1">
      <w:start w:val="1"/>
      <w:numFmt w:val="lowerLetter"/>
      <w:lvlText w:val="%5."/>
      <w:lvlJc w:val="left"/>
      <w:pPr>
        <w:ind w:left="8344" w:hanging="360"/>
      </w:pPr>
    </w:lvl>
    <w:lvl w:ilvl="5" w:tplc="041A001B" w:tentative="1">
      <w:start w:val="1"/>
      <w:numFmt w:val="lowerRoman"/>
      <w:lvlText w:val="%6."/>
      <w:lvlJc w:val="right"/>
      <w:pPr>
        <w:ind w:left="9064" w:hanging="180"/>
      </w:pPr>
    </w:lvl>
    <w:lvl w:ilvl="6" w:tplc="041A000F" w:tentative="1">
      <w:start w:val="1"/>
      <w:numFmt w:val="decimal"/>
      <w:lvlText w:val="%7."/>
      <w:lvlJc w:val="left"/>
      <w:pPr>
        <w:ind w:left="9784" w:hanging="360"/>
      </w:pPr>
    </w:lvl>
    <w:lvl w:ilvl="7" w:tplc="041A0019" w:tentative="1">
      <w:start w:val="1"/>
      <w:numFmt w:val="lowerLetter"/>
      <w:lvlText w:val="%8."/>
      <w:lvlJc w:val="left"/>
      <w:pPr>
        <w:ind w:left="10504" w:hanging="360"/>
      </w:pPr>
    </w:lvl>
    <w:lvl w:ilvl="8" w:tplc="041A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6">
    <w:nsid w:val="23007415"/>
    <w:multiLevelType w:val="hybridMultilevel"/>
    <w:tmpl w:val="4A225E16"/>
    <w:lvl w:ilvl="0" w:tplc="8C2AC944">
      <w:start w:val="1"/>
      <w:numFmt w:val="bullet"/>
      <w:lvlText w:val="–"/>
      <w:lvlJc w:val="left"/>
      <w:pPr>
        <w:ind w:left="705" w:hanging="705"/>
      </w:pPr>
      <w:rPr>
        <w:rFonts w:ascii="Lucida Sans Unicode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EC4970"/>
    <w:multiLevelType w:val="hybridMultilevel"/>
    <w:tmpl w:val="C7127B10"/>
    <w:lvl w:ilvl="0" w:tplc="5F92C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164C6"/>
    <w:multiLevelType w:val="hybridMultilevel"/>
    <w:tmpl w:val="2026B6CE"/>
    <w:lvl w:ilvl="0" w:tplc="082CE6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60A5B"/>
    <w:multiLevelType w:val="hybridMultilevel"/>
    <w:tmpl w:val="04F0E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C40A4"/>
    <w:multiLevelType w:val="hybridMultilevel"/>
    <w:tmpl w:val="21F4E9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87F02"/>
    <w:multiLevelType w:val="multilevel"/>
    <w:tmpl w:val="830852B6"/>
    <w:lvl w:ilvl="0">
      <w:start w:val="1"/>
      <w:numFmt w:val="bullet"/>
      <w:lvlText w:val="•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EE1FE9"/>
    <w:multiLevelType w:val="hybridMultilevel"/>
    <w:tmpl w:val="A816FC7E"/>
    <w:lvl w:ilvl="0" w:tplc="8C2AC944">
      <w:start w:val="1"/>
      <w:numFmt w:val="bullet"/>
      <w:lvlText w:val="–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B16295"/>
    <w:multiLevelType w:val="multilevel"/>
    <w:tmpl w:val="5C20C6EC"/>
    <w:lvl w:ilvl="0">
      <w:start w:val="1"/>
      <w:numFmt w:val="bullet"/>
      <w:lvlText w:val="–"/>
      <w:lvlJc w:val="left"/>
      <w:rPr>
        <w:rFonts w:ascii="Lucida Sans Unicode" w:hAnsi="Lucida Sans Unicod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11"/>
  </w:num>
  <w:num w:numId="9">
    <w:abstractNumId w:val="3"/>
  </w:num>
  <w:num w:numId="10">
    <w:abstractNumId w:val="13"/>
  </w:num>
  <w:num w:numId="11">
    <w:abstractNumId w:val="4"/>
  </w:num>
  <w:num w:numId="12">
    <w:abstractNumId w:val="6"/>
  </w:num>
  <w:num w:numId="13">
    <w:abstractNumId w:val="8"/>
  </w:num>
  <w:num w:numId="1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esna Benković">
    <w15:presenceInfo w15:providerId="AD" w15:userId="S-1-5-21-770633012-169110031-1155432073-2663"/>
  </w15:person>
  <w15:person w15:author="Damir Tomasović">
    <w15:presenceInfo w15:providerId="AD" w15:userId="S-1-5-21-770633012-169110031-1155432073-26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EE"/>
    <w:rsid w:val="000014C2"/>
    <w:rsid w:val="00024069"/>
    <w:rsid w:val="000524BE"/>
    <w:rsid w:val="000B5B8D"/>
    <w:rsid w:val="000D4AED"/>
    <w:rsid w:val="000D5B8E"/>
    <w:rsid w:val="00113B3E"/>
    <w:rsid w:val="001223EB"/>
    <w:rsid w:val="00137247"/>
    <w:rsid w:val="0015724A"/>
    <w:rsid w:val="00166373"/>
    <w:rsid w:val="001B1428"/>
    <w:rsid w:val="001B70AC"/>
    <w:rsid w:val="001E5546"/>
    <w:rsid w:val="001F5B8A"/>
    <w:rsid w:val="001F7BC0"/>
    <w:rsid w:val="00201FF0"/>
    <w:rsid w:val="00254D8F"/>
    <w:rsid w:val="00295613"/>
    <w:rsid w:val="002C4A89"/>
    <w:rsid w:val="002E2F01"/>
    <w:rsid w:val="0031176E"/>
    <w:rsid w:val="00312F44"/>
    <w:rsid w:val="003242C5"/>
    <w:rsid w:val="003418E7"/>
    <w:rsid w:val="003459DB"/>
    <w:rsid w:val="003521EE"/>
    <w:rsid w:val="00364007"/>
    <w:rsid w:val="00392DD3"/>
    <w:rsid w:val="003C0590"/>
    <w:rsid w:val="003D056E"/>
    <w:rsid w:val="003D5B3F"/>
    <w:rsid w:val="003F7B65"/>
    <w:rsid w:val="00401337"/>
    <w:rsid w:val="00401360"/>
    <w:rsid w:val="00440612"/>
    <w:rsid w:val="004D567C"/>
    <w:rsid w:val="00506D35"/>
    <w:rsid w:val="00522B99"/>
    <w:rsid w:val="005270CC"/>
    <w:rsid w:val="005653A4"/>
    <w:rsid w:val="00576E6F"/>
    <w:rsid w:val="00596F12"/>
    <w:rsid w:val="005B0573"/>
    <w:rsid w:val="005B5C42"/>
    <w:rsid w:val="005C2114"/>
    <w:rsid w:val="006349D0"/>
    <w:rsid w:val="00643873"/>
    <w:rsid w:val="006451CA"/>
    <w:rsid w:val="006A2A2B"/>
    <w:rsid w:val="006C51B4"/>
    <w:rsid w:val="006D0A85"/>
    <w:rsid w:val="006D1DA2"/>
    <w:rsid w:val="006D42A9"/>
    <w:rsid w:val="0073671B"/>
    <w:rsid w:val="00764691"/>
    <w:rsid w:val="00766E7A"/>
    <w:rsid w:val="007863F1"/>
    <w:rsid w:val="007A20FA"/>
    <w:rsid w:val="007C4022"/>
    <w:rsid w:val="007C580B"/>
    <w:rsid w:val="00827A0D"/>
    <w:rsid w:val="00845593"/>
    <w:rsid w:val="00852FB6"/>
    <w:rsid w:val="0087230E"/>
    <w:rsid w:val="008757DD"/>
    <w:rsid w:val="0088516F"/>
    <w:rsid w:val="008F2B21"/>
    <w:rsid w:val="008F4F92"/>
    <w:rsid w:val="008F77E5"/>
    <w:rsid w:val="00907BE6"/>
    <w:rsid w:val="009345F5"/>
    <w:rsid w:val="0094199B"/>
    <w:rsid w:val="009871B6"/>
    <w:rsid w:val="0099220A"/>
    <w:rsid w:val="009D78D4"/>
    <w:rsid w:val="00A06DD9"/>
    <w:rsid w:val="00A24C72"/>
    <w:rsid w:val="00A26873"/>
    <w:rsid w:val="00A46324"/>
    <w:rsid w:val="00A66C99"/>
    <w:rsid w:val="00A9176C"/>
    <w:rsid w:val="00A96FC4"/>
    <w:rsid w:val="00AB2D1A"/>
    <w:rsid w:val="00AC497C"/>
    <w:rsid w:val="00AD073A"/>
    <w:rsid w:val="00AE683B"/>
    <w:rsid w:val="00B016E1"/>
    <w:rsid w:val="00B82DED"/>
    <w:rsid w:val="00B9154C"/>
    <w:rsid w:val="00BF18E3"/>
    <w:rsid w:val="00BF2400"/>
    <w:rsid w:val="00BF42B9"/>
    <w:rsid w:val="00C15357"/>
    <w:rsid w:val="00C63AF7"/>
    <w:rsid w:val="00C76821"/>
    <w:rsid w:val="00CD2D6B"/>
    <w:rsid w:val="00CE0FA0"/>
    <w:rsid w:val="00D031B8"/>
    <w:rsid w:val="00D44DA6"/>
    <w:rsid w:val="00D52FE9"/>
    <w:rsid w:val="00D6176A"/>
    <w:rsid w:val="00DA75D6"/>
    <w:rsid w:val="00E0650E"/>
    <w:rsid w:val="00E23FAC"/>
    <w:rsid w:val="00E43FB9"/>
    <w:rsid w:val="00E90B11"/>
    <w:rsid w:val="00E9728C"/>
    <w:rsid w:val="00EA17C2"/>
    <w:rsid w:val="00EF21F1"/>
    <w:rsid w:val="00EF43BD"/>
    <w:rsid w:val="00EF4743"/>
    <w:rsid w:val="00EF5E58"/>
    <w:rsid w:val="00F075D0"/>
    <w:rsid w:val="00F538FF"/>
    <w:rsid w:val="00F91B96"/>
    <w:rsid w:val="00FA5ABD"/>
    <w:rsid w:val="00FA5AE8"/>
    <w:rsid w:val="00FC220F"/>
    <w:rsid w:val="00FC4B2B"/>
    <w:rsid w:val="00FE233F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89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0573"/>
  </w:style>
  <w:style w:type="paragraph" w:styleId="Podnoje">
    <w:name w:val="footer"/>
    <w:basedOn w:val="Normal"/>
    <w:link w:val="Podno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0573"/>
  </w:style>
  <w:style w:type="character" w:customStyle="1" w:styleId="hps">
    <w:name w:val="hps"/>
    <w:basedOn w:val="Zadanifontodlomka"/>
    <w:rsid w:val="00BF18E3"/>
  </w:style>
  <w:style w:type="paragraph" w:styleId="Tekstbalonia">
    <w:name w:val="Balloon Text"/>
    <w:basedOn w:val="Normal"/>
    <w:link w:val="TekstbaloniaChar"/>
    <w:uiPriority w:val="99"/>
    <w:semiHidden/>
    <w:unhideWhenUsed/>
    <w:rsid w:val="00B9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54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2FE9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506D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06D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06D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06D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06D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0573"/>
  </w:style>
  <w:style w:type="paragraph" w:styleId="Podnoje">
    <w:name w:val="footer"/>
    <w:basedOn w:val="Normal"/>
    <w:link w:val="Podno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0573"/>
  </w:style>
  <w:style w:type="character" w:customStyle="1" w:styleId="hps">
    <w:name w:val="hps"/>
    <w:basedOn w:val="Zadanifontodlomka"/>
    <w:rsid w:val="00BF18E3"/>
  </w:style>
  <w:style w:type="paragraph" w:styleId="Tekstbalonia">
    <w:name w:val="Balloon Text"/>
    <w:basedOn w:val="Normal"/>
    <w:link w:val="TekstbaloniaChar"/>
    <w:uiPriority w:val="99"/>
    <w:semiHidden/>
    <w:unhideWhenUsed/>
    <w:rsid w:val="00B9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54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2FE9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506D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06D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06D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06D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06D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F7EE1B0465440AF0ACCE46A41319A" ma:contentTypeVersion="0" ma:contentTypeDescription="Create a new document." ma:contentTypeScope="" ma:versionID="4792cdf78cbe67134adb6cd8790e62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F50DA-EEDE-494B-9B16-76BDCF8143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1EDFA8-AD05-4CCE-AB6F-861EBC1AB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EBBD96-5FEA-4559-86F9-2CE4038AD5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78DBC8-77B1-423D-9C3B-5A09E7D2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Goran Grgurić</cp:lastModifiedBy>
  <cp:revision>33</cp:revision>
  <cp:lastPrinted>2017-08-17T08:36:00Z</cp:lastPrinted>
  <dcterms:created xsi:type="dcterms:W3CDTF">2017-07-27T12:55:00Z</dcterms:created>
  <dcterms:modified xsi:type="dcterms:W3CDTF">2017-08-18T11:06:00Z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0x010100F8BF7EE1B0465440AF0ACCE46A41319A</vt:lpwstr>
  </property>
</Properties>
</file>