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B6" w:rsidRDefault="00554EB6" w:rsidP="00554EB6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Obrazac 2:</w:t>
      </w:r>
    </w:p>
    <w:p w:rsidR="00554EB6" w:rsidRDefault="00554EB6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 o istinitosti podataka, izbjegavanju dvostrukog financiranja i ispunjavanju preduvjeta za sudjelovanje u postupku 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Pr="0014602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6C3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izdaci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 iz bilo kojeg javnog izvora (uključujući iz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Europskih strukturnih i investicijskih fondova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isti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više od jednom (su)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financiran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nakon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potencijalno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uspješnog okončanja dvaju ili više postupaka dodjele bespovratnih sredstava.</w:t>
      </w:r>
    </w:p>
    <w:p w:rsidR="00C746C3" w:rsidRPr="0014602E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 niti dolje spominjane osobe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 točkama a) –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17C1" w:rsidRPr="0014602E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 koji ima poslovni </w:t>
      </w:r>
      <w:proofErr w:type="spellStart"/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prijavitelja/partnera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3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4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5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6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</w:t>
      </w:r>
      <w:r w:rsidRPr="0014602E">
        <w:lastRenderedPageBreak/>
        <w:t>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7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8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9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0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1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2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3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4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pranje novca ili financiranje terorizma, na temelju članka 98. (financiranje terorizma) i članka 265. (pranje novca) Kaznenog zakona (Narodne novine, broj </w:t>
      </w:r>
      <w:hyperlink r:id="rId25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6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7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8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279. (pranje novca) iz Kaznenog zakona (Narodne novine, broj 110/97., 27/98., 50/00., 129/00., 51/01., 111/03., 190/03., 105/04., 84/05., 71/06., 110/07., 152/08., 57/11., 77/11. i 143/12.);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dječji rad ili druge oblike trgovanja ljudima, na temelju članka 106. (trgovanje ljudima) Kaznenog zakona (Narodne novine, broj </w:t>
      </w:r>
      <w:hyperlink r:id="rId2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3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3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3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prijavitelj/osobe ovlaštene po zakonu za zastupanje proglašen krivim zbog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14602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</w:t>
      </w:r>
      <w:r w:rsidR="00B30414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 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Europskih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 su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u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zatraženi povrat ili su u postupku povrata sredstava prethodno dodijeljenih u drugom postupku dodjele bespovratnih sredstava iz bilo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kojeg javnog izvora (uključujući iz EU odnosno ESI fondova), za aktivnosti odnosno troškove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koji nisu izvršeni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B2D" w:rsidRDefault="00EC4B2D" w:rsidP="00EC4B2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C4B2D" w:rsidRPr="00EC4B2D" w:rsidRDefault="00EC4B2D" w:rsidP="00EC4B2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prijavitelju, kako je navedeno u članku 1., točka 4.a) Uredbe (EU)  br. 651/2014, temeljem prethodne odluke Komisije kojom se potpora proglašava protuzakonitom i nespojivom s unutarnjim tržištem, zatražen povrat sredstava </w:t>
      </w:r>
    </w:p>
    <w:p w:rsidR="002C17C1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Nadalje, potpisom izjave potvrđujem slijedeće:</w:t>
      </w:r>
    </w:p>
    <w:p w:rsidR="00554EB6" w:rsidRPr="00554EB6" w:rsidRDefault="00554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se PDV u računima za utvrđivanje opravdanih troškova Projekta koristi / ne koristi (odabrati) kao pretporez u obračunskom razdoblju i to dodatno potvrđujemo izjavom prijavitelja o njegovom statusu u sustavu PDV-a.</w:t>
      </w:r>
    </w:p>
    <w:p w:rsidR="001F3410" w:rsidRPr="00554EB6" w:rsidRDefault="001F3410" w:rsidP="001F341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Aktivnosti projekta se provode u razdoblju provedbe zadanom ovim pozivom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Projekt je spreman za početak provedbe aktivnosti projekta i njihov završetak u skladu s planom aktivnosti navedenim na </w:t>
      </w:r>
      <w:r w:rsidR="00023D1F">
        <w:rPr>
          <w:rFonts w:ascii="Times New Roman" w:eastAsia="Times New Roman" w:hAnsi="Times New Roman" w:cs="Times New Roman"/>
          <w:sz w:val="24"/>
          <w:szCs w:val="24"/>
        </w:rPr>
        <w:t>Prijavnom obrascu A</w:t>
      </w: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 i zadanim vremenskim okvirima za provedbu projekta definiranim u točki 1.5. Uputa za prijavitelje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će projekt biti provođen u skladu sa horizontalnim politikama EU te ostalim politikama Zajednice. Projekt ni u kojem slučaju neće dovoditi do diskriminacije na temelju spola, rasne ili etičke pripadnosti, religije ili vjere, invalidnosti, godina ili spolne orijentacije tijekom različitih faza provedbe projekta. Projekt je u  skladu s principima održivog razvoja i zaštite okoliša te stvoriti neutralan ili pozitivan utjecaj na okoliš;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se slažem da se podaci navedeni u prijavi mogu obraditi i pohraniti u računalnom sustavu praćenja i obavještavanja vezanog za strukturnu pomoć EU-a;</w:t>
      </w:r>
    </w:p>
    <w:p w:rsidR="00023D1F" w:rsidRPr="00577CB0" w:rsidRDefault="00023D1F" w:rsidP="00577CB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23D1F" w:rsidRDefault="00023D1F" w:rsidP="00577CB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t xml:space="preserve">Projekt se, na način opisan u projektnom prijedlogu, ne bi mogao provesti bez potpore iz OPKK (prijavitelj nema osigurana sredstva za provedbu projekta na način, u opsegu i vremenskom okviru kako je opisano u projektnom prijedlogu, odnosno potporom iz OPKK osigurava  se dodana vrijednost, bilo u opsegu ili kvaliteti aktivnosti, ili u pogledu vremena potrebnog za ostvarenje cilja/ciljeva projekta) </w:t>
      </w:r>
    </w:p>
    <w:p w:rsidR="00023D1F" w:rsidRPr="00577CB0" w:rsidRDefault="00023D1F" w:rsidP="0057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D1F" w:rsidRDefault="00023D1F" w:rsidP="00577CB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t>Projekt poštuje načelo nekumulativnosti (odnosno ne preds</w:t>
      </w:r>
      <w:r>
        <w:rPr>
          <w:rFonts w:ascii="Times New Roman" w:eastAsia="Times New Roman" w:hAnsi="Times New Roman" w:cs="Times New Roman"/>
          <w:sz w:val="24"/>
          <w:szCs w:val="24"/>
        </w:rPr>
        <w:t>tavlja dvostruko financiranje)</w:t>
      </w:r>
    </w:p>
    <w:p w:rsidR="00023D1F" w:rsidRPr="00577CB0" w:rsidRDefault="00023D1F" w:rsidP="00577CB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23D1F" w:rsidRPr="00577CB0" w:rsidRDefault="00023D1F" w:rsidP="00577CB0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lastRenderedPageBreak/>
        <w:t>Projekt je u skladu s nacionalnim propisima i propisima EU, uvažavajući pravila o državnim potporama/</w:t>
      </w:r>
      <w:proofErr w:type="spellStart"/>
      <w:r w:rsidRPr="00023D1F">
        <w:rPr>
          <w:rFonts w:ascii="Times New Roman" w:eastAsia="Times New Roman" w:hAnsi="Times New Roman" w:cs="Times New Roman"/>
          <w:sz w:val="24"/>
          <w:szCs w:val="24"/>
        </w:rPr>
        <w:t>potporama</w:t>
      </w:r>
      <w:proofErr w:type="spellEnd"/>
      <w:r w:rsidRPr="00023D1F">
        <w:rPr>
          <w:rFonts w:ascii="Times New Roman" w:eastAsia="Times New Roman" w:hAnsi="Times New Roman" w:cs="Times New Roman"/>
          <w:sz w:val="24"/>
          <w:szCs w:val="24"/>
        </w:rPr>
        <w:t xml:space="preserve"> male vrijednosti, i u skladu je sa specifičnim pravilima i zahtjevima primjenjivima na predmetnu dodjelu</w:t>
      </w:r>
    </w:p>
    <w:p w:rsidR="00023D1F" w:rsidRDefault="00023D1F" w:rsidP="00577CB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77CB0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potvrđuj</w:t>
      </w:r>
      <w:bookmarkStart w:id="0" w:name="_GoBack"/>
      <w:bookmarkEnd w:id="0"/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em i pristajem da osnovne informacije o prijavi (naziv prijavitelja, naziv projekta, naziv partnera, sažetak projekta, jedinstveni broj prijave i zatraženi iznos) mogu biti objavljeni na web stranici </w:t>
      </w:r>
      <w:hyperlink r:id="rId33" w:history="1">
        <w:r w:rsidRPr="00EC4B2D">
          <w:rPr>
            <w:rStyle w:val="Hyperlink"/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</w:rPr>
          <w:t>www.strukturnifondovi.hr</w:t>
        </w:r>
      </w:hyperlink>
      <w:r w:rsidR="00EC4B2D" w:rsidRPr="00EC4B2D">
        <w:rPr>
          <w:rStyle w:val="Hyperlink"/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EC4B2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54EB6" w:rsidRPr="0014602E" w:rsidRDefault="00554EB6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dodatnosti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984C9C" w:rsidRPr="00577CB0" w:rsidRDefault="00984C9C" w:rsidP="00984C9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B0">
        <w:rPr>
          <w:rFonts w:ascii="Times New Roman" w:eastAsia="Times New Roman" w:hAnsi="Times New Roman" w:cs="Times New Roman"/>
          <w:sz w:val="24"/>
          <w:szCs w:val="24"/>
        </w:rPr>
        <w:t>Poštujući načela ekonomičnosti, učinkovitosti i djelotvornosti, potvrđujem da sam u mogućnosti provesti projekt pravovremeno i u skladu sa zahtjevima utvrđenima u Uputama za prijavitelje. Potvrđujem da ću osigurati učinkovitu uporabu sredstava u skladu sa navedenim načelima te načelom dobrog financijskog upravljanja.</w:t>
      </w:r>
    </w:p>
    <w:p w:rsidR="00984C9C" w:rsidRPr="00577CB0" w:rsidRDefault="00984C9C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B0">
        <w:rPr>
          <w:rFonts w:ascii="Times New Roman" w:eastAsia="Times New Roman" w:hAnsi="Times New Roman" w:cs="Times New Roman"/>
          <w:sz w:val="24"/>
          <w:szCs w:val="24"/>
        </w:rPr>
        <w:t>Potvrđujem da ću osigurati održivost projekta i projektnih rezultata te trajnost projekta tijekom 5 (pet) godina od završnog plaćanja.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54EB6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815D76" w:rsidRPr="0014602E">
        <w:rPr>
          <w:rFonts w:ascii="Times New Roman" w:eastAsia="Times New Roman" w:hAnsi="Times New Roman" w:cs="Times New Roman"/>
          <w:sz w:val="24"/>
          <w:szCs w:val="24"/>
        </w:rPr>
        <w:t xml:space="preserve">za to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propisane kazne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sankcije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27" w:rsidRDefault="00F65F27" w:rsidP="00EC4A16">
      <w:pPr>
        <w:spacing w:after="0" w:line="240" w:lineRule="auto"/>
      </w:pPr>
      <w:r>
        <w:separator/>
      </w:r>
    </w:p>
  </w:endnote>
  <w:endnote w:type="continuationSeparator" w:id="0">
    <w:p w:rsidR="00F65F27" w:rsidRDefault="00F65F2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C4B2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C4B2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27" w:rsidRDefault="00F65F27" w:rsidP="00EC4A16">
      <w:pPr>
        <w:spacing w:after="0" w:line="240" w:lineRule="auto"/>
      </w:pPr>
      <w:r>
        <w:separator/>
      </w:r>
    </w:p>
  </w:footnote>
  <w:footnote w:type="continuationSeparator" w:id="0">
    <w:p w:rsidR="00F65F27" w:rsidRDefault="00F65F27" w:rsidP="00EC4A16">
      <w:pPr>
        <w:spacing w:after="0" w:line="240" w:lineRule="auto"/>
      </w:pPr>
      <w:r>
        <w:continuationSeparator/>
      </w:r>
    </w:p>
  </w:footnote>
  <w:footnote w:id="1">
    <w:p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Prijavitelj, kao potencijalni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Korisnik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u postupku dodjele bespovratnih sredstava,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potpisuje </w:t>
      </w:r>
      <w:r w:rsidR="008B42E0" w:rsidRPr="0014602E">
        <w:rPr>
          <w:rFonts w:eastAsiaTheme="minorEastAsia"/>
          <w:noProof w:val="0"/>
          <w:sz w:val="18"/>
          <w:szCs w:val="18"/>
          <w:lang w:eastAsia="hr-HR"/>
        </w:rPr>
        <w:t xml:space="preserve">Izjavu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prilikom podnošenja projektnog prijedloga.</w:t>
      </w:r>
    </w:p>
  </w:footnote>
  <w:footnote w:id="2">
    <w:p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:rsidR="00B30414" w:rsidRDefault="00B304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C227F"/>
    <w:multiLevelType w:val="hybridMultilevel"/>
    <w:tmpl w:val="FEC6895A"/>
    <w:lvl w:ilvl="0" w:tplc="4DD45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17"/>
  </w:num>
  <w:num w:numId="14">
    <w:abstractNumId w:val="22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3"/>
  </w:num>
  <w:num w:numId="21">
    <w:abstractNumId w:val="23"/>
  </w:num>
  <w:num w:numId="22">
    <w:abstractNumId w:val="9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3D1F"/>
    <w:rsid w:val="000254D9"/>
    <w:rsid w:val="00041744"/>
    <w:rsid w:val="000427C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37433"/>
    <w:rsid w:val="00142EEA"/>
    <w:rsid w:val="001434E2"/>
    <w:rsid w:val="0014602E"/>
    <w:rsid w:val="00160BF8"/>
    <w:rsid w:val="00166250"/>
    <w:rsid w:val="001677AC"/>
    <w:rsid w:val="0017692C"/>
    <w:rsid w:val="00177E58"/>
    <w:rsid w:val="00182930"/>
    <w:rsid w:val="00197C5F"/>
    <w:rsid w:val="001B564C"/>
    <w:rsid w:val="001F22EA"/>
    <w:rsid w:val="001F3410"/>
    <w:rsid w:val="00201472"/>
    <w:rsid w:val="002204CD"/>
    <w:rsid w:val="0025561A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5139"/>
    <w:rsid w:val="0034536A"/>
    <w:rsid w:val="00352104"/>
    <w:rsid w:val="00376552"/>
    <w:rsid w:val="00383930"/>
    <w:rsid w:val="003869A6"/>
    <w:rsid w:val="00391575"/>
    <w:rsid w:val="00395321"/>
    <w:rsid w:val="003C60CF"/>
    <w:rsid w:val="003E3836"/>
    <w:rsid w:val="003E3D3A"/>
    <w:rsid w:val="003E68DC"/>
    <w:rsid w:val="003F1477"/>
    <w:rsid w:val="00422C7D"/>
    <w:rsid w:val="004247C4"/>
    <w:rsid w:val="004263FE"/>
    <w:rsid w:val="00444504"/>
    <w:rsid w:val="004509A8"/>
    <w:rsid w:val="00460789"/>
    <w:rsid w:val="00464415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9D5"/>
    <w:rsid w:val="00506288"/>
    <w:rsid w:val="005157BC"/>
    <w:rsid w:val="005176D5"/>
    <w:rsid w:val="005400B8"/>
    <w:rsid w:val="00544299"/>
    <w:rsid w:val="00544B37"/>
    <w:rsid w:val="005458AE"/>
    <w:rsid w:val="00551A73"/>
    <w:rsid w:val="00554EB6"/>
    <w:rsid w:val="00557335"/>
    <w:rsid w:val="00557E86"/>
    <w:rsid w:val="00564147"/>
    <w:rsid w:val="00571BDD"/>
    <w:rsid w:val="00575256"/>
    <w:rsid w:val="00577CB0"/>
    <w:rsid w:val="00591ABF"/>
    <w:rsid w:val="00592E3E"/>
    <w:rsid w:val="00597556"/>
    <w:rsid w:val="005A349F"/>
    <w:rsid w:val="005C2A98"/>
    <w:rsid w:val="005F42BA"/>
    <w:rsid w:val="00601DE6"/>
    <w:rsid w:val="006112B5"/>
    <w:rsid w:val="00641B94"/>
    <w:rsid w:val="0064609E"/>
    <w:rsid w:val="00666573"/>
    <w:rsid w:val="00671D71"/>
    <w:rsid w:val="006754F1"/>
    <w:rsid w:val="00675B8A"/>
    <w:rsid w:val="00683AE5"/>
    <w:rsid w:val="006975D5"/>
    <w:rsid w:val="006A3858"/>
    <w:rsid w:val="006A567E"/>
    <w:rsid w:val="006E0DC7"/>
    <w:rsid w:val="006F2DF5"/>
    <w:rsid w:val="006F4746"/>
    <w:rsid w:val="0070722A"/>
    <w:rsid w:val="00722776"/>
    <w:rsid w:val="007255AD"/>
    <w:rsid w:val="0072778E"/>
    <w:rsid w:val="0075633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527"/>
    <w:rsid w:val="00817C7E"/>
    <w:rsid w:val="00823BAB"/>
    <w:rsid w:val="00830E77"/>
    <w:rsid w:val="0083290B"/>
    <w:rsid w:val="00834AC2"/>
    <w:rsid w:val="008445DA"/>
    <w:rsid w:val="00845F0C"/>
    <w:rsid w:val="00865D3D"/>
    <w:rsid w:val="00866F03"/>
    <w:rsid w:val="008924FD"/>
    <w:rsid w:val="00894854"/>
    <w:rsid w:val="008B42E0"/>
    <w:rsid w:val="008D421D"/>
    <w:rsid w:val="0090490B"/>
    <w:rsid w:val="009116EF"/>
    <w:rsid w:val="00913FA6"/>
    <w:rsid w:val="009248FD"/>
    <w:rsid w:val="009534DC"/>
    <w:rsid w:val="00954908"/>
    <w:rsid w:val="00966853"/>
    <w:rsid w:val="00973005"/>
    <w:rsid w:val="0098132E"/>
    <w:rsid w:val="00984C9C"/>
    <w:rsid w:val="00991718"/>
    <w:rsid w:val="009A6771"/>
    <w:rsid w:val="009C1DEC"/>
    <w:rsid w:val="009C31AF"/>
    <w:rsid w:val="009C7E41"/>
    <w:rsid w:val="009D52A2"/>
    <w:rsid w:val="009E29E2"/>
    <w:rsid w:val="009E68AE"/>
    <w:rsid w:val="009E6FA6"/>
    <w:rsid w:val="009F004E"/>
    <w:rsid w:val="009F4BB7"/>
    <w:rsid w:val="00A10C02"/>
    <w:rsid w:val="00A13176"/>
    <w:rsid w:val="00A13ADD"/>
    <w:rsid w:val="00A25DFA"/>
    <w:rsid w:val="00A2679B"/>
    <w:rsid w:val="00A31144"/>
    <w:rsid w:val="00A3557E"/>
    <w:rsid w:val="00A50085"/>
    <w:rsid w:val="00A55030"/>
    <w:rsid w:val="00A556CC"/>
    <w:rsid w:val="00A56B4C"/>
    <w:rsid w:val="00A715DE"/>
    <w:rsid w:val="00A76609"/>
    <w:rsid w:val="00A771E3"/>
    <w:rsid w:val="00A82740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07C77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75A21"/>
    <w:rsid w:val="00C93B4F"/>
    <w:rsid w:val="00C9412B"/>
    <w:rsid w:val="00CA07B3"/>
    <w:rsid w:val="00CA65F6"/>
    <w:rsid w:val="00CB2C75"/>
    <w:rsid w:val="00CC0689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83255"/>
    <w:rsid w:val="00D90345"/>
    <w:rsid w:val="00D91A20"/>
    <w:rsid w:val="00DA19AF"/>
    <w:rsid w:val="00DA596E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17C"/>
    <w:rsid w:val="00EA6501"/>
    <w:rsid w:val="00EC4A16"/>
    <w:rsid w:val="00EC4B2D"/>
    <w:rsid w:val="00EC5FCA"/>
    <w:rsid w:val="00EE1EB3"/>
    <w:rsid w:val="00EE5B30"/>
    <w:rsid w:val="00EF200A"/>
    <w:rsid w:val="00F006F6"/>
    <w:rsid w:val="00F040F7"/>
    <w:rsid w:val="00F14AE7"/>
    <w:rsid w:val="00F239D2"/>
    <w:rsid w:val="00F33796"/>
    <w:rsid w:val="00F532A7"/>
    <w:rsid w:val="00F53E56"/>
    <w:rsid w:val="00F61FB6"/>
    <w:rsid w:val="00F65F27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1B125A2498&amp;Ver=1" TargetMode="External"/><Relationship Id="rId18" Type="http://schemas.openxmlformats.org/officeDocument/2006/relationships/hyperlink" Target="http://www.iusinfo.hr/Publication/Content.aspx?Sopi=NN2012B144A3076&amp;Ver=2" TargetMode="External"/><Relationship Id="rId26" Type="http://schemas.openxmlformats.org/officeDocument/2006/relationships/hyperlink" Target="http://www.iusinfo.hr/Publication/Content.aspx?Sopi=NN2012B144A3076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125A2498&amp;Ver=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5B61A1188&amp;Ver=4" TargetMode="External"/><Relationship Id="rId17" Type="http://schemas.openxmlformats.org/officeDocument/2006/relationships/hyperlink" Target="http://www.iusinfo.hr/Publication/Content.aspx?Sopi=NN2011B125A2498&amp;Ver=1" TargetMode="External"/><Relationship Id="rId25" Type="http://schemas.openxmlformats.org/officeDocument/2006/relationships/hyperlink" Target="http://www.iusinfo.hr/Publication/Content.aspx?Sopi=NN2011B125A2498&amp;Ver=1" TargetMode="External"/><Relationship Id="rId33" Type="http://schemas.openxmlformats.org/officeDocument/2006/relationships/hyperlink" Target="http://www.strukturnifondov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5B61A1188&amp;Ver=4" TargetMode="External"/><Relationship Id="rId20" Type="http://schemas.openxmlformats.org/officeDocument/2006/relationships/hyperlink" Target="http://www.iusinfo.hr/Publication/Content.aspx?Sopi=NN2015B61A1188&amp;Ver=4" TargetMode="External"/><Relationship Id="rId29" Type="http://schemas.openxmlformats.org/officeDocument/2006/relationships/hyperlink" Target="http://www.iusinfo.hr/Publication/Content.aspx?Sopi=NN2011B125A2498&amp;V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5B56A1095&amp;Ver=3" TargetMode="External"/><Relationship Id="rId24" Type="http://schemas.openxmlformats.org/officeDocument/2006/relationships/hyperlink" Target="http://www.iusinfo.hr/Publication/Content.aspx?Sopi=NN2015B61A1188&amp;Ver=4" TargetMode="External"/><Relationship Id="rId32" Type="http://schemas.openxmlformats.org/officeDocument/2006/relationships/hyperlink" Target="http://www.iusinfo.hr/Publication/Content.aspx?Sopi=NN2015B61A1188&amp;Ver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5B56A1095&amp;Ver=3" TargetMode="External"/><Relationship Id="rId23" Type="http://schemas.openxmlformats.org/officeDocument/2006/relationships/hyperlink" Target="http://www.iusinfo.hr/Publication/Content.aspx?Sopi=NN2015B56A1095&amp;Ver=3" TargetMode="External"/><Relationship Id="rId28" Type="http://schemas.openxmlformats.org/officeDocument/2006/relationships/hyperlink" Target="http://www.iusinfo.hr/Publication/Content.aspx?Sopi=NN2015B61A1188&amp;Ver=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12B144A3076&amp;Ver=2" TargetMode="External"/><Relationship Id="rId19" Type="http://schemas.openxmlformats.org/officeDocument/2006/relationships/hyperlink" Target="http://www.iusinfo.hr/Publication/Content.aspx?Sopi=NN2015B56A1095&amp;Ver=3" TargetMode="External"/><Relationship Id="rId31" Type="http://schemas.openxmlformats.org/officeDocument/2006/relationships/hyperlink" Target="http://www.iusinfo.hr/Publication/Content.aspx?Sopi=NN2015B56A1095&amp;Ver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hr/Publication/Content.aspx?Sopi=NN2011B125A2498&amp;Ver=1" TargetMode="External"/><Relationship Id="rId14" Type="http://schemas.openxmlformats.org/officeDocument/2006/relationships/hyperlink" Target="http://www.iusinfo.hr/Publication/Content.aspx?Sopi=NN2012B144A3076&amp;Ver=2" TargetMode="External"/><Relationship Id="rId22" Type="http://schemas.openxmlformats.org/officeDocument/2006/relationships/hyperlink" Target="http://www.iusinfo.hr/Publication/Content.aspx?Sopi=NN2012B144A3076&amp;Ver=2" TargetMode="External"/><Relationship Id="rId27" Type="http://schemas.openxmlformats.org/officeDocument/2006/relationships/hyperlink" Target="http://www.iusinfo.hr/Publication/Content.aspx?Sopi=NN2015B56A1095&amp;Ver=3" TargetMode="External"/><Relationship Id="rId30" Type="http://schemas.openxmlformats.org/officeDocument/2006/relationships/hyperlink" Target="http://www.iusinfo.hr/Publication/Content.aspx?Sopi=NN2012B144A3076&amp;Ver=2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33D0-9283-4EAA-B412-699E9740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13</cp:revision>
  <cp:lastPrinted>2017-03-27T08:52:00Z</cp:lastPrinted>
  <dcterms:created xsi:type="dcterms:W3CDTF">2017-08-01T08:35:00Z</dcterms:created>
  <dcterms:modified xsi:type="dcterms:W3CDTF">2017-10-13T12:51:00Z</dcterms:modified>
</cp:coreProperties>
</file>