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FDB1" w14:textId="77777777" w:rsidR="007874FC" w:rsidRDefault="007874FC"/>
    <w:p w14:paraId="5FC071B6" w14:textId="77777777" w:rsidR="00871A0C" w:rsidRDefault="00871A0C"/>
    <w:p w14:paraId="1D8C37E9" w14:textId="19E39C68" w:rsidR="0016404E" w:rsidRPr="00412ECC" w:rsidRDefault="0016404E">
      <w:pPr>
        <w:rPr>
          <w:b/>
        </w:rPr>
      </w:pPr>
      <w:r w:rsidRPr="00412ECC">
        <w:rPr>
          <w:b/>
        </w:rPr>
        <w:t xml:space="preserve">Pitanja </w:t>
      </w:r>
      <w:r w:rsidR="00C0716C" w:rsidRPr="00412ECC">
        <w:rPr>
          <w:b/>
        </w:rPr>
        <w:t>postavljena na radionici u okviru Poziva</w:t>
      </w:r>
      <w:r w:rsidRPr="00412ECC">
        <w:rPr>
          <w:b/>
        </w:rPr>
        <w:t xml:space="preserve"> „</w:t>
      </w:r>
      <w:r w:rsidR="009A0166" w:rsidRPr="00412ECC">
        <w:rPr>
          <w:b/>
        </w:rPr>
        <w:t xml:space="preserve">Kultura u centru – potpora razvoju javno-civilnog partnerstva u kulturi“, </w:t>
      </w:r>
      <w:r w:rsidR="00C0716C" w:rsidRPr="00412ECC">
        <w:rPr>
          <w:b/>
        </w:rPr>
        <w:t>Split, 9. siječnja 2018.</w:t>
      </w:r>
    </w:p>
    <w:tbl>
      <w:tblPr>
        <w:tblStyle w:val="TableGrid"/>
        <w:tblW w:w="9351" w:type="dxa"/>
        <w:tblLayout w:type="fixed"/>
        <w:tblLook w:val="04A0" w:firstRow="1" w:lastRow="0" w:firstColumn="1" w:lastColumn="0" w:noHBand="0" w:noVBand="1"/>
      </w:tblPr>
      <w:tblGrid>
        <w:gridCol w:w="562"/>
        <w:gridCol w:w="3260"/>
        <w:gridCol w:w="5529"/>
      </w:tblGrid>
      <w:tr w:rsidR="00882410" w:rsidRPr="00412ECC" w14:paraId="1A380D53" w14:textId="77777777" w:rsidTr="00882410">
        <w:trPr>
          <w:trHeight w:val="346"/>
        </w:trPr>
        <w:tc>
          <w:tcPr>
            <w:tcW w:w="562" w:type="dxa"/>
            <w:shd w:val="pct15" w:color="auto" w:fill="auto"/>
          </w:tcPr>
          <w:p w14:paraId="2A7EC7A5" w14:textId="77777777" w:rsidR="00882410" w:rsidRPr="00412ECC" w:rsidRDefault="00882410" w:rsidP="005B17E0">
            <w:pPr>
              <w:rPr>
                <w:rFonts w:cstheme="minorHAnsi"/>
                <w:b/>
              </w:rPr>
            </w:pPr>
            <w:r w:rsidRPr="00412ECC">
              <w:rPr>
                <w:rFonts w:cstheme="minorHAnsi"/>
                <w:b/>
              </w:rPr>
              <w:t>Br.</w:t>
            </w:r>
          </w:p>
        </w:tc>
        <w:tc>
          <w:tcPr>
            <w:tcW w:w="3260" w:type="dxa"/>
            <w:shd w:val="pct15" w:color="auto" w:fill="auto"/>
          </w:tcPr>
          <w:p w14:paraId="7DF65FF8" w14:textId="77777777" w:rsidR="00882410" w:rsidRPr="00412ECC" w:rsidRDefault="00882410" w:rsidP="005B17E0">
            <w:pPr>
              <w:rPr>
                <w:b/>
                <w:lang w:val="en-US"/>
              </w:rPr>
            </w:pPr>
            <w:r w:rsidRPr="00412ECC">
              <w:rPr>
                <w:b/>
                <w:lang w:val="en-US"/>
              </w:rPr>
              <w:t>PITANJE</w:t>
            </w:r>
          </w:p>
        </w:tc>
        <w:tc>
          <w:tcPr>
            <w:tcW w:w="5529" w:type="dxa"/>
            <w:shd w:val="pct15" w:color="auto" w:fill="auto"/>
          </w:tcPr>
          <w:p w14:paraId="6FCCADE5" w14:textId="77777777" w:rsidR="00882410" w:rsidRPr="00412ECC" w:rsidRDefault="00882410" w:rsidP="005B17E0">
            <w:pPr>
              <w:pStyle w:val="FootnoteText"/>
              <w:rPr>
                <w:rFonts w:asciiTheme="minorHAnsi" w:eastAsiaTheme="minorHAnsi" w:hAnsiTheme="minorHAnsi" w:cstheme="minorBidi"/>
                <w:b/>
                <w:sz w:val="22"/>
                <w:szCs w:val="22"/>
                <w:lang w:val="hr-HR" w:eastAsia="en-US"/>
              </w:rPr>
            </w:pPr>
            <w:r w:rsidRPr="00412ECC">
              <w:rPr>
                <w:rFonts w:asciiTheme="minorHAnsi" w:eastAsiaTheme="minorHAnsi" w:hAnsiTheme="minorHAnsi" w:cstheme="minorBidi"/>
                <w:b/>
                <w:sz w:val="22"/>
                <w:szCs w:val="22"/>
                <w:lang w:val="hr-HR" w:eastAsia="en-US"/>
              </w:rPr>
              <w:t>ODGOVOR</w:t>
            </w:r>
          </w:p>
        </w:tc>
      </w:tr>
      <w:tr w:rsidR="00882410" w:rsidRPr="00412ECC" w14:paraId="79B52B6B" w14:textId="77777777" w:rsidTr="00882410">
        <w:tc>
          <w:tcPr>
            <w:tcW w:w="562" w:type="dxa"/>
          </w:tcPr>
          <w:p w14:paraId="7363E89D" w14:textId="77777777" w:rsidR="00882410" w:rsidRPr="00412ECC" w:rsidRDefault="00882410" w:rsidP="005B17E0">
            <w:pPr>
              <w:rPr>
                <w:rFonts w:cstheme="minorHAnsi"/>
              </w:rPr>
            </w:pPr>
            <w:r w:rsidRPr="00412ECC">
              <w:rPr>
                <w:rFonts w:cstheme="minorHAnsi"/>
              </w:rPr>
              <w:t>1</w:t>
            </w:r>
          </w:p>
        </w:tc>
        <w:tc>
          <w:tcPr>
            <w:tcW w:w="3260" w:type="dxa"/>
          </w:tcPr>
          <w:p w14:paraId="0053A3F7" w14:textId="12984D12" w:rsidR="00882410" w:rsidRPr="00412ECC" w:rsidRDefault="00882410" w:rsidP="000510D3">
            <w:r w:rsidRPr="00412ECC">
              <w:t>Planira se oformljivanje saveza udruga za provedbu aktivnosti u okviru ovog Poziva, vrijede li za taj savez udruga isti uvjeti kao i za partnere? Odnosno, mora li taj savez udruga biti registriran najmanje 12 mjeseci?</w:t>
            </w:r>
          </w:p>
        </w:tc>
        <w:tc>
          <w:tcPr>
            <w:tcW w:w="5529" w:type="dxa"/>
          </w:tcPr>
          <w:p w14:paraId="23C5E37E" w14:textId="385476AA" w:rsidR="00882410" w:rsidRPr="00412ECC" w:rsidRDefault="00882410" w:rsidP="00703F15">
            <w:pPr>
              <w:rPr>
                <w:bCs/>
              </w:rPr>
            </w:pPr>
            <w:r w:rsidRPr="00412ECC">
              <w:rPr>
                <w:bCs/>
              </w:rPr>
              <w:t xml:space="preserve">Da. Ukoliko je savez udruga prijavitelj ili partner na projektnom prijedlogu, na njega se primjenjuju svi uvjeti navedeni u točki 2.2 </w:t>
            </w:r>
            <w:r w:rsidRPr="00412ECC">
              <w:rPr>
                <w:bCs/>
                <w:i/>
              </w:rPr>
              <w:t>Uvjeti prihvatljivosti prijavitelja/ partnera</w:t>
            </w:r>
            <w:r w:rsidRPr="00412ECC">
              <w:rPr>
                <w:bCs/>
              </w:rPr>
              <w:t xml:space="preserve"> Uputa za prijavitelje.</w:t>
            </w:r>
          </w:p>
        </w:tc>
      </w:tr>
      <w:tr w:rsidR="00882410" w:rsidRPr="00F21646" w14:paraId="165E161E" w14:textId="77777777" w:rsidTr="00882410">
        <w:trPr>
          <w:trHeight w:val="218"/>
        </w:trPr>
        <w:tc>
          <w:tcPr>
            <w:tcW w:w="562" w:type="dxa"/>
          </w:tcPr>
          <w:p w14:paraId="364F9D82" w14:textId="77777777" w:rsidR="00882410" w:rsidRPr="00412ECC" w:rsidRDefault="00882410" w:rsidP="00D33FD9">
            <w:pPr>
              <w:rPr>
                <w:rFonts w:cstheme="minorHAnsi"/>
              </w:rPr>
            </w:pPr>
            <w:r w:rsidRPr="00412ECC">
              <w:rPr>
                <w:rFonts w:cstheme="minorHAnsi"/>
              </w:rPr>
              <w:t>2</w:t>
            </w:r>
          </w:p>
        </w:tc>
        <w:tc>
          <w:tcPr>
            <w:tcW w:w="3260" w:type="dxa"/>
          </w:tcPr>
          <w:p w14:paraId="1838032A" w14:textId="2B106A3D" w:rsidR="00882410" w:rsidRPr="00412ECC" w:rsidRDefault="00882410" w:rsidP="000510D3">
            <w:pPr>
              <w:spacing w:after="240"/>
            </w:pPr>
            <w:r w:rsidRPr="00412ECC">
              <w:t>U Gradu X postoji niz udruga koje se bave umjetnošću i kulturom, ali ni jedna ne postoji više od 12 mjeseci. Istovremeno, Grad X je u kategoriji gradova s više od 10.000 prema posljednjem popisu stanovništva, no u međuvremenu se broj stanovnika nedvojbeno smanjio. Stoga, vezano uz uvjete prihvatljivosti prijavitelja, postoji li mogućnost da se oni izmjene?</w:t>
            </w:r>
          </w:p>
        </w:tc>
        <w:tc>
          <w:tcPr>
            <w:tcW w:w="5529" w:type="dxa"/>
          </w:tcPr>
          <w:p w14:paraId="61E9A799" w14:textId="1F6B4759" w:rsidR="00882410" w:rsidRPr="00412ECC" w:rsidRDefault="00882410" w:rsidP="001F2C38">
            <w:r w:rsidRPr="00412ECC">
              <w:t xml:space="preserve">Ne planira se izmjena natječajne </w:t>
            </w:r>
            <w:r w:rsidRPr="00F21646">
              <w:t>dokumentacije u tom dijelu.  Izvor provjere prihvatljivosti prijavitelja - jedinice lokalne samouprave, s obzirom na broj stanovnika, je službena evidencija Državnog zavoda za statistiku temeljena na rezultatima popisa stanovništva iz 2011. (</w:t>
            </w:r>
            <w:hyperlink r:id="rId6" w:history="1">
              <w:r w:rsidRPr="00412ECC">
                <w:rPr>
                  <w:rStyle w:val="Hyperlink"/>
                </w:rPr>
                <w:t>https://www.dzs.hr/hrv/censuses/census2011/results/htm/H01_01_03/H01_01_03.html</w:t>
              </w:r>
            </w:hyperlink>
            <w:r w:rsidRPr="00412ECC">
              <w:t xml:space="preserve"> ). </w:t>
            </w:r>
          </w:p>
          <w:p w14:paraId="6E679222" w14:textId="56DE2EE8" w:rsidR="00882410" w:rsidRPr="00F21646" w:rsidRDefault="00882410" w:rsidP="001D45BA">
            <w:r w:rsidRPr="00F21646">
              <w:t xml:space="preserve">Uvjet registracije 12 mjeseci proizlazi iz složenosti aktivnosti i iznosa bespovratnih sredstava koji će se dodjeljivati temeljem ovog Poziva. </w:t>
            </w:r>
          </w:p>
        </w:tc>
      </w:tr>
      <w:tr w:rsidR="00882410" w:rsidRPr="00F21646" w14:paraId="2737D195" w14:textId="77777777" w:rsidTr="00882410">
        <w:tc>
          <w:tcPr>
            <w:tcW w:w="562" w:type="dxa"/>
          </w:tcPr>
          <w:p w14:paraId="328348CD" w14:textId="66C5C940" w:rsidR="00882410" w:rsidRPr="00F21646" w:rsidRDefault="00882410" w:rsidP="00D33FD9">
            <w:pPr>
              <w:rPr>
                <w:rFonts w:cstheme="minorHAnsi"/>
              </w:rPr>
            </w:pPr>
            <w:r w:rsidRPr="00F21646">
              <w:rPr>
                <w:rFonts w:cstheme="minorHAnsi"/>
              </w:rPr>
              <w:t>3</w:t>
            </w:r>
          </w:p>
        </w:tc>
        <w:tc>
          <w:tcPr>
            <w:tcW w:w="3260" w:type="dxa"/>
          </w:tcPr>
          <w:p w14:paraId="62D64FA6" w14:textId="64F9D59A" w:rsidR="00882410" w:rsidRPr="00F21646" w:rsidRDefault="00882410" w:rsidP="00ED4AC8">
            <w:r w:rsidRPr="00F21646">
              <w:t xml:space="preserve">U publikaciji Zaklade „Kultura Nova“, </w:t>
            </w:r>
            <w:r w:rsidRPr="00F21646">
              <w:rPr>
                <w:i/>
              </w:rPr>
              <w:t>Radna bilježnica za društveno-kulturne centre</w:t>
            </w:r>
            <w:r w:rsidRPr="00F21646">
              <w:t xml:space="preserve"> navodi se 5 modela civilno-javnog partnerstva (str. 63.). Konkretno, naša organizacija bi dobila od grada na korištenje određenu infrastrukturu (bivši dom kulture). S obzirom na navedeno, potpada li naš oblik partnerstva pod model suradničkog upravljanja ili su moguće različite kombinacije navedenih modela?</w:t>
            </w:r>
          </w:p>
        </w:tc>
        <w:tc>
          <w:tcPr>
            <w:tcW w:w="5529" w:type="dxa"/>
          </w:tcPr>
          <w:p w14:paraId="1389C42E" w14:textId="1A17F923" w:rsidR="00882410" w:rsidRPr="00F21646" w:rsidRDefault="00882410" w:rsidP="00382AE0">
            <w:r w:rsidRPr="00F21646">
              <w:t>Svaki prijavitelj, zajedno s partnerima i uz obavezno uključivanje lokalne zajednice, razvija vlastiti model sudioničkog upravljanja kao odgovor na specifične probleme i potrebe lokalnog konteksta. Navedeni problemi i potrebe trebaju biti jasno obrazloženi u projektnoj prijavi.</w:t>
            </w:r>
            <w:r w:rsidRPr="00F21646">
              <w:rPr>
                <w:b/>
              </w:rPr>
              <w:t xml:space="preserve"> </w:t>
            </w:r>
            <w:r w:rsidRPr="00F21646">
              <w:t xml:space="preserve">Nije nužno da se prijavitelj svrstava ili u potpunosti uklapa u jedan od modela navedenih u </w:t>
            </w:r>
            <w:r w:rsidRPr="00F21646">
              <w:rPr>
                <w:i/>
              </w:rPr>
              <w:t>Radnoj bilježnici za društveno-kulturne centre</w:t>
            </w:r>
            <w:r w:rsidRPr="00F21646">
              <w:t>.</w:t>
            </w:r>
          </w:p>
        </w:tc>
      </w:tr>
      <w:tr w:rsidR="00882410" w:rsidRPr="00F21646" w14:paraId="533E2FED" w14:textId="77777777" w:rsidTr="00882410">
        <w:tc>
          <w:tcPr>
            <w:tcW w:w="562" w:type="dxa"/>
          </w:tcPr>
          <w:p w14:paraId="237015CD" w14:textId="77777777" w:rsidR="00882410" w:rsidRPr="00F21646" w:rsidRDefault="00882410" w:rsidP="005B17E0">
            <w:pPr>
              <w:rPr>
                <w:rFonts w:cstheme="minorHAnsi"/>
              </w:rPr>
            </w:pPr>
            <w:r w:rsidRPr="00F21646">
              <w:rPr>
                <w:rFonts w:cstheme="minorHAnsi"/>
              </w:rPr>
              <w:t>4</w:t>
            </w:r>
          </w:p>
        </w:tc>
        <w:tc>
          <w:tcPr>
            <w:tcW w:w="3260" w:type="dxa"/>
          </w:tcPr>
          <w:p w14:paraId="1345E475" w14:textId="62BC49B4" w:rsidR="00882410" w:rsidRPr="00F21646" w:rsidRDefault="00882410" w:rsidP="001F2C38">
            <w:r w:rsidRPr="00F21646">
              <w:t>Udrugama s otoka, kojima aktivnosti uvelike ovise o dobu godine, vrlo je važno precizno planirati provođenje aktivnosti. Nastavno na to, u kojem mjesecu možemo očekivati donošenje Odluke o financiranju u okviru ovog Poziva?</w:t>
            </w:r>
          </w:p>
        </w:tc>
        <w:tc>
          <w:tcPr>
            <w:tcW w:w="5529" w:type="dxa"/>
          </w:tcPr>
          <w:p w14:paraId="2DEF5FE2" w14:textId="41CCF858" w:rsidR="00882410" w:rsidRPr="00F21646" w:rsidRDefault="00882410" w:rsidP="00522622">
            <w:pPr>
              <w:pStyle w:val="FootnoteText"/>
              <w:rPr>
                <w:rFonts w:asciiTheme="minorHAnsi" w:eastAsiaTheme="minorHAnsi" w:hAnsiTheme="minorHAnsi" w:cstheme="minorBidi"/>
                <w:sz w:val="22"/>
                <w:szCs w:val="22"/>
                <w:lang w:val="hr-HR" w:eastAsia="en-US"/>
              </w:rPr>
            </w:pPr>
            <w:r w:rsidRPr="00F21646">
              <w:rPr>
                <w:rFonts w:asciiTheme="minorHAnsi" w:eastAsia="Times New Roman" w:hAnsiTheme="minorHAnsi" w:cstheme="minorBidi"/>
                <w:noProof/>
                <w:sz w:val="22"/>
                <w:szCs w:val="22"/>
                <w:lang w:val="hr-HR" w:eastAsia="en-US"/>
              </w:rPr>
              <w:t>Donošenje Odluke o financiranju bit će u najkraćem mogućem roku, sukladno mogućnostima te postupcima propisanima za dodjelu bespovratnih sredstava.</w:t>
            </w:r>
          </w:p>
        </w:tc>
      </w:tr>
      <w:tr w:rsidR="00882410" w:rsidRPr="00F21646" w14:paraId="495BACF7" w14:textId="77777777" w:rsidTr="00882410">
        <w:tc>
          <w:tcPr>
            <w:tcW w:w="562" w:type="dxa"/>
          </w:tcPr>
          <w:p w14:paraId="13C1743D" w14:textId="77777777" w:rsidR="00882410" w:rsidRPr="00F21646" w:rsidRDefault="00882410" w:rsidP="005B17E0">
            <w:pPr>
              <w:rPr>
                <w:rFonts w:cstheme="minorHAnsi"/>
              </w:rPr>
            </w:pPr>
            <w:r w:rsidRPr="00F21646">
              <w:rPr>
                <w:rFonts w:cstheme="minorHAnsi"/>
              </w:rPr>
              <w:t>5</w:t>
            </w:r>
          </w:p>
        </w:tc>
        <w:tc>
          <w:tcPr>
            <w:tcW w:w="3260" w:type="dxa"/>
          </w:tcPr>
          <w:p w14:paraId="48FF3230" w14:textId="77777777" w:rsidR="00716CEC" w:rsidRDefault="00882410" w:rsidP="00412ECC">
            <w:pPr>
              <w:shd w:val="clear" w:color="auto" w:fill="FFFFFF"/>
            </w:pPr>
            <w:r w:rsidRPr="00F21646">
              <w:t xml:space="preserve">U okviru projektnog prijedloga u skupini aktivnosti A, u kojem bi jedinica lokalne samouprave </w:t>
            </w:r>
            <w:r w:rsidRPr="00F21646">
              <w:lastRenderedPageBreak/>
              <w:t xml:space="preserve">nastupila kao prijavitelj, planira se adaptacija prostora knjižnice. Knjižnicu je osnovala jedinica lokalne samouprave, a ista je podružnica županijske knjižnice. </w:t>
            </w:r>
          </w:p>
          <w:p w14:paraId="401DB949" w14:textId="68ACC73B" w:rsidR="00882410" w:rsidRPr="00412ECC" w:rsidRDefault="00882410" w:rsidP="00412ECC">
            <w:pPr>
              <w:shd w:val="clear" w:color="auto" w:fill="FFFFFF"/>
            </w:pPr>
            <w:r w:rsidRPr="00412ECC">
              <w:t>Kako postupiti s tom knjižnicom u okviru navedenog projektnog prijedloga</w:t>
            </w:r>
            <w:bookmarkStart w:id="0" w:name="_GoBack"/>
            <w:bookmarkEnd w:id="0"/>
            <w:r w:rsidRPr="00412ECC">
              <w:t>?</w:t>
            </w:r>
          </w:p>
        </w:tc>
        <w:tc>
          <w:tcPr>
            <w:tcW w:w="5529" w:type="dxa"/>
          </w:tcPr>
          <w:p w14:paraId="6724FF97" w14:textId="77777777" w:rsidR="00882410" w:rsidRPr="00F21646" w:rsidRDefault="00882410" w:rsidP="00B21A80">
            <w:r w:rsidRPr="00F21646">
              <w:lastRenderedPageBreak/>
              <w:t xml:space="preserve">Ako je prostor knjižnice u vlasništvu jedinice lokalne samouprave koja je prijavitelj na ovaj Poziv (što se dokazuje zemljišnoknjižnim izvatkom), troškovi </w:t>
            </w:r>
            <w:r w:rsidRPr="00F21646">
              <w:lastRenderedPageBreak/>
              <w:t xml:space="preserve">građevinskih radova u svrhu adaptacije prostora su prihvatljivi u skupini aktivnosti A. Napominjemo da troškovi adaptacije, zajedno s troškovima nabave opreme za provedbu projektnih aktivnosti, mogu zajedno iznositi </w:t>
            </w:r>
            <w:r w:rsidRPr="00F21646">
              <w:rPr>
                <w:u w:val="single"/>
              </w:rPr>
              <w:t>najviše 30 %</w:t>
            </w:r>
            <w:r w:rsidRPr="00F21646">
              <w:t xml:space="preserve"> vrijednosti projekta. </w:t>
            </w:r>
          </w:p>
          <w:p w14:paraId="4A33934A" w14:textId="77777777" w:rsidR="00882410" w:rsidRPr="00F21646" w:rsidRDefault="00882410" w:rsidP="00B21A80">
            <w:r w:rsidRPr="00F21646">
              <w:t xml:space="preserve">Također napominjemo da su prihvatljivi isključivo troškovi adaptacije </w:t>
            </w:r>
            <w:r w:rsidRPr="00F21646">
              <w:rPr>
                <w:rStyle w:val="Bez"/>
                <w:color w:val="000000"/>
                <w:u w:color="000000"/>
              </w:rPr>
              <w:t>prostora društveno-kulturnih centara u kojima se provode projektne aktivnosti</w:t>
            </w:r>
            <w:r w:rsidRPr="00F21646">
              <w:t xml:space="preserve"> odnosno one javne infrastrukture na koju se odnosi izrada modela sudioničkog upravljanja/u kojoj se implementira model sudioničkog upravljanja. </w:t>
            </w:r>
          </w:p>
          <w:p w14:paraId="4F59F6BE" w14:textId="37A664AF" w:rsidR="00882410" w:rsidRPr="00F21646" w:rsidRDefault="00882410" w:rsidP="00B21A80">
            <w:r w:rsidRPr="00F21646">
              <w:t xml:space="preserve">Projektni prijedlozi u okviru skupine aktivnosti A moraju sadržavati sve elemente navedene u točci 3.3 </w:t>
            </w:r>
            <w:r w:rsidRPr="00F21646">
              <w:rPr>
                <w:i/>
              </w:rPr>
              <w:t>Prihvatljive aktivnosti</w:t>
            </w:r>
            <w:r w:rsidRPr="00F21646">
              <w:t xml:space="preserve"> Uputa za prijavitelje.</w:t>
            </w:r>
          </w:p>
        </w:tc>
      </w:tr>
      <w:tr w:rsidR="00882410" w:rsidRPr="00F21646" w14:paraId="5414D5CC" w14:textId="77777777" w:rsidTr="00882410">
        <w:tc>
          <w:tcPr>
            <w:tcW w:w="562" w:type="dxa"/>
          </w:tcPr>
          <w:p w14:paraId="5D0766AE" w14:textId="77777777" w:rsidR="00882410" w:rsidRPr="00F21646" w:rsidRDefault="00882410" w:rsidP="005B17E0">
            <w:pPr>
              <w:rPr>
                <w:rFonts w:cstheme="minorHAnsi"/>
              </w:rPr>
            </w:pPr>
            <w:r w:rsidRPr="00F21646">
              <w:rPr>
                <w:rFonts w:cstheme="minorHAnsi"/>
              </w:rPr>
              <w:lastRenderedPageBreak/>
              <w:t>6</w:t>
            </w:r>
          </w:p>
        </w:tc>
        <w:tc>
          <w:tcPr>
            <w:tcW w:w="3260" w:type="dxa"/>
          </w:tcPr>
          <w:p w14:paraId="51CCDEEF" w14:textId="2D8258DF" w:rsidR="00882410" w:rsidRPr="00F21646" w:rsidRDefault="00882410" w:rsidP="00082D44">
            <w:r w:rsidRPr="00F21646">
              <w:t>Molimo pojašnjenje ograničenja od 200.000 HRK koji se odnosi na troškove plaća za koje se ne treba provesti postupak javne nabave. Primjenjuje li se to pojedinačno na svakog partnera (kao udio plaća koji svaki partner može imati u cjelokupnom proračunu) ili na ukupni iznos troškova plaća u okviru cjelokupnog projektnog prijedloga?</w:t>
            </w:r>
          </w:p>
        </w:tc>
        <w:tc>
          <w:tcPr>
            <w:tcW w:w="5529" w:type="dxa"/>
          </w:tcPr>
          <w:p w14:paraId="16FC31C6" w14:textId="7C138C3E" w:rsidR="00882410" w:rsidRPr="00F21646" w:rsidRDefault="00882410" w:rsidP="00FA19EA">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Ovim Pozivom nije propisano ograničenje udjela plaća u ukupnom proračunu pojedinog projektnog prijedloga.</w:t>
            </w:r>
          </w:p>
          <w:p w14:paraId="11E8128E" w14:textId="77777777" w:rsidR="00882410" w:rsidRPr="00F21646" w:rsidRDefault="00882410" w:rsidP="00FA19EA">
            <w:pPr>
              <w:pStyle w:val="FootnoteText"/>
              <w:rPr>
                <w:rFonts w:asciiTheme="minorHAnsi" w:eastAsiaTheme="minorHAnsi" w:hAnsiTheme="minorHAnsi" w:cstheme="minorBidi"/>
                <w:sz w:val="22"/>
                <w:szCs w:val="22"/>
                <w:lang w:val="hr-HR" w:eastAsia="en-US"/>
              </w:rPr>
            </w:pPr>
          </w:p>
          <w:p w14:paraId="12DF32F9" w14:textId="13D544C2" w:rsidR="00882410" w:rsidRPr="00F21646" w:rsidRDefault="00882410" w:rsidP="00FA19EA">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Kako je navedeno u točki 4.1.1</w:t>
            </w:r>
            <w:r w:rsidRPr="00F21646">
              <w:rPr>
                <w:rFonts w:asciiTheme="minorHAnsi" w:eastAsiaTheme="minorHAnsi" w:hAnsiTheme="minorHAnsi" w:cstheme="minorBidi"/>
                <w:i/>
                <w:sz w:val="22"/>
                <w:szCs w:val="22"/>
                <w:lang w:val="hr-HR" w:eastAsia="en-US"/>
              </w:rPr>
              <w:t xml:space="preserve"> Prihvatljivi izdaci</w:t>
            </w:r>
            <w:r w:rsidRPr="00F21646">
              <w:rPr>
                <w:rFonts w:asciiTheme="minorHAnsi" w:eastAsiaTheme="minorHAnsi" w:hAnsiTheme="minorHAnsi" w:cstheme="minorBidi"/>
                <w:sz w:val="22"/>
                <w:szCs w:val="22"/>
                <w:lang w:val="hr-HR" w:eastAsia="en-US"/>
              </w:rPr>
              <w:t xml:space="preserve"> Uputa za prijavitelje, troškovi koji proizlaze iz ugovora o uslugama s fizičkim osobama u vrijednosti manjoj od 200.000,00 kn bez poreza na dodanu vrijednost, a isplaćuju se osoblju za obavljeni rad koji je izravno povezan s projektom, svrstavaju se u izravne troškove osoblja. Na temelju izravnih troškova osoblja, prijavitelj obračunava neizravne troškove. Navedeno ograničenje ne primjenjuje se na troškove plaća koji proizlaze iz ugovora o radu/rješenja između prijavitelja/partnera i zaposlenika. Troškovi plaća za rad izravno povezan s projektom se, bez obzira na iznos, označavaju kao izravni troškovi osoblja. </w:t>
            </w:r>
          </w:p>
          <w:p w14:paraId="5B4DF242" w14:textId="14F8259B" w:rsidR="00882410" w:rsidRPr="00F21646" w:rsidRDefault="00882410" w:rsidP="009E6AAA">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 xml:space="preserve">Također, navedeno ograničenje od 200.000,00 kn primjenjuje se na pojedinačne ugovore, odnosno na pojedinačnu fizičku osobu (ne cjelokupne troškove ugovora o uslugama u okviru projektnog prijedloga). Premašivanje tog ograničenja znači da se taj trošak ne može svrstati u izravne troškove osoblja. </w:t>
            </w:r>
          </w:p>
          <w:p w14:paraId="0EC7612F" w14:textId="77777777" w:rsidR="00882410" w:rsidRPr="00F21646" w:rsidRDefault="00882410" w:rsidP="009E6AAA">
            <w:pPr>
              <w:pStyle w:val="FootnoteText"/>
              <w:rPr>
                <w:rFonts w:asciiTheme="minorHAnsi" w:eastAsiaTheme="minorHAnsi" w:hAnsiTheme="minorHAnsi" w:cstheme="minorBidi"/>
                <w:sz w:val="22"/>
                <w:szCs w:val="22"/>
                <w:lang w:val="hr-HR" w:eastAsia="en-US"/>
              </w:rPr>
            </w:pPr>
          </w:p>
          <w:p w14:paraId="3B916678" w14:textId="65709E31" w:rsidR="00882410" w:rsidRPr="00F21646" w:rsidRDefault="00882410" w:rsidP="009E6AAA">
            <w:pPr>
              <w:pStyle w:val="FootnoteText"/>
              <w:rPr>
                <w:rFonts w:asciiTheme="minorHAnsi" w:eastAsiaTheme="minorHAnsi" w:hAnsiTheme="minorHAnsi" w:cstheme="minorBidi"/>
                <w:sz w:val="22"/>
                <w:szCs w:val="22"/>
                <w:lang w:val="hr-HR" w:eastAsia="en-US"/>
              </w:rPr>
            </w:pPr>
            <w:r w:rsidRPr="00F21646">
              <w:rPr>
                <w:sz w:val="22"/>
                <w:lang w:val="hr-HR"/>
              </w:rPr>
              <w:t xml:space="preserve">Napominjemo da korisnik sve postupke nabave usluga/roba/radova u okviru projekta mora provoditi u skladu s odredbama Zakona o javnoj nabavi (NN 120/16), ako je obveznik istog odnosno u skladu s Prilogom 4 natječajne dokumentacije - </w:t>
            </w:r>
            <w:r w:rsidRPr="00F21646">
              <w:rPr>
                <w:i/>
                <w:sz w:val="22"/>
                <w:lang w:val="hr-HR"/>
              </w:rPr>
              <w:t xml:space="preserve">Postupci nabave za osobe koje nisu obveznici Zakona o javnoj nabavi, </w:t>
            </w:r>
            <w:r w:rsidRPr="00F21646">
              <w:rPr>
                <w:sz w:val="22"/>
                <w:lang w:val="hr-HR"/>
              </w:rPr>
              <w:t>ako nije obveznik Zakona o javnoj nabavi.</w:t>
            </w:r>
          </w:p>
        </w:tc>
      </w:tr>
      <w:tr w:rsidR="00882410" w:rsidRPr="00F21646" w14:paraId="7691D1F9" w14:textId="77777777" w:rsidTr="00412ECC">
        <w:tc>
          <w:tcPr>
            <w:tcW w:w="562" w:type="dxa"/>
          </w:tcPr>
          <w:p w14:paraId="3E5AC289" w14:textId="640E2DC1" w:rsidR="00882410" w:rsidRPr="00F21646" w:rsidRDefault="00882410" w:rsidP="005B17E0">
            <w:pPr>
              <w:rPr>
                <w:rFonts w:cstheme="minorHAnsi"/>
              </w:rPr>
            </w:pPr>
            <w:r w:rsidRPr="00F21646">
              <w:rPr>
                <w:rFonts w:cstheme="minorHAnsi"/>
              </w:rPr>
              <w:t>7</w:t>
            </w:r>
          </w:p>
        </w:tc>
        <w:tc>
          <w:tcPr>
            <w:tcW w:w="3260" w:type="dxa"/>
            <w:shd w:val="clear" w:color="auto" w:fill="auto"/>
          </w:tcPr>
          <w:p w14:paraId="03EA882A" w14:textId="46C8F971" w:rsidR="00882410" w:rsidRPr="00F21646" w:rsidRDefault="00882410" w:rsidP="00082D44">
            <w:r w:rsidRPr="00F21646">
              <w:t xml:space="preserve">U natječajnoj dokumentaciji je navedeno da je 30% ukupnih troškova projektnog prijedloga moguće koristiti za troškove adaptacije. Ukoliko je projektni prijedlog maksimalnog dopuštenog iznosa (2,5 mil. HRK), u tom slučaju troškovi adaptacije </w:t>
            </w:r>
            <w:r w:rsidRPr="00F21646">
              <w:lastRenderedPageBreak/>
              <w:t>mogu premašiti iznos nabave od 500.000 HRK do kojeg je moguće provesti direktno ugovaranje radova. Možete li objasniti što to znači u proceduri, znači li to javna nabava radova?</w:t>
            </w:r>
          </w:p>
        </w:tc>
        <w:tc>
          <w:tcPr>
            <w:tcW w:w="5529" w:type="dxa"/>
            <w:shd w:val="clear" w:color="auto" w:fill="auto"/>
          </w:tcPr>
          <w:p w14:paraId="577675CB" w14:textId="6053047C" w:rsidR="00882410" w:rsidRPr="00F21646" w:rsidRDefault="00882410" w:rsidP="00556ED4">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lastRenderedPageBreak/>
              <w:t xml:space="preserve">U slučaju da je u okviru projektnog prijedloga planirana nabava radova procijenjene vrijednosti 500.000,00 kn ili više, korisnik, koji je javni naručitelj, je za nabavu tih radova dužan provesti postupak javne nabave sukladno Zakonu o javnoj nabavi </w:t>
            </w:r>
            <w:r w:rsidRPr="00F21646">
              <w:rPr>
                <w:sz w:val="22"/>
                <w:lang w:val="hr-HR"/>
              </w:rPr>
              <w:t xml:space="preserve">(NN 120/16), odnosno postupak javnog nadmetanja sukladno </w:t>
            </w:r>
            <w:r w:rsidRPr="00F21646">
              <w:rPr>
                <w:rFonts w:asciiTheme="minorHAnsi" w:eastAsiaTheme="minorHAnsi" w:hAnsiTheme="minorHAnsi" w:cstheme="minorBidi"/>
                <w:sz w:val="22"/>
                <w:szCs w:val="22"/>
                <w:lang w:val="hr-HR" w:eastAsia="en-US"/>
              </w:rPr>
              <w:t xml:space="preserve">Prilogu 4 natječajne dokumentacije </w:t>
            </w:r>
            <w:r w:rsidRPr="00F21646">
              <w:rPr>
                <w:sz w:val="22"/>
                <w:lang w:val="hr-HR"/>
              </w:rPr>
              <w:t xml:space="preserve">- </w:t>
            </w:r>
            <w:r w:rsidRPr="00F21646">
              <w:rPr>
                <w:i/>
                <w:sz w:val="22"/>
                <w:lang w:val="hr-HR"/>
              </w:rPr>
              <w:t xml:space="preserve">Postupci nabave za osobe koje nisu </w:t>
            </w:r>
            <w:r w:rsidRPr="00F21646">
              <w:rPr>
                <w:i/>
                <w:sz w:val="22"/>
                <w:lang w:val="hr-HR"/>
              </w:rPr>
              <w:lastRenderedPageBreak/>
              <w:t>obveznici Zakona o javnoj nabavi</w:t>
            </w:r>
            <w:r w:rsidRPr="00F21646">
              <w:rPr>
                <w:rFonts w:asciiTheme="minorHAnsi" w:eastAsiaTheme="minorHAnsi" w:hAnsiTheme="minorHAnsi" w:cstheme="minorBidi"/>
                <w:sz w:val="22"/>
                <w:szCs w:val="22"/>
                <w:lang w:val="hr-HR" w:eastAsia="en-US"/>
              </w:rPr>
              <w:t xml:space="preserve">, ako nije obveznik Zakona o javnoj nabavi. </w:t>
            </w:r>
          </w:p>
        </w:tc>
      </w:tr>
      <w:tr w:rsidR="00882410" w:rsidRPr="00F21646" w14:paraId="20BF2A57" w14:textId="77777777" w:rsidTr="00882410">
        <w:tc>
          <w:tcPr>
            <w:tcW w:w="562" w:type="dxa"/>
          </w:tcPr>
          <w:p w14:paraId="53312681" w14:textId="4500B070" w:rsidR="00882410" w:rsidRPr="00F21646" w:rsidRDefault="00882410" w:rsidP="004F64B9">
            <w:pPr>
              <w:rPr>
                <w:rFonts w:cstheme="minorHAnsi"/>
              </w:rPr>
            </w:pPr>
            <w:r w:rsidRPr="00F21646">
              <w:rPr>
                <w:rFonts w:cstheme="minorHAnsi"/>
              </w:rPr>
              <w:lastRenderedPageBreak/>
              <w:t>8</w:t>
            </w:r>
          </w:p>
        </w:tc>
        <w:tc>
          <w:tcPr>
            <w:tcW w:w="3260" w:type="dxa"/>
          </w:tcPr>
          <w:p w14:paraId="0E0A7D08" w14:textId="421B3523" w:rsidR="00882410" w:rsidRPr="00F21646" w:rsidRDefault="00882410" w:rsidP="00082D44">
            <w:r w:rsidRPr="00F21646">
              <w:t>Pojedine organizacije prijavitelji, koje planiraju troškove adaptacije, imaju potrebu napraviti određenu dokumentaciju, npr. izvještaj o stanju konstrukcije, budući da se radi o starim građevinama. Je li moguće takvu aktivnost financirati kroz udio troškova koji se odnosi na adaptaciju?</w:t>
            </w:r>
          </w:p>
        </w:tc>
        <w:tc>
          <w:tcPr>
            <w:tcW w:w="5529" w:type="dxa"/>
          </w:tcPr>
          <w:p w14:paraId="0348F3D7" w14:textId="7F1700E4" w:rsidR="00882410" w:rsidRPr="00F21646" w:rsidRDefault="00882410" w:rsidP="00966676">
            <w:pPr>
              <w:pStyle w:val="FootnoteText"/>
              <w:rPr>
                <w:sz w:val="22"/>
                <w:lang w:val="hr-HR"/>
              </w:rPr>
            </w:pPr>
            <w:r w:rsidRPr="00F21646">
              <w:rPr>
                <w:sz w:val="22"/>
                <w:lang w:val="hr-HR"/>
              </w:rPr>
              <w:t>Troškovi izrade dokumentacije za adaptaciju prostora nisu prihvatljiv trošak u okviru ovog Poziva. Preporučujemo da se istraživanje stanja konstrukcije provodi prethodno prijavi projektnog prijedloga kako bi se mogle utvrditi realne potrebe i troškovi adaptacije za potrebe sastavljanja proračuna projektnog prijedloga.</w:t>
            </w:r>
          </w:p>
        </w:tc>
      </w:tr>
      <w:tr w:rsidR="00882410" w:rsidRPr="00F21646" w14:paraId="2DF68E5D" w14:textId="77777777" w:rsidTr="00882410">
        <w:tc>
          <w:tcPr>
            <w:tcW w:w="562" w:type="dxa"/>
          </w:tcPr>
          <w:p w14:paraId="60C81E07" w14:textId="2CFC3FAE" w:rsidR="00882410" w:rsidRPr="00F21646" w:rsidRDefault="00882410" w:rsidP="004F64B9">
            <w:pPr>
              <w:rPr>
                <w:rFonts w:cstheme="minorHAnsi"/>
              </w:rPr>
            </w:pPr>
            <w:r w:rsidRPr="00F21646">
              <w:rPr>
                <w:rFonts w:cstheme="minorHAnsi"/>
              </w:rPr>
              <w:t>9</w:t>
            </w:r>
          </w:p>
        </w:tc>
        <w:tc>
          <w:tcPr>
            <w:tcW w:w="3260" w:type="dxa"/>
          </w:tcPr>
          <w:p w14:paraId="393F27FB" w14:textId="31AA448F" w:rsidR="00882410" w:rsidRPr="00F21646" w:rsidRDefault="00882410" w:rsidP="009F43BA">
            <w:r w:rsidRPr="00F21646">
              <w:t>S obzirom na to da provedba projekta može trajati od 12 do 24 mjeseci, je li nužno da projektne aktivnosti započinju odmah nakon potpisivanja ugovora ili se s aktivnostima može započeti kasnije, sukladno primjerice vremenskim prilikama ili dobu godine?</w:t>
            </w:r>
          </w:p>
        </w:tc>
        <w:tc>
          <w:tcPr>
            <w:tcW w:w="5529" w:type="dxa"/>
          </w:tcPr>
          <w:p w14:paraId="5E6A456F" w14:textId="12C564C6" w:rsidR="00882410" w:rsidRPr="00F21646" w:rsidRDefault="00882410" w:rsidP="00777459">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 xml:space="preserve">Sukladno točki 3.2. Uputa za prijavitelje, razdoblje provedbe projekta započinje datumom zadnjeg potpisa Ugovora. U opravdanom slučaju,  korisniku će biti omogućena korekcija vremenskog plana provedbe projekta. Napominjemo da prijavitelj mora optimalno planirati vremenski okvir i uskladiti ga s predviđenim aktivnostima i troškovima. </w:t>
            </w:r>
          </w:p>
        </w:tc>
      </w:tr>
      <w:tr w:rsidR="00882410" w:rsidRPr="00F21646" w14:paraId="692A2C88" w14:textId="77777777" w:rsidTr="00882410">
        <w:tc>
          <w:tcPr>
            <w:tcW w:w="562" w:type="dxa"/>
          </w:tcPr>
          <w:p w14:paraId="66C053DC" w14:textId="1078447C" w:rsidR="00882410" w:rsidRPr="00F21646" w:rsidRDefault="00882410" w:rsidP="004F64B9">
            <w:pPr>
              <w:rPr>
                <w:rFonts w:cstheme="minorHAnsi"/>
              </w:rPr>
            </w:pPr>
            <w:r w:rsidRPr="00F21646">
              <w:rPr>
                <w:rFonts w:cstheme="minorHAnsi"/>
              </w:rPr>
              <w:t>10</w:t>
            </w:r>
          </w:p>
        </w:tc>
        <w:tc>
          <w:tcPr>
            <w:tcW w:w="3260" w:type="dxa"/>
          </w:tcPr>
          <w:p w14:paraId="6DB6E9E3" w14:textId="1F91793A" w:rsidR="00882410" w:rsidRPr="00F21646" w:rsidRDefault="00882410" w:rsidP="007B3EB1">
            <w:r w:rsidRPr="00F21646">
              <w:t>U okviru skupine aktivnosti B nije prihvatljiv trošak adaptacije prostora. No, je li prihvatljiv trošak opreme?</w:t>
            </w:r>
          </w:p>
        </w:tc>
        <w:tc>
          <w:tcPr>
            <w:tcW w:w="5529" w:type="dxa"/>
          </w:tcPr>
          <w:p w14:paraId="34BA465D" w14:textId="321E915A" w:rsidR="00882410" w:rsidRPr="00F21646" w:rsidRDefault="00882410" w:rsidP="004F64B9">
            <w:r w:rsidRPr="00F21646">
              <w:t>Trošak nabave opreme je prihvatljiv trošak u okviru skupine aktivnosti B i može iznositi najviše 30% vrijednosti projekta.</w:t>
            </w:r>
          </w:p>
        </w:tc>
      </w:tr>
      <w:tr w:rsidR="00882410" w:rsidRPr="00F21646" w14:paraId="7C456002" w14:textId="77777777" w:rsidTr="00882410">
        <w:tc>
          <w:tcPr>
            <w:tcW w:w="562" w:type="dxa"/>
          </w:tcPr>
          <w:p w14:paraId="11FB59F1" w14:textId="77777777" w:rsidR="00882410" w:rsidRPr="00F21646" w:rsidRDefault="00882410" w:rsidP="004F64B9">
            <w:pPr>
              <w:rPr>
                <w:rFonts w:cstheme="minorHAnsi"/>
              </w:rPr>
            </w:pPr>
            <w:r w:rsidRPr="00F21646">
              <w:rPr>
                <w:rFonts w:cstheme="minorHAnsi"/>
              </w:rPr>
              <w:t>11</w:t>
            </w:r>
          </w:p>
        </w:tc>
        <w:tc>
          <w:tcPr>
            <w:tcW w:w="3260" w:type="dxa"/>
          </w:tcPr>
          <w:p w14:paraId="673095B6" w14:textId="720609E1" w:rsidR="00882410" w:rsidRPr="00F21646" w:rsidRDefault="00882410" w:rsidP="007B3EB1">
            <w:r w:rsidRPr="00F21646">
              <w:t>Vezano uz aktivnosti pripreme i provedbe kulturnih i umjetničkih programa, napomenuto je da je naglasak u tim programima na sudioničkom upravljanju. No, mogu li ti programi biti u obliku izložba i sličnih kulturnih/ umjetničkih manifestacija?</w:t>
            </w:r>
          </w:p>
        </w:tc>
        <w:tc>
          <w:tcPr>
            <w:tcW w:w="5529" w:type="dxa"/>
          </w:tcPr>
          <w:p w14:paraId="7E58263A" w14:textId="77777777" w:rsidR="00882410" w:rsidRPr="00F21646" w:rsidRDefault="00882410" w:rsidP="00354630">
            <w:pPr>
              <w:pBdr>
                <w:top w:val="nil"/>
                <w:left w:val="nil"/>
                <w:bottom w:val="nil"/>
                <w:right w:val="nil"/>
                <w:between w:val="nil"/>
                <w:bar w:val="nil"/>
              </w:pBdr>
              <w:spacing w:after="160" w:line="259" w:lineRule="auto"/>
              <w:jc w:val="both"/>
            </w:pPr>
            <w:r w:rsidRPr="00F21646">
              <w:rPr>
                <w:rFonts w:ascii="Calibri" w:eastAsia="Droid Sans Fallback" w:hAnsi="Calibri" w:cs="Calibri"/>
                <w:szCs w:val="20"/>
                <w:lang w:eastAsia="zh-CN"/>
              </w:rPr>
              <w:t xml:space="preserve">Format i sadržaj kulturnih i umjetničkih programa nije ograničen ovim Pozivom. U skladu s ciljevima Poziva, naglasak je na projektima i programima u čije je planiranje, pripremu, odnosno provedbu aktivno uključena lokalna zajednica. </w:t>
            </w:r>
            <w:r w:rsidRPr="00F21646">
              <w:t xml:space="preserve">Uključenost lokalne zajednice se ocjenjuje u okviru kriterija 4.1 „Uključenost građana u procese planiranja, programiranja, odlučivanja i upravljanja u kulturi“. Kriteriji dodjele su navedeni u okviru točke 6.2 </w:t>
            </w:r>
            <w:r w:rsidRPr="00F21646">
              <w:rPr>
                <w:i/>
              </w:rPr>
              <w:t>Procjena kvalitete</w:t>
            </w:r>
            <w:r w:rsidRPr="00F21646">
              <w:t xml:space="preserve"> Uputa za prijavitelje. </w:t>
            </w:r>
          </w:p>
          <w:p w14:paraId="4DEC45FA" w14:textId="08B57FDA" w:rsidR="00882410" w:rsidRPr="00F21646" w:rsidRDefault="00882410" w:rsidP="00354630">
            <w:pPr>
              <w:pBdr>
                <w:top w:val="nil"/>
                <w:left w:val="nil"/>
                <w:bottom w:val="nil"/>
                <w:right w:val="nil"/>
                <w:between w:val="nil"/>
                <w:bar w:val="nil"/>
              </w:pBdr>
              <w:spacing w:after="160" w:line="259" w:lineRule="auto"/>
              <w:jc w:val="both"/>
              <w:rPr>
                <w:rFonts w:ascii="Calibri" w:eastAsia="Droid Sans Fallback" w:hAnsi="Calibri" w:cs="Calibri"/>
                <w:szCs w:val="20"/>
                <w:lang w:eastAsia="zh-CN"/>
              </w:rPr>
            </w:pPr>
            <w:r w:rsidRPr="00F21646">
              <w:t xml:space="preserve">Osim aktivnosti pripreme i provedbe kulturnih i umjetničkih programa, projektni prijedlozi moraju uključivati i ostale obavezne aktivnosti navedene u točki 3.3 </w:t>
            </w:r>
            <w:r w:rsidRPr="00F21646">
              <w:rPr>
                <w:i/>
              </w:rPr>
              <w:t xml:space="preserve">Prihvatljive aktivnosti </w:t>
            </w:r>
            <w:r w:rsidRPr="00F21646">
              <w:t>Uputa za prijavitelje.</w:t>
            </w:r>
          </w:p>
        </w:tc>
      </w:tr>
      <w:tr w:rsidR="00882410" w:rsidRPr="00F21646" w14:paraId="30B82EB5" w14:textId="77777777" w:rsidTr="00882410">
        <w:tc>
          <w:tcPr>
            <w:tcW w:w="562" w:type="dxa"/>
          </w:tcPr>
          <w:p w14:paraId="0C8124EA" w14:textId="77777777" w:rsidR="00882410" w:rsidRPr="00F21646" w:rsidRDefault="00882410" w:rsidP="004F64B9">
            <w:pPr>
              <w:rPr>
                <w:rFonts w:eastAsia="Times New Roman"/>
              </w:rPr>
            </w:pPr>
            <w:r w:rsidRPr="00F21646">
              <w:rPr>
                <w:rFonts w:eastAsia="Times New Roman"/>
              </w:rPr>
              <w:t>12</w:t>
            </w:r>
          </w:p>
        </w:tc>
        <w:tc>
          <w:tcPr>
            <w:tcW w:w="3260" w:type="dxa"/>
          </w:tcPr>
          <w:p w14:paraId="2478E685" w14:textId="399A7A29" w:rsidR="00882410" w:rsidRPr="00F21646" w:rsidRDefault="00882410" w:rsidP="00417A19">
            <w:r w:rsidRPr="00F21646">
              <w:t xml:space="preserve">Udruga već prethodno organizira poznatu godišnju manifestaciju. Možemo li kroz prijavu projektnog prijedloga predložiti organizaciju iste manifestacije, no da se u njezinu organizaciju </w:t>
            </w:r>
            <w:r w:rsidRPr="00F21646">
              <w:lastRenderedPageBreak/>
              <w:t xml:space="preserve">uključi više udruga i lokalna zajednica? </w:t>
            </w:r>
          </w:p>
        </w:tc>
        <w:tc>
          <w:tcPr>
            <w:tcW w:w="5529" w:type="dxa"/>
          </w:tcPr>
          <w:p w14:paraId="5F13DE9B" w14:textId="3DE2CE2F" w:rsidR="00882410" w:rsidRPr="00F21646" w:rsidRDefault="00882410" w:rsidP="00841724">
            <w:pPr>
              <w:pStyle w:val="FootnoteText"/>
              <w:rPr>
                <w:sz w:val="22"/>
                <w:lang w:val="hr-HR"/>
              </w:rPr>
            </w:pPr>
            <w:r w:rsidRPr="00F21646">
              <w:rPr>
                <w:sz w:val="22"/>
                <w:lang w:val="hr-HR"/>
              </w:rPr>
              <w:lastRenderedPageBreak/>
              <w:t xml:space="preserve">Troškovi pripreme i provedbe kulturne/ umjetničke manifestacije su prihvatljivi u okviru ovog Poziva. Napominjemo da projektni prijedlozi moraju uključivati sve obavezne aktivnosti navedene u točki 3.3 </w:t>
            </w:r>
            <w:r w:rsidRPr="00F21646">
              <w:rPr>
                <w:i/>
                <w:sz w:val="22"/>
                <w:lang w:val="hr-HR"/>
              </w:rPr>
              <w:t xml:space="preserve">Prihvatljive aktivnosti </w:t>
            </w:r>
            <w:r w:rsidRPr="00F21646">
              <w:rPr>
                <w:sz w:val="22"/>
                <w:lang w:val="hr-HR"/>
              </w:rPr>
              <w:t xml:space="preserve">Uputa za prijavitelje, ovisno u okviru koje skupine aktivnosti se prijavljuje projektni prijedlog te doprinositi ostvarenju općeg i specifičnih ciljeva Poziva. </w:t>
            </w:r>
          </w:p>
          <w:p w14:paraId="4F7AAFD4" w14:textId="184FD37A" w:rsidR="00882410" w:rsidRPr="00F21646" w:rsidRDefault="00882410" w:rsidP="00841724">
            <w:pPr>
              <w:pStyle w:val="FootnoteText"/>
              <w:rPr>
                <w:sz w:val="22"/>
                <w:lang w:val="hr-HR"/>
              </w:rPr>
            </w:pPr>
            <w:r w:rsidRPr="00F21646">
              <w:rPr>
                <w:sz w:val="22"/>
                <w:lang w:val="hr-HR"/>
              </w:rPr>
              <w:lastRenderedPageBreak/>
              <w:t>Dvostruko financiranje projektnih aktivnosti nije dozvoljeno.</w:t>
            </w:r>
          </w:p>
        </w:tc>
      </w:tr>
      <w:tr w:rsidR="00882410" w:rsidRPr="00F21646" w14:paraId="228ADED2" w14:textId="77777777" w:rsidTr="00882410">
        <w:tc>
          <w:tcPr>
            <w:tcW w:w="562" w:type="dxa"/>
          </w:tcPr>
          <w:p w14:paraId="24E4B5AA" w14:textId="28ED4CA7" w:rsidR="00882410" w:rsidRPr="00F21646" w:rsidRDefault="00882410" w:rsidP="004F64B9">
            <w:pPr>
              <w:rPr>
                <w:rFonts w:eastAsia="Times New Roman"/>
              </w:rPr>
            </w:pPr>
            <w:r w:rsidRPr="00F21646">
              <w:rPr>
                <w:rFonts w:eastAsia="Times New Roman"/>
              </w:rPr>
              <w:lastRenderedPageBreak/>
              <w:t>13</w:t>
            </w:r>
          </w:p>
        </w:tc>
        <w:tc>
          <w:tcPr>
            <w:tcW w:w="3260" w:type="dxa"/>
          </w:tcPr>
          <w:p w14:paraId="1D40CA25" w14:textId="16B12BE4" w:rsidR="00882410" w:rsidRPr="00F21646" w:rsidRDefault="00882410" w:rsidP="004F64B9">
            <w:r w:rsidRPr="00F21646">
              <w:t>Moraju li sve udruge koje sudjeluju u projektnim aktivnostima djelovati na istom geografskom području (primjerice, u istom gradu), odnosno mogu li partnerske udruge biti iz drugih općina/ gradova?</w:t>
            </w:r>
          </w:p>
        </w:tc>
        <w:tc>
          <w:tcPr>
            <w:tcW w:w="5529" w:type="dxa"/>
          </w:tcPr>
          <w:p w14:paraId="6A67934D" w14:textId="372003AA" w:rsidR="00882410" w:rsidRPr="00F21646" w:rsidRDefault="00882410" w:rsidP="00B43041">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 xml:space="preserve">Nije nužno da sve udruge uključene u projektno partnerstvo djeluju na istom geografskom području, ali odabir projektnih partnera mora biti opravdan u odnosu na predložene aktivnosti te svrhu i ciljeve projektnog prijedloga i Poziva. Projektno partnerstvo ocjenjuje se u okviru </w:t>
            </w:r>
            <w:r w:rsidRPr="00F21646">
              <w:rPr>
                <w:sz w:val="22"/>
                <w:lang w:val="hr-HR"/>
              </w:rPr>
              <w:t xml:space="preserve">kriterija 4.3 „Opseg, uloge, odgovornosti i učinkovitost partnerstva“ navedenog u okviru točke 6.2 </w:t>
            </w:r>
            <w:r w:rsidRPr="00F21646">
              <w:rPr>
                <w:i/>
                <w:sz w:val="22"/>
                <w:lang w:val="hr-HR"/>
              </w:rPr>
              <w:t>Procjena kvalitete</w:t>
            </w:r>
            <w:r w:rsidRPr="00F21646">
              <w:rPr>
                <w:sz w:val="22"/>
                <w:lang w:val="hr-HR"/>
              </w:rPr>
              <w:t xml:space="preserve"> Uputa za prijavitelje.</w:t>
            </w:r>
          </w:p>
        </w:tc>
      </w:tr>
      <w:tr w:rsidR="00882410" w:rsidRPr="00F21646" w14:paraId="4CDE3FCC" w14:textId="77777777" w:rsidTr="00882410">
        <w:tc>
          <w:tcPr>
            <w:tcW w:w="562" w:type="dxa"/>
          </w:tcPr>
          <w:p w14:paraId="4492DCB4" w14:textId="7964B72B" w:rsidR="00882410" w:rsidRPr="00F21646" w:rsidRDefault="00882410" w:rsidP="004F64B9">
            <w:pPr>
              <w:rPr>
                <w:rFonts w:eastAsia="Times New Roman"/>
              </w:rPr>
            </w:pPr>
            <w:r w:rsidRPr="00F21646">
              <w:rPr>
                <w:rFonts w:eastAsia="Times New Roman"/>
              </w:rPr>
              <w:t>14</w:t>
            </w:r>
          </w:p>
        </w:tc>
        <w:tc>
          <w:tcPr>
            <w:tcW w:w="3260" w:type="dxa"/>
          </w:tcPr>
          <w:p w14:paraId="56FE3208" w14:textId="53C881D1" w:rsidR="00882410" w:rsidRPr="00F21646" w:rsidRDefault="00882410" w:rsidP="004F64B9">
            <w:r w:rsidRPr="00F21646">
              <w:t>U okviru skupine aktivnosti A, ukoliko je prijavitelj udruga, je li potrebno u projektno partnerstvo uključiti još tri udruge?</w:t>
            </w:r>
          </w:p>
        </w:tc>
        <w:tc>
          <w:tcPr>
            <w:tcW w:w="5529" w:type="dxa"/>
          </w:tcPr>
          <w:p w14:paraId="70D23F96" w14:textId="4F3B9786" w:rsidR="00882410" w:rsidRPr="00F21646" w:rsidRDefault="00882410" w:rsidP="00853A97">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U navedenom slučaju, obavezno je partnerstvo udruge prijavitelja s još najmanje dvije organizacije civilnog društva i jednom jedinicom lokalne ili područne (regionalne) samouprave. Ako je prijavitelj savez udruga (odnosi se isključivo na one organizacije civilnog društva koje u Registru udruga pod rubrikom „Oblik udruživanja“ imaju navedeno „savez udruga“)</w:t>
            </w:r>
            <w:r w:rsidRPr="00F21646">
              <w:rPr>
                <w:sz w:val="22"/>
                <w:szCs w:val="22"/>
                <w:lang w:val="hr-HR"/>
              </w:rPr>
              <w:t>, u projektno partnerstvo nije obavezno uključiti dodatne organizacije civilnog društva</w:t>
            </w:r>
            <w:r w:rsidRPr="00F21646">
              <w:rPr>
                <w:sz w:val="22"/>
                <w:szCs w:val="22"/>
              </w:rPr>
              <w:t>.</w:t>
            </w:r>
            <w:r w:rsidRPr="00F21646">
              <w:rPr>
                <w:rFonts w:asciiTheme="minorHAnsi" w:eastAsia="Times New Roman" w:hAnsiTheme="minorHAnsi" w:cstheme="minorBidi"/>
                <w:noProof/>
                <w:sz w:val="22"/>
                <w:szCs w:val="22"/>
                <w:lang w:val="hr-HR" w:eastAsia="en-US"/>
              </w:rPr>
              <w:t xml:space="preserve"> Udruga/savez udruga koja u projektnoj prijavi nastupa u ulozi prijavitelja mora djelovati u području kulture i umjetnosti.</w:t>
            </w:r>
          </w:p>
        </w:tc>
      </w:tr>
      <w:tr w:rsidR="00882410" w:rsidRPr="00F21646" w14:paraId="09CD5101" w14:textId="77777777" w:rsidTr="00882410">
        <w:tc>
          <w:tcPr>
            <w:tcW w:w="562" w:type="dxa"/>
          </w:tcPr>
          <w:p w14:paraId="05425AF1" w14:textId="60B0D8D4" w:rsidR="00882410" w:rsidRPr="00F21646" w:rsidRDefault="00882410" w:rsidP="004F64B9">
            <w:pPr>
              <w:rPr>
                <w:rFonts w:eastAsia="Times New Roman"/>
              </w:rPr>
            </w:pPr>
            <w:r w:rsidRPr="00F21646">
              <w:rPr>
                <w:rFonts w:eastAsia="Times New Roman"/>
              </w:rPr>
              <w:t>15</w:t>
            </w:r>
          </w:p>
        </w:tc>
        <w:tc>
          <w:tcPr>
            <w:tcW w:w="3260" w:type="dxa"/>
          </w:tcPr>
          <w:p w14:paraId="4421BECA" w14:textId="5E52F5B0" w:rsidR="00882410" w:rsidRPr="00F21646" w:rsidRDefault="00882410" w:rsidP="00F66BFA">
            <w:r w:rsidRPr="00F21646">
              <w:t>Imamo slučaj infrastrukture za koji je uknjižba vlasništva još uvijek u postupku. Stoga, zemljišnoknjižni izvadak kojim se dokazuje vlasništvo jedinice lokalne samouprave još uvijek nije izdan, no vlasništvo općine je nesumnjivo, s obzirom na povijesne preglede posjeda. Naime, zgrada se nesmetano koristi od strane općine i udruge. Možemo li na temelju opisanog „neproknjiženog vlasništva“ provoditi aktivnosti sudioničkog upravljanja navedenim prostorom? Jasno nam je da, prema informacijama navedenim u Uputama za prijavitelje, adaptacija te infrastrukture ne bi bila prihvatljiva, no bi li nabava opreme za taj prostor i organizacija aktivnosti u tom prostoru bila prihvatljiva?</w:t>
            </w:r>
          </w:p>
        </w:tc>
        <w:tc>
          <w:tcPr>
            <w:tcW w:w="5529" w:type="dxa"/>
          </w:tcPr>
          <w:p w14:paraId="1C74251A" w14:textId="77777777" w:rsidR="00882410" w:rsidRPr="00F21646" w:rsidRDefault="00882410" w:rsidP="00840FA7">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 xml:space="preserve">Troškovi adaptacije prostora, za kojeg nije moguće zemljišno knjižnim izvatkom dokazati da je u vlasništvu jedinice lokalne ili područne samouprave, koja je prijavitelj/partner na projektu, nisu prihvatljivi za financiranje. </w:t>
            </w:r>
          </w:p>
          <w:p w14:paraId="32702445" w14:textId="2FE126A9" w:rsidR="00882410" w:rsidRPr="00F21646" w:rsidRDefault="00882410" w:rsidP="00840FA7">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Organizacija aktivnosti u navedenom prostoru je prihvatljiva u okviru ovog Poziva. Troškovi nabave opreme za provedbu projektnih aktivnosti prihvatljivi su ako su jasno povezani s projektnim aktivnostima, odnosno ako doprinose ostvarenju ciljeva projekta i Poziva.</w:t>
            </w:r>
          </w:p>
          <w:p w14:paraId="5DA1231F" w14:textId="6B94E8B9" w:rsidR="00882410" w:rsidRPr="00412ECC" w:rsidRDefault="00882410" w:rsidP="00F00A9B">
            <w:pPr>
              <w:pStyle w:val="FootnoteText"/>
              <w:rPr>
                <w:rFonts w:asciiTheme="minorHAnsi" w:eastAsia="Times New Roman" w:hAnsiTheme="minorHAnsi" w:cstheme="minorBidi"/>
                <w:noProof/>
                <w:sz w:val="22"/>
                <w:szCs w:val="22"/>
                <w:lang w:val="hr-HR" w:eastAsia="en-US"/>
              </w:rPr>
            </w:pPr>
            <w:r w:rsidRPr="00F21646">
              <w:rPr>
                <w:sz w:val="22"/>
                <w:lang w:val="hr-HR"/>
              </w:rPr>
              <w:t xml:space="preserve">Održivost projektnog prijedloga ocjenjuje se u </w:t>
            </w:r>
            <w:r w:rsidRPr="00F21646">
              <w:rPr>
                <w:rFonts w:asciiTheme="minorHAnsi" w:eastAsia="Times New Roman" w:hAnsiTheme="minorHAnsi" w:cstheme="minorBidi"/>
                <w:noProof/>
                <w:sz w:val="22"/>
                <w:szCs w:val="22"/>
                <w:lang w:val="hr-HR" w:eastAsia="en-US"/>
              </w:rPr>
              <w:t xml:space="preserve">okviru kriterija 5 „Održivost rezultata projekta“ </w:t>
            </w:r>
            <w:r w:rsidRPr="00F21646">
              <w:rPr>
                <w:sz w:val="22"/>
                <w:lang w:val="hr-HR"/>
              </w:rPr>
              <w:t xml:space="preserve">navedenog točki 6.2 </w:t>
            </w:r>
            <w:r w:rsidRPr="00F21646">
              <w:rPr>
                <w:i/>
                <w:sz w:val="22"/>
                <w:lang w:val="hr-HR"/>
              </w:rPr>
              <w:t>Procjena kvalitete</w:t>
            </w:r>
            <w:r w:rsidRPr="00F21646">
              <w:rPr>
                <w:sz w:val="22"/>
                <w:lang w:val="hr-HR"/>
              </w:rPr>
              <w:t xml:space="preserve"> Uputa za prijavitelje, pa stoga, ako razvoj modela sudioničkog upravljanja povezujete s prostorom koji nije u vlasništvu jedinice lokalne samouprave, opišite mjere kojima ćete osigurati održivost projektnih aktivnosti i rezultata</w:t>
            </w:r>
            <w:r w:rsidRPr="00412ECC">
              <w:rPr>
                <w:sz w:val="22"/>
                <w:lang w:val="hr-HR"/>
              </w:rPr>
              <w:t xml:space="preserve">. </w:t>
            </w:r>
          </w:p>
        </w:tc>
      </w:tr>
      <w:tr w:rsidR="00882410" w:rsidRPr="00F21646" w14:paraId="4A6DE83C" w14:textId="77777777" w:rsidTr="00882410">
        <w:tc>
          <w:tcPr>
            <w:tcW w:w="562" w:type="dxa"/>
          </w:tcPr>
          <w:p w14:paraId="24A946B1" w14:textId="77777777" w:rsidR="00882410" w:rsidRPr="00F21646" w:rsidRDefault="00882410" w:rsidP="004F64B9">
            <w:pPr>
              <w:rPr>
                <w:rFonts w:eastAsia="Times New Roman"/>
              </w:rPr>
            </w:pPr>
            <w:r w:rsidRPr="00F21646">
              <w:rPr>
                <w:rFonts w:eastAsia="Times New Roman"/>
              </w:rPr>
              <w:t>16</w:t>
            </w:r>
          </w:p>
        </w:tc>
        <w:tc>
          <w:tcPr>
            <w:tcW w:w="3260" w:type="dxa"/>
          </w:tcPr>
          <w:p w14:paraId="3D6FF565" w14:textId="194DCBFB" w:rsidR="00882410" w:rsidRPr="00F21646" w:rsidRDefault="00882410" w:rsidP="006A1E9A">
            <w:r w:rsidRPr="00F21646">
              <w:t xml:space="preserve">Planirano je osnivanje nove ustanove u kulturi u našoj jedinici lokalne samouprave. Ukoliko se požurimo s njezinim otvaranjem i to ostvarimo u roku sljedeća 2 mjeseca, može li se ta ustanova </w:t>
            </w:r>
            <w:r w:rsidRPr="00F21646">
              <w:lastRenderedPageBreak/>
              <w:t>uključiti u projektni prijedlog u svojstvu partnera?</w:t>
            </w:r>
          </w:p>
        </w:tc>
        <w:tc>
          <w:tcPr>
            <w:tcW w:w="5529" w:type="dxa"/>
          </w:tcPr>
          <w:p w14:paraId="0B25F67E" w14:textId="1131E2EB" w:rsidR="00882410" w:rsidRPr="00F21646" w:rsidRDefault="00882410" w:rsidP="002369E1">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lastRenderedPageBreak/>
              <w:t xml:space="preserve">Ne. Prema točki 2.2 </w:t>
            </w:r>
            <w:r w:rsidRPr="00F21646">
              <w:rPr>
                <w:rFonts w:asciiTheme="minorHAnsi" w:eastAsia="Times New Roman" w:hAnsiTheme="minorHAnsi" w:cstheme="minorBidi"/>
                <w:i/>
                <w:noProof/>
                <w:sz w:val="22"/>
                <w:szCs w:val="22"/>
                <w:lang w:val="hr-HR" w:eastAsia="en-US"/>
              </w:rPr>
              <w:t>Uvjeti prihvatljivosti prijavitelja/partnera</w:t>
            </w:r>
            <w:r w:rsidRPr="00F21646">
              <w:rPr>
                <w:rFonts w:asciiTheme="minorHAnsi" w:eastAsia="Times New Roman" w:hAnsiTheme="minorHAnsi" w:cstheme="minorBidi"/>
                <w:noProof/>
                <w:sz w:val="22"/>
                <w:szCs w:val="22"/>
                <w:lang w:val="hr-HR" w:eastAsia="en-US"/>
              </w:rPr>
              <w:t xml:space="preserve"> Uputa za prijavitelje, na prijavitelja i sve partnere, izuzev jedinica lokalne i područne (regionalne samouprave), primijenjuje se uvjet prihvatljivosti da na dan objave Poziva mora biti registriran za obavljanje djelatnosti u Republici Hrvatskoj najmanje 12 mjeseci.</w:t>
            </w:r>
          </w:p>
        </w:tc>
      </w:tr>
      <w:tr w:rsidR="00882410" w:rsidRPr="00F21646" w14:paraId="67235135" w14:textId="77777777" w:rsidTr="00716CEC">
        <w:tc>
          <w:tcPr>
            <w:tcW w:w="562" w:type="dxa"/>
            <w:tcBorders>
              <w:bottom w:val="single" w:sz="4" w:space="0" w:color="auto"/>
            </w:tcBorders>
          </w:tcPr>
          <w:p w14:paraId="757322EE" w14:textId="7A3A48D2" w:rsidR="00882410" w:rsidRPr="00F21646" w:rsidRDefault="00882410" w:rsidP="004F64B9">
            <w:pPr>
              <w:rPr>
                <w:rFonts w:eastAsia="Times New Roman"/>
              </w:rPr>
            </w:pPr>
            <w:r w:rsidRPr="00F21646">
              <w:rPr>
                <w:rFonts w:eastAsia="Times New Roman"/>
              </w:rPr>
              <w:t>17</w:t>
            </w:r>
          </w:p>
        </w:tc>
        <w:tc>
          <w:tcPr>
            <w:tcW w:w="3260" w:type="dxa"/>
            <w:tcBorders>
              <w:bottom w:val="single" w:sz="4" w:space="0" w:color="auto"/>
            </w:tcBorders>
          </w:tcPr>
          <w:p w14:paraId="5AA0BA72" w14:textId="0544A337" w:rsidR="00882410" w:rsidRPr="00F21646" w:rsidRDefault="00882410" w:rsidP="004F64B9">
            <w:r w:rsidRPr="00F21646">
              <w:t>Odnosi li se ograničenje od 10.000 stanovnika za prihvatljivost jedinice lokalne samouprave kao prijavitelja u okviru skupine aktivnosti A na grad ili na naselja u njegovom sastavu?</w:t>
            </w:r>
          </w:p>
        </w:tc>
        <w:tc>
          <w:tcPr>
            <w:tcW w:w="5529" w:type="dxa"/>
            <w:tcBorders>
              <w:bottom w:val="single" w:sz="4" w:space="0" w:color="auto"/>
            </w:tcBorders>
          </w:tcPr>
          <w:p w14:paraId="364744B3" w14:textId="4CD9CA3C" w:rsidR="00882410" w:rsidRPr="00F21646" w:rsidRDefault="00882410" w:rsidP="00AA3613">
            <w:pPr>
              <w:pStyle w:val="FootnoteText"/>
              <w:rPr>
                <w:sz w:val="22"/>
                <w:szCs w:val="22"/>
                <w:lang w:val="hr-HR"/>
              </w:rPr>
            </w:pPr>
            <w:r w:rsidRPr="00F21646">
              <w:rPr>
                <w:sz w:val="22"/>
                <w:szCs w:val="22"/>
                <w:lang w:val="hr-HR"/>
              </w:rPr>
              <w:t xml:space="preserve">Ograničenje se odnosi na cjelokupno područje jedinice lokalne samouprave (u ovom konkretnom slučaju grad) sa svim njezinim sastavnicama (u ovom slučaju naseljima). Relevantni statistički podaci o broju stanovnika svih JLP(R)S u Hrvatskoj nalaze se na stranicama Državnog zavoda za statistiku: </w:t>
            </w:r>
            <w:hyperlink r:id="rId7" w:history="1">
              <w:r w:rsidRPr="00F21646">
                <w:rPr>
                  <w:rStyle w:val="Hyperlink"/>
                  <w:sz w:val="22"/>
                  <w:szCs w:val="22"/>
                  <w:lang w:val="hr-HR"/>
                </w:rPr>
                <w:t>https://www.dzs.hr/hrv/censuses/census2011/results/htm/H01_01_03/H01_01_03.html</w:t>
              </w:r>
            </w:hyperlink>
          </w:p>
        </w:tc>
      </w:tr>
      <w:tr w:rsidR="00882410" w:rsidRPr="00F21646" w14:paraId="0A647F6D" w14:textId="77777777" w:rsidTr="00716CEC">
        <w:tc>
          <w:tcPr>
            <w:tcW w:w="562" w:type="dxa"/>
            <w:tcBorders>
              <w:bottom w:val="single" w:sz="4" w:space="0" w:color="auto"/>
            </w:tcBorders>
          </w:tcPr>
          <w:p w14:paraId="50EF3FBC" w14:textId="5675BFD3" w:rsidR="00882410" w:rsidRPr="00F21646" w:rsidRDefault="00882410" w:rsidP="004F64B9">
            <w:pPr>
              <w:rPr>
                <w:rFonts w:eastAsia="Times New Roman"/>
              </w:rPr>
            </w:pPr>
            <w:r w:rsidRPr="00F21646">
              <w:rPr>
                <w:rFonts w:eastAsia="Times New Roman"/>
              </w:rPr>
              <w:t>18</w:t>
            </w:r>
          </w:p>
        </w:tc>
        <w:tc>
          <w:tcPr>
            <w:tcW w:w="3260" w:type="dxa"/>
            <w:tcBorders>
              <w:bottom w:val="single" w:sz="4" w:space="0" w:color="auto"/>
            </w:tcBorders>
          </w:tcPr>
          <w:p w14:paraId="7ADC08BF" w14:textId="3C510318" w:rsidR="00882410" w:rsidRPr="00F21646" w:rsidRDefault="00882410" w:rsidP="007D1D64">
            <w:pPr>
              <w:rPr>
                <w:rFonts w:eastAsia="Times New Roman"/>
              </w:rPr>
            </w:pPr>
            <w:r w:rsidRPr="00F21646">
              <w:rPr>
                <w:rFonts w:eastAsia="Times New Roman"/>
              </w:rPr>
              <w:t>Jesu li javne ustanove u kulturi prihvatljivi partneri u okviru ovog Poziva?</w:t>
            </w:r>
          </w:p>
        </w:tc>
        <w:tc>
          <w:tcPr>
            <w:tcW w:w="5529" w:type="dxa"/>
            <w:tcBorders>
              <w:bottom w:val="single" w:sz="4" w:space="0" w:color="auto"/>
            </w:tcBorders>
          </w:tcPr>
          <w:p w14:paraId="3F827237" w14:textId="72D5620F" w:rsidR="00882410" w:rsidRPr="00F21646" w:rsidRDefault="00882410" w:rsidP="007D1D64">
            <w:pPr>
              <w:rPr>
                <w:rFonts w:eastAsia="Times New Roman"/>
              </w:rPr>
            </w:pPr>
            <w:r w:rsidRPr="00F21646">
              <w:rPr>
                <w:rFonts w:eastAsia="Times New Roman"/>
              </w:rPr>
              <w:t xml:space="preserve">Javne ustanove u kulturi su prihvatljivi partneri u okviru obje skupine aktivnosti i prihvatljivi prijavitelji u okviru skupine aktivnosti B ako im je osnivač jedinica lokalne ili područne (regionalne) samouprave te ako ispunjavaju uvjete prihvatljivosti navedene u </w:t>
            </w:r>
            <w:r w:rsidRPr="00F21646">
              <w:rPr>
                <w:rFonts w:eastAsia="Times New Roman"/>
                <w:noProof/>
              </w:rPr>
              <w:t xml:space="preserve">točki 2.2 </w:t>
            </w:r>
            <w:r w:rsidRPr="00F21646">
              <w:rPr>
                <w:rFonts w:eastAsia="Times New Roman"/>
                <w:i/>
                <w:noProof/>
              </w:rPr>
              <w:t>Uvjeti prihvatljivosti prijavitelja/ partnera</w:t>
            </w:r>
            <w:r w:rsidRPr="00F21646">
              <w:rPr>
                <w:rFonts w:eastAsia="Times New Roman"/>
                <w:noProof/>
              </w:rPr>
              <w:t xml:space="preserve"> Uputa za prijavitelje. </w:t>
            </w:r>
          </w:p>
        </w:tc>
      </w:tr>
      <w:tr w:rsidR="00882410" w:rsidRPr="00F21646" w14:paraId="40A330AF" w14:textId="77777777" w:rsidTr="00716CEC">
        <w:tc>
          <w:tcPr>
            <w:tcW w:w="562" w:type="dxa"/>
            <w:tcBorders>
              <w:top w:val="single" w:sz="4" w:space="0" w:color="auto"/>
            </w:tcBorders>
          </w:tcPr>
          <w:p w14:paraId="4C792B19" w14:textId="77777777" w:rsidR="00882410" w:rsidRPr="00F21646" w:rsidRDefault="00882410" w:rsidP="00D27AE2">
            <w:pPr>
              <w:rPr>
                <w:rFonts w:eastAsia="Times New Roman"/>
              </w:rPr>
            </w:pPr>
            <w:r w:rsidRPr="00F21646">
              <w:rPr>
                <w:rFonts w:eastAsia="Times New Roman"/>
              </w:rPr>
              <w:t>19</w:t>
            </w:r>
          </w:p>
        </w:tc>
        <w:tc>
          <w:tcPr>
            <w:tcW w:w="3260" w:type="dxa"/>
            <w:tcBorders>
              <w:top w:val="single" w:sz="4" w:space="0" w:color="auto"/>
            </w:tcBorders>
          </w:tcPr>
          <w:p w14:paraId="0BC2DD57" w14:textId="64797049" w:rsidR="00882410" w:rsidRPr="00412ECC" w:rsidRDefault="00882410" w:rsidP="00D27AE2">
            <w:pPr>
              <w:rPr>
                <w:rFonts w:eastAsia="Times New Roman"/>
              </w:rPr>
            </w:pPr>
            <w:r w:rsidRPr="00412ECC">
              <w:rPr>
                <w:rFonts w:eastAsia="Times New Roman"/>
              </w:rPr>
              <w:t>Može li se pod Elementom „Upravljanje projektom i administracija“ podugovoriti vanjski stručnjak ili te poslove moraju obavljati isključivo zaposlenici prijavitelja ili partnera?</w:t>
            </w:r>
          </w:p>
        </w:tc>
        <w:tc>
          <w:tcPr>
            <w:tcW w:w="5529" w:type="dxa"/>
            <w:tcBorders>
              <w:top w:val="single" w:sz="4" w:space="0" w:color="auto"/>
            </w:tcBorders>
          </w:tcPr>
          <w:p w14:paraId="1938CFDB" w14:textId="77777777" w:rsidR="00412ECC" w:rsidRPr="00412ECC" w:rsidRDefault="00412ECC" w:rsidP="00412ECC">
            <w:pPr>
              <w:pStyle w:val="CommentText"/>
              <w:rPr>
                <w:rFonts w:eastAsia="Times New Roman"/>
                <w:sz w:val="22"/>
                <w:szCs w:val="22"/>
              </w:rPr>
            </w:pPr>
            <w:r w:rsidRPr="00412ECC">
              <w:rPr>
                <w:rFonts w:eastAsia="Times New Roman"/>
                <w:sz w:val="22"/>
                <w:szCs w:val="22"/>
              </w:rPr>
              <w:t>U Projektnom elementu „Upravljanje projektom i administracija“ nije moguće podugovoriti vanjskog stručnjaka.</w:t>
            </w:r>
          </w:p>
          <w:p w14:paraId="5325BD71" w14:textId="77777777" w:rsidR="00412ECC" w:rsidRPr="00412ECC" w:rsidRDefault="00412ECC" w:rsidP="00412ECC">
            <w:pPr>
              <w:pStyle w:val="CommentText"/>
              <w:rPr>
                <w:rFonts w:eastAsia="Times New Roman"/>
                <w:sz w:val="22"/>
                <w:szCs w:val="22"/>
              </w:rPr>
            </w:pPr>
          </w:p>
          <w:p w14:paraId="53DF1EE7" w14:textId="3D234328" w:rsidR="00412ECC" w:rsidRPr="00412ECC" w:rsidRDefault="00412ECC" w:rsidP="00412ECC">
            <w:pPr>
              <w:pStyle w:val="CommentText"/>
              <w:rPr>
                <w:rFonts w:eastAsia="Times New Roman"/>
                <w:sz w:val="22"/>
                <w:szCs w:val="22"/>
              </w:rPr>
            </w:pPr>
            <w:r w:rsidRPr="00412ECC">
              <w:rPr>
                <w:rFonts w:eastAsia="Times New Roman"/>
                <w:noProof/>
                <w:sz w:val="22"/>
                <w:szCs w:val="22"/>
              </w:rPr>
              <w:t>Projektni element ''Upravljanje projektom i administracija'' može generirati samo neizravne troškove i izravne troškove osoblja (vidi str. 29 Priloga 3- Korisnički priručnik za popunjavanje prijevnog obrasca A)</w:t>
            </w:r>
            <w:r w:rsidRPr="00F21646">
              <w:rPr>
                <w:rFonts w:eastAsia="Times New Roman"/>
                <w:noProof/>
                <w:sz w:val="22"/>
                <w:szCs w:val="22"/>
              </w:rPr>
              <w:t>. U navedenom su elementu prihvatljivi troškovi osoba zaposlenih kod prijavitelja ili partnera putem ugovora o radu.</w:t>
            </w:r>
          </w:p>
          <w:p w14:paraId="338ABCAE" w14:textId="77777777" w:rsidR="00412ECC" w:rsidRPr="00412ECC" w:rsidRDefault="00412ECC" w:rsidP="00412ECC">
            <w:pPr>
              <w:pStyle w:val="CommentText"/>
              <w:rPr>
                <w:rFonts w:eastAsia="Times New Roman"/>
                <w:sz w:val="22"/>
                <w:szCs w:val="22"/>
              </w:rPr>
            </w:pPr>
          </w:p>
          <w:p w14:paraId="20B9A1C8" w14:textId="77777777" w:rsidR="0014583A" w:rsidRPr="00F21646" w:rsidRDefault="0014583A" w:rsidP="00D27AE2">
            <w:pPr>
              <w:rPr>
                <w:rFonts w:eastAsia="Times New Roman"/>
              </w:rPr>
            </w:pPr>
          </w:p>
          <w:p w14:paraId="4DB1FF7D" w14:textId="0D71BECA" w:rsidR="00882410" w:rsidRPr="00F21646" w:rsidRDefault="00882410" w:rsidP="00197AC3">
            <w:pPr>
              <w:rPr>
                <w:rFonts w:eastAsia="Times New Roman"/>
              </w:rPr>
            </w:pPr>
            <w:r w:rsidRPr="00F21646">
              <w:rPr>
                <w:rFonts w:eastAsia="Times New Roman"/>
              </w:rPr>
              <w:t xml:space="preserve"> </w:t>
            </w:r>
          </w:p>
        </w:tc>
      </w:tr>
      <w:tr w:rsidR="00882410" w:rsidRPr="00F21646" w14:paraId="4387B6E5" w14:textId="77777777" w:rsidTr="00882410">
        <w:tc>
          <w:tcPr>
            <w:tcW w:w="562" w:type="dxa"/>
          </w:tcPr>
          <w:p w14:paraId="4F8F6DFC" w14:textId="1AEB0B5D" w:rsidR="00882410" w:rsidRPr="00F21646" w:rsidRDefault="00882410" w:rsidP="00D27AE2">
            <w:pPr>
              <w:rPr>
                <w:rFonts w:eastAsia="Times New Roman"/>
              </w:rPr>
            </w:pPr>
            <w:r w:rsidRPr="00F21646">
              <w:rPr>
                <w:rFonts w:eastAsia="Times New Roman"/>
              </w:rPr>
              <w:t>20</w:t>
            </w:r>
          </w:p>
        </w:tc>
        <w:tc>
          <w:tcPr>
            <w:tcW w:w="3260" w:type="dxa"/>
          </w:tcPr>
          <w:p w14:paraId="1BC202AF" w14:textId="0D296F30" w:rsidR="00882410" w:rsidRPr="00412ECC" w:rsidRDefault="00882410" w:rsidP="00405465">
            <w:r w:rsidRPr="00412ECC">
              <w:t>Ako je prijavitelj udruga kojoj su članice pravne osobe, i u slučaju da te pravne osobe pružaju uslugu organizacije kulturnih i umjetničkih događanja u okviru projektnog prijedloga, smatra li se to podugovaranjem? Ukoliko je vrijednost te usluge manja od 200.000 HRK, može li se ta usluga ugovoriti bez provođenja postupka javnog nadmetanja? Konkretno, radi se o udruzi koja nije registrirana kao savez udruga, a ima druge udruge kao svoje članove.</w:t>
            </w:r>
          </w:p>
        </w:tc>
        <w:tc>
          <w:tcPr>
            <w:tcW w:w="5529" w:type="dxa"/>
          </w:tcPr>
          <w:p w14:paraId="05EC5E30" w14:textId="77777777" w:rsidR="00882410" w:rsidRPr="00412ECC" w:rsidRDefault="00882410" w:rsidP="00252C83">
            <w:pPr>
              <w:pStyle w:val="FootnoteText"/>
              <w:rPr>
                <w:sz w:val="22"/>
                <w:szCs w:val="22"/>
                <w:lang w:val="hr-HR"/>
              </w:rPr>
            </w:pPr>
            <w:r w:rsidRPr="00412ECC">
              <w:rPr>
                <w:sz w:val="22"/>
                <w:szCs w:val="22"/>
                <w:lang w:val="hr-HR"/>
              </w:rPr>
              <w:t xml:space="preserve">Podugovaranje se odnosi na svu nabavu roba/usluga/radova od trećih osoba (pravnih osoba koje ne sudjeluju u projektnom partnerstvu ili od fizičkih osoba koji nisu u radnom odnosu kod prijavitelja/partnera). </w:t>
            </w:r>
          </w:p>
          <w:p w14:paraId="7B1D18A8" w14:textId="2DCD1FAE" w:rsidR="00882410" w:rsidRPr="00412ECC" w:rsidRDefault="00882410" w:rsidP="00252C83">
            <w:pPr>
              <w:pStyle w:val="FootnoteText"/>
              <w:rPr>
                <w:sz w:val="22"/>
                <w:szCs w:val="22"/>
                <w:lang w:val="hr-HR"/>
              </w:rPr>
            </w:pPr>
            <w:r w:rsidRPr="00412ECC">
              <w:rPr>
                <w:sz w:val="22"/>
                <w:szCs w:val="22"/>
                <w:lang w:val="hr-HR"/>
              </w:rPr>
              <w:t>Korisnici bespovratnih sredstava koji su obveznici Zakona o javnoj nabavi (NN 120715) dužni su pri nabavljanju roba/usluga/radova postupati sukladno navedenom zakonu. Korisnici koji nisu obveznici Zakona o javnoj nabavi dužni su</w:t>
            </w:r>
            <w:r w:rsidRPr="00412ECC">
              <w:t xml:space="preserve"> </w:t>
            </w:r>
            <w:r w:rsidRPr="00412ECC">
              <w:rPr>
                <w:sz w:val="22"/>
                <w:szCs w:val="22"/>
                <w:lang w:val="hr-HR"/>
              </w:rPr>
              <w:t xml:space="preserve">postupati sukladno odredbama Priloga 4 natječajne dokumentacije </w:t>
            </w:r>
            <w:r w:rsidRPr="00412ECC">
              <w:rPr>
                <w:i/>
                <w:sz w:val="22"/>
                <w:szCs w:val="22"/>
                <w:lang w:val="hr-HR"/>
              </w:rPr>
              <w:t>Postupci nabave za osobe koje nisu obveznici Zakona o javnoj nabavi</w:t>
            </w:r>
            <w:r w:rsidRPr="00412ECC">
              <w:rPr>
                <w:sz w:val="22"/>
                <w:szCs w:val="22"/>
                <w:lang w:val="hr-HR"/>
              </w:rPr>
              <w:t xml:space="preserve">. Pragovi primjene postupaka nabave navedeni su u Zakonu o javnoj nabavi odnosno Prilogu 4 natječajne dokumentacije.  </w:t>
            </w:r>
          </w:p>
          <w:p w14:paraId="7CEDA2B3" w14:textId="760C8F02" w:rsidR="00882410" w:rsidRPr="00412ECC" w:rsidRDefault="00882410" w:rsidP="00252C83">
            <w:pPr>
              <w:pStyle w:val="FootnoteText"/>
              <w:rPr>
                <w:sz w:val="22"/>
                <w:szCs w:val="22"/>
                <w:lang w:val="hr-HR"/>
              </w:rPr>
            </w:pPr>
            <w:r w:rsidRPr="00412ECC">
              <w:rPr>
                <w:sz w:val="22"/>
                <w:szCs w:val="22"/>
                <w:lang w:val="hr-HR"/>
              </w:rPr>
              <w:t>S obzirom na to da, kao udruga, niste obveznik Zakona o javnoj nabavi, za nabavu usluga u vrijednosti do 150.000,00 kn možete primijeniti postupak direktne pogodbe, a za nabavu usluga u vrijednosti 150.000,00 do 200 000 kn primjenjiv je pregovarački postupak. Za nabavu usluga od 200.000,00 kn i više obavezna je provedba javnog nadmetanja.</w:t>
            </w:r>
          </w:p>
        </w:tc>
      </w:tr>
      <w:tr w:rsidR="00882410" w:rsidRPr="00F21646" w14:paraId="783520D2" w14:textId="77777777" w:rsidTr="00882410">
        <w:tc>
          <w:tcPr>
            <w:tcW w:w="562" w:type="dxa"/>
          </w:tcPr>
          <w:p w14:paraId="4880516C" w14:textId="77777777" w:rsidR="00882410" w:rsidRPr="00F21646" w:rsidRDefault="00882410" w:rsidP="00D27AE2">
            <w:pPr>
              <w:rPr>
                <w:rFonts w:eastAsia="Times New Roman"/>
              </w:rPr>
            </w:pPr>
            <w:r w:rsidRPr="00F21646">
              <w:rPr>
                <w:rFonts w:eastAsia="Times New Roman"/>
              </w:rPr>
              <w:lastRenderedPageBreak/>
              <w:t>21</w:t>
            </w:r>
          </w:p>
        </w:tc>
        <w:tc>
          <w:tcPr>
            <w:tcW w:w="3260" w:type="dxa"/>
          </w:tcPr>
          <w:p w14:paraId="7CB7FF8A" w14:textId="158FA5E8" w:rsidR="00882410" w:rsidRPr="00F21646" w:rsidRDefault="00882410" w:rsidP="00984C17">
            <w:pPr>
              <w:rPr>
                <w:rFonts w:eastAsia="Times New Roman"/>
              </w:rPr>
            </w:pPr>
            <w:r w:rsidRPr="00F21646">
              <w:rPr>
                <w:rFonts w:eastAsia="Times New Roman"/>
              </w:rPr>
              <w:t xml:space="preserve">Primjenjuje li se ograničenje od 200.000 kn, navedeno u točki 4.1.1 </w:t>
            </w:r>
            <w:r w:rsidRPr="00F21646">
              <w:rPr>
                <w:rFonts w:eastAsia="Times New Roman"/>
                <w:i/>
              </w:rPr>
              <w:t>Prihvatljivi izdaci</w:t>
            </w:r>
            <w:r w:rsidRPr="00F21646">
              <w:rPr>
                <w:rFonts w:eastAsia="Times New Roman"/>
              </w:rPr>
              <w:t xml:space="preserve"> Uputa za prijavitelje, dio „Izravni troškovi osoblja“ za sve troškove plaća? Odnosno, je li to maksimalan iznos za sve zaposlenike na projektu?</w:t>
            </w:r>
          </w:p>
        </w:tc>
        <w:tc>
          <w:tcPr>
            <w:tcW w:w="5529" w:type="dxa"/>
          </w:tcPr>
          <w:p w14:paraId="59AD25EB" w14:textId="0B40A0D8" w:rsidR="00882410" w:rsidRPr="00F21646" w:rsidRDefault="00882410" w:rsidP="00E72AC0">
            <w:r w:rsidRPr="00F21646">
              <w:t>Navedeno ograničenje ne primjenjuje se na troškove plaća koji proizlaze iz ugovora o radu/rješenja između prijavitelja/partnera i zaposlenika.</w:t>
            </w:r>
          </w:p>
          <w:p w14:paraId="39D33F6E" w14:textId="15DFEF01" w:rsidR="00882410" w:rsidRPr="00F21646" w:rsidRDefault="00882410" w:rsidP="00E72AC0">
            <w:pPr>
              <w:pStyle w:val="FootnoteText"/>
              <w:rPr>
                <w:rFonts w:asciiTheme="minorHAnsi" w:eastAsia="Times New Roman" w:hAnsiTheme="minorHAnsi" w:cstheme="minorBidi"/>
                <w:noProof/>
                <w:sz w:val="22"/>
                <w:szCs w:val="22"/>
                <w:lang w:val="hr-HR" w:eastAsia="en-US"/>
              </w:rPr>
            </w:pPr>
            <w:r w:rsidRPr="00F21646">
              <w:rPr>
                <w:rFonts w:asciiTheme="minorHAnsi" w:eastAsiaTheme="minorHAnsi" w:hAnsiTheme="minorHAnsi" w:cstheme="minorBidi"/>
                <w:sz w:val="22"/>
                <w:szCs w:val="22"/>
                <w:lang w:val="hr-HR" w:eastAsia="en-US"/>
              </w:rPr>
              <w:t>Navedeno ograničenje primjenjuje se na pojedinačne ugovore, odnosno na pojedinačnu fizičku osobu (ne cjelokupne troškove ugovora o uslugama u okviru projektnog prijedloga). Premašivanje tog ograničenja znači da se taj trošak ne može svrstati u izravne troškove osoblja.</w:t>
            </w:r>
          </w:p>
        </w:tc>
      </w:tr>
      <w:tr w:rsidR="00882410" w:rsidRPr="00F21646" w14:paraId="38FEA194" w14:textId="77777777" w:rsidTr="00882410">
        <w:tc>
          <w:tcPr>
            <w:tcW w:w="562" w:type="dxa"/>
          </w:tcPr>
          <w:p w14:paraId="29390B88" w14:textId="77777777" w:rsidR="00882410" w:rsidRPr="00F21646" w:rsidRDefault="00882410" w:rsidP="00D27AE2">
            <w:pPr>
              <w:rPr>
                <w:rFonts w:eastAsia="Times New Roman"/>
              </w:rPr>
            </w:pPr>
            <w:r w:rsidRPr="00F21646">
              <w:rPr>
                <w:rFonts w:eastAsia="Times New Roman"/>
              </w:rPr>
              <w:t>22</w:t>
            </w:r>
          </w:p>
        </w:tc>
        <w:tc>
          <w:tcPr>
            <w:tcW w:w="3260" w:type="dxa"/>
          </w:tcPr>
          <w:p w14:paraId="7941C6C3" w14:textId="77049AE0" w:rsidR="00882410" w:rsidRPr="00F21646" w:rsidRDefault="00882410" w:rsidP="00FD4568">
            <w:pPr>
              <w:rPr>
                <w:rFonts w:ascii="Calibri" w:eastAsia="Times New Roman" w:hAnsi="Calibri" w:cs="Calibri"/>
                <w:color w:val="000000"/>
              </w:rPr>
            </w:pPr>
            <w:r w:rsidRPr="00F21646">
              <w:rPr>
                <w:rFonts w:ascii="Calibri" w:eastAsia="Times New Roman" w:hAnsi="Calibri" w:cs="Calibri"/>
                <w:color w:val="000000"/>
              </w:rPr>
              <w:t>Prijavitelj je novoosnovana udruga koja je registrirana za obavljanje djelatnosti u RH više od 12 mjeseci. Udruga nema vlastito iskustvo u području sudioničkog upravljanja, no udruga je inicijativa više različitih organizacija koje sve imaju bogato iskustvo u tom području. Također, s obzirom na recentnost nastajanja udruge, ona nema financijski kapacitet koji bi odgovarao visokom bodovnom pragu. Može li se kapacitet novonastale udruge „pravdati“ prethodno provedenim projektima u području sudioničkog upravljanja od strane njezinih udruga članica, iako sam prijavitelj nije ostvario financijsku potporu za navedene projekte?</w:t>
            </w:r>
          </w:p>
        </w:tc>
        <w:tc>
          <w:tcPr>
            <w:tcW w:w="5529" w:type="dxa"/>
          </w:tcPr>
          <w:p w14:paraId="6B731522" w14:textId="65F477D4" w:rsidR="00882410" w:rsidRPr="00F21646" w:rsidRDefault="00882410" w:rsidP="002B414F">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 xml:space="preserve">Prijavitelj, kao inicijativa drugih pravnih osoba, u okviru vlastitih kapaciteta može opisati način svoga nastanka i dionike uključene u svoj nastanak te navesti prethodno provedene projekte svojih članova kao garanciju vlastite stručnosti te financijskih i administrativnih kapaciteta. Napominjemo  da se u okviru kriterija 7.1. „Upravljačko-administrativni, financijski i stručni kapaciteti za provedbu projekta (iskustvo provedbe projekata slične vrijednosti i svrhe)“ </w:t>
            </w:r>
            <w:r w:rsidRPr="00F21646">
              <w:rPr>
                <w:sz w:val="22"/>
                <w:lang w:val="hr-HR"/>
              </w:rPr>
              <w:t xml:space="preserve">navedenog u okviru točke 6.2 </w:t>
            </w:r>
            <w:r w:rsidRPr="00F21646">
              <w:rPr>
                <w:i/>
                <w:sz w:val="22"/>
                <w:lang w:val="hr-HR"/>
              </w:rPr>
              <w:t>Procjena kvalitete</w:t>
            </w:r>
            <w:r w:rsidRPr="00F21646">
              <w:rPr>
                <w:sz w:val="22"/>
                <w:lang w:val="hr-HR"/>
              </w:rPr>
              <w:t xml:space="preserve"> Uputa za prijavitelje ocjenjuju kumulativni stručni/ financijski/ administrativni kapaciteti prijavitelja i (svih) partnera.</w:t>
            </w:r>
          </w:p>
        </w:tc>
      </w:tr>
      <w:tr w:rsidR="00882410" w:rsidRPr="00F21646" w14:paraId="30B29898" w14:textId="77777777" w:rsidTr="00882410">
        <w:tc>
          <w:tcPr>
            <w:tcW w:w="562" w:type="dxa"/>
          </w:tcPr>
          <w:p w14:paraId="1B8977B8" w14:textId="2A0DF302" w:rsidR="00882410" w:rsidRPr="00F21646" w:rsidRDefault="00882410" w:rsidP="00D27AE2">
            <w:pPr>
              <w:rPr>
                <w:rFonts w:eastAsia="Times New Roman"/>
              </w:rPr>
            </w:pPr>
            <w:r w:rsidRPr="00F21646">
              <w:rPr>
                <w:rFonts w:eastAsia="Times New Roman"/>
              </w:rPr>
              <w:t>23</w:t>
            </w:r>
          </w:p>
        </w:tc>
        <w:tc>
          <w:tcPr>
            <w:tcW w:w="3260" w:type="dxa"/>
          </w:tcPr>
          <w:p w14:paraId="27F107C1" w14:textId="154A0D87" w:rsidR="00882410" w:rsidRPr="00F21646" w:rsidRDefault="00882410" w:rsidP="00385B98">
            <w:r w:rsidRPr="00F21646">
              <w:t>Jedinica lokalne samouprave u vlasništvu ima prostor koji bi bio primjeren za provođenje aktivnosti u okviru ovog Poziva, no nije utvrđeno realno stanje njegove konstrukcije, odnosno nije utvrđeno koliki bi iznos bio potreban za njegovu adaptaciju. Istovremeno, jedinica lokalne samouprave smatra da najveći mogući iznos raspoloživ za troškove adaptacije (30% od 2,5 mil. kn) neće biti dostatan za izvođenje adaptacije. S obzirom na navedeno, može li grad sufinancirati adaptaciju tog prostora iz vlastitog proračuna?</w:t>
            </w:r>
          </w:p>
        </w:tc>
        <w:tc>
          <w:tcPr>
            <w:tcW w:w="5529" w:type="dxa"/>
          </w:tcPr>
          <w:p w14:paraId="51B13F90" w14:textId="7DB6509C" w:rsidR="00882410" w:rsidRPr="00F21646" w:rsidRDefault="00882410" w:rsidP="00990559">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 xml:space="preserve">U okviru ovog Poziva predviđeno je financiranje projekata u stopostotnom iznosu te projektni prijedlog odnosno sve projektne aktivnosti i očekivani rezultati trebaju predstavljati cjelinu, neovisnu o drugim izvorima financiranja. </w:t>
            </w:r>
          </w:p>
          <w:p w14:paraId="7B8A3512" w14:textId="77777777" w:rsidR="00882410" w:rsidRPr="00F21646" w:rsidRDefault="00882410" w:rsidP="00990559">
            <w:pPr>
              <w:pStyle w:val="FootnoteText"/>
              <w:rPr>
                <w:rFonts w:asciiTheme="minorHAnsi" w:eastAsiaTheme="minorHAnsi" w:hAnsiTheme="minorHAnsi" w:cstheme="minorBidi"/>
                <w:sz w:val="22"/>
                <w:szCs w:val="22"/>
                <w:lang w:val="hr-HR" w:eastAsia="en-US"/>
              </w:rPr>
            </w:pPr>
          </w:p>
          <w:p w14:paraId="64C33AC6" w14:textId="17D22FA8" w:rsidR="00882410" w:rsidRPr="00F21646" w:rsidRDefault="00882410" w:rsidP="00F81E09">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t>Predlažemo da prethodno prijavi projektnog prijedloga utvrdite stanje nekretnine te iznos potrebnih ulaganja, kako biste mogli utvrditi koje radove, odnosno troškove, je potrebno uvrstiti u proračun projektnog prijedloga, i kako biste iste mogli temeljito obrazložiti u okviru razrade aktivnosti i elemenata projektnog prijedloga.</w:t>
            </w:r>
          </w:p>
        </w:tc>
      </w:tr>
      <w:tr w:rsidR="00882410" w:rsidRPr="00F21646" w14:paraId="1E98D9B9" w14:textId="77777777" w:rsidTr="00882410">
        <w:tc>
          <w:tcPr>
            <w:tcW w:w="562" w:type="dxa"/>
          </w:tcPr>
          <w:p w14:paraId="4E94D0D1" w14:textId="17E06875" w:rsidR="00882410" w:rsidRPr="00F21646" w:rsidRDefault="00882410" w:rsidP="00D27AE2">
            <w:pPr>
              <w:rPr>
                <w:rFonts w:eastAsia="Times New Roman"/>
              </w:rPr>
            </w:pPr>
            <w:r w:rsidRPr="00F21646">
              <w:rPr>
                <w:rFonts w:eastAsia="Times New Roman"/>
              </w:rPr>
              <w:t>24</w:t>
            </w:r>
          </w:p>
        </w:tc>
        <w:tc>
          <w:tcPr>
            <w:tcW w:w="3260" w:type="dxa"/>
          </w:tcPr>
          <w:p w14:paraId="6372025A" w14:textId="26A1993C" w:rsidR="00882410" w:rsidRPr="00F21646" w:rsidRDefault="00882410" w:rsidP="004974A7">
            <w:r w:rsidRPr="00F21646">
              <w:t xml:space="preserve">Podrazumijeva li koncept sudioničkog upravljanja te koncept društveno-kulturnog centra ustupanje prostora (bez naplate) nekim drugim </w:t>
            </w:r>
            <w:r w:rsidRPr="00F21646">
              <w:lastRenderedPageBreak/>
              <w:t>umjetničkim i kulturnim organizacijama koje ne bi bile prijavitelj, niti partner u okviru projektne prijave na ovaj Poziv?</w:t>
            </w:r>
          </w:p>
        </w:tc>
        <w:tc>
          <w:tcPr>
            <w:tcW w:w="5529" w:type="dxa"/>
          </w:tcPr>
          <w:p w14:paraId="27D12C2F" w14:textId="18BE4335" w:rsidR="00882410" w:rsidRPr="00F21646" w:rsidRDefault="00882410" w:rsidP="00B918FC">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lastRenderedPageBreak/>
              <w:t>Da. Poželjno je uključivanje svih relevantnih dionika u djelovanje društveno-kulturnog centra, što uključuje i ustupanje prostora bez naplate i organizacijama koje nisu prijavitelj/partner.</w:t>
            </w:r>
          </w:p>
        </w:tc>
      </w:tr>
      <w:tr w:rsidR="00882410" w:rsidRPr="00F21646" w14:paraId="11C5CB34" w14:textId="77777777" w:rsidTr="00882410">
        <w:tc>
          <w:tcPr>
            <w:tcW w:w="562" w:type="dxa"/>
          </w:tcPr>
          <w:p w14:paraId="68E54F18" w14:textId="77777777" w:rsidR="00882410" w:rsidRPr="00F21646" w:rsidRDefault="00882410" w:rsidP="00D27AE2">
            <w:pPr>
              <w:rPr>
                <w:rFonts w:eastAsia="Times New Roman"/>
              </w:rPr>
            </w:pPr>
            <w:r w:rsidRPr="00F21646">
              <w:rPr>
                <w:rFonts w:eastAsia="Times New Roman"/>
              </w:rPr>
              <w:t>25</w:t>
            </w:r>
          </w:p>
        </w:tc>
        <w:tc>
          <w:tcPr>
            <w:tcW w:w="3260" w:type="dxa"/>
          </w:tcPr>
          <w:p w14:paraId="18C2EEB2" w14:textId="75F4C780" w:rsidR="00882410" w:rsidRPr="00F21646" w:rsidRDefault="00882410" w:rsidP="00D27AE2">
            <w:pPr>
              <w:rPr>
                <w:rFonts w:eastAsia="Times New Roman"/>
              </w:rPr>
            </w:pPr>
            <w:r w:rsidRPr="00F21646">
              <w:rPr>
                <w:rFonts w:eastAsia="Times New Roman"/>
              </w:rPr>
              <w:t>Je li LAG prihvatljiv prijavitelj i/ili partner u okviru ovog Poziva?</w:t>
            </w:r>
          </w:p>
        </w:tc>
        <w:tc>
          <w:tcPr>
            <w:tcW w:w="5529" w:type="dxa"/>
          </w:tcPr>
          <w:p w14:paraId="4A039F93" w14:textId="6904A19F" w:rsidR="00882410" w:rsidRPr="00F21646" w:rsidRDefault="00882410" w:rsidP="00D27AE2">
            <w:pPr>
              <w:rPr>
                <w:rFonts w:eastAsia="Times New Roman"/>
              </w:rPr>
            </w:pPr>
            <w:r w:rsidRPr="00F21646">
              <w:rPr>
                <w:rFonts w:eastAsia="Times New Roman"/>
              </w:rPr>
              <w:t>LAG, koji je po svojoj pravnoj osobnosti udruga, je prihvatljiv partner u okviru ovog Poziva. Ukoliko LAG djeluje u području kulture/umjetnosti, on je prihvatljiv prijavitelj u okviru ovog Poziva.</w:t>
            </w:r>
          </w:p>
          <w:p w14:paraId="414867E0" w14:textId="66B1896D" w:rsidR="00882410" w:rsidRPr="00F21646" w:rsidRDefault="00882410" w:rsidP="009B4DDB">
            <w:pPr>
              <w:rPr>
                <w:rFonts w:eastAsia="Times New Roman"/>
              </w:rPr>
            </w:pPr>
            <w:r w:rsidRPr="00F21646">
              <w:rPr>
                <w:rFonts w:eastAsia="Times New Roman"/>
              </w:rPr>
              <w:t>Napominjemo da je u okviru skupine aktivnosti A obavezno partnerstvo s jedinicom lokalne samouprave te da je za obje skupine aktivnosti nužno da u projektno partnerstvo budu uključene najmanje tri organizacije civilnog društva (u ovom konkretnom slučaju, LAG i još dvije udruge/ umjetničke organizacije) ili jedan savez udruga.</w:t>
            </w:r>
          </w:p>
        </w:tc>
      </w:tr>
      <w:tr w:rsidR="00882410" w:rsidRPr="00F21646" w14:paraId="53D1C4F8" w14:textId="77777777" w:rsidTr="00882410">
        <w:tc>
          <w:tcPr>
            <w:tcW w:w="562" w:type="dxa"/>
          </w:tcPr>
          <w:p w14:paraId="6C1140A9" w14:textId="080D9975" w:rsidR="00882410" w:rsidRPr="00F21646" w:rsidRDefault="00882410" w:rsidP="00D27AE2">
            <w:pPr>
              <w:rPr>
                <w:rFonts w:eastAsia="Times New Roman"/>
              </w:rPr>
            </w:pPr>
            <w:r w:rsidRPr="00F21646">
              <w:rPr>
                <w:rFonts w:eastAsia="Times New Roman"/>
              </w:rPr>
              <w:t>26</w:t>
            </w:r>
          </w:p>
        </w:tc>
        <w:tc>
          <w:tcPr>
            <w:tcW w:w="3260" w:type="dxa"/>
          </w:tcPr>
          <w:p w14:paraId="0CBC3728" w14:textId="4A967B93" w:rsidR="00882410" w:rsidRPr="00F21646" w:rsidRDefault="00882410" w:rsidP="00D27AE2">
            <w:r w:rsidRPr="00F21646">
              <w:t>Jesu li muzeji i knjižnice prihvatljivi partneri u okviru ovog Poziva?</w:t>
            </w:r>
          </w:p>
        </w:tc>
        <w:tc>
          <w:tcPr>
            <w:tcW w:w="5529" w:type="dxa"/>
          </w:tcPr>
          <w:p w14:paraId="0F128054" w14:textId="4206DFD2" w:rsidR="00882410" w:rsidRPr="00F21646" w:rsidRDefault="00882410" w:rsidP="00D27AE2">
            <w:pPr>
              <w:rPr>
                <w:rFonts w:eastAsia="Times New Roman"/>
              </w:rPr>
            </w:pPr>
            <w:r w:rsidRPr="00F21646">
              <w:rPr>
                <w:rFonts w:eastAsia="Times New Roman"/>
              </w:rPr>
              <w:t xml:space="preserve">Muzeji i knjižnice, kao ustanove u kulturi, su prihvatljivi partneri u okviru obje skupine aktivnosti, ukoliko su osnovane od strane jedinice lokalne, područne (regionalne) samouprave te ukoliko ispunjavaju uvjete prihvatljivosti navedene u </w:t>
            </w:r>
            <w:r w:rsidRPr="00F21646">
              <w:rPr>
                <w:rFonts w:eastAsia="Times New Roman"/>
                <w:noProof/>
              </w:rPr>
              <w:t xml:space="preserve">točki 2.2 </w:t>
            </w:r>
            <w:r w:rsidRPr="00F21646">
              <w:rPr>
                <w:rFonts w:eastAsia="Times New Roman"/>
                <w:i/>
                <w:noProof/>
              </w:rPr>
              <w:t>Uvjeti prihvatljivosti prijavitelja/ partnera</w:t>
            </w:r>
            <w:r w:rsidRPr="00F21646">
              <w:rPr>
                <w:rFonts w:eastAsia="Times New Roman"/>
                <w:noProof/>
              </w:rPr>
              <w:t xml:space="preserve"> Uputa za prijavitelje</w:t>
            </w:r>
            <w:r w:rsidRPr="00F21646">
              <w:rPr>
                <w:rFonts w:eastAsia="Times New Roman"/>
              </w:rPr>
              <w:t>.</w:t>
            </w:r>
          </w:p>
        </w:tc>
      </w:tr>
      <w:tr w:rsidR="00882410" w:rsidRPr="00F21646" w14:paraId="036321CC" w14:textId="77777777" w:rsidTr="00882410">
        <w:tc>
          <w:tcPr>
            <w:tcW w:w="562" w:type="dxa"/>
          </w:tcPr>
          <w:p w14:paraId="317E4F9C" w14:textId="77777777" w:rsidR="00882410" w:rsidRPr="00F21646" w:rsidRDefault="00882410" w:rsidP="00D27AE2">
            <w:pPr>
              <w:rPr>
                <w:rFonts w:eastAsia="Times New Roman"/>
              </w:rPr>
            </w:pPr>
            <w:r w:rsidRPr="00F21646">
              <w:rPr>
                <w:rFonts w:eastAsia="Times New Roman"/>
              </w:rPr>
              <w:t>27</w:t>
            </w:r>
          </w:p>
        </w:tc>
        <w:tc>
          <w:tcPr>
            <w:tcW w:w="3260" w:type="dxa"/>
          </w:tcPr>
          <w:p w14:paraId="71F5D7B3" w14:textId="43618FBC" w:rsidR="00882410" w:rsidRPr="00F21646" w:rsidRDefault="00882410" w:rsidP="00D27AE2">
            <w:r w:rsidRPr="00F21646">
              <w:t>Na koji način se može angažirati osoba koja je u mirovini na provedbi projektnih aktivnosti?</w:t>
            </w:r>
          </w:p>
        </w:tc>
        <w:tc>
          <w:tcPr>
            <w:tcW w:w="5529" w:type="dxa"/>
          </w:tcPr>
          <w:p w14:paraId="4266F8C9" w14:textId="4154ACD0" w:rsidR="00882410" w:rsidRPr="00F21646" w:rsidRDefault="00882410" w:rsidP="00240CF2">
            <w:pPr>
              <w:rPr>
                <w:rFonts w:eastAsia="Times New Roman"/>
              </w:rPr>
            </w:pPr>
            <w:r w:rsidRPr="00F21646">
              <w:rPr>
                <w:rFonts w:eastAsia="Times New Roman"/>
              </w:rPr>
              <w:t>S umirovljenom osobom je moguće sklopiti ugovor o djelu ili autorski ugovor za obavljanje privremenih poslova na projektu. Dodatno, članak 99. Zakona o mirovinskom osiguranju (NN 157/13, 151/14, 33/15, 93/15, 120/16) definira mogućnost dugotrajnijeg zapošljavanja umirovljenika bez obaveze obustavljanja mirovine.</w:t>
            </w:r>
          </w:p>
        </w:tc>
      </w:tr>
      <w:tr w:rsidR="00882410" w:rsidRPr="00F21646" w14:paraId="309F8AE9" w14:textId="77777777" w:rsidTr="00882410">
        <w:tc>
          <w:tcPr>
            <w:tcW w:w="562" w:type="dxa"/>
          </w:tcPr>
          <w:p w14:paraId="0D143C5F" w14:textId="77777777" w:rsidR="00882410" w:rsidRPr="00F21646" w:rsidRDefault="00882410" w:rsidP="00D27AE2">
            <w:pPr>
              <w:rPr>
                <w:rFonts w:eastAsia="Times New Roman"/>
              </w:rPr>
            </w:pPr>
            <w:r w:rsidRPr="00F21646">
              <w:rPr>
                <w:rFonts w:eastAsia="Times New Roman"/>
              </w:rPr>
              <w:t>28</w:t>
            </w:r>
          </w:p>
        </w:tc>
        <w:tc>
          <w:tcPr>
            <w:tcW w:w="3260" w:type="dxa"/>
          </w:tcPr>
          <w:p w14:paraId="38D2F082" w14:textId="6876818D" w:rsidR="00882410" w:rsidRPr="00F21646" w:rsidRDefault="00882410" w:rsidP="00D27AE2">
            <w:r w:rsidRPr="00F21646">
              <w:t>Je li moguće u okviru ovog Poziva financirati restauraciju sakralnih prostora i predmeta?</w:t>
            </w:r>
          </w:p>
        </w:tc>
        <w:tc>
          <w:tcPr>
            <w:tcW w:w="5529" w:type="dxa"/>
          </w:tcPr>
          <w:p w14:paraId="2B5D2D4C" w14:textId="5A3D2095" w:rsidR="00882410" w:rsidRPr="00F21646" w:rsidRDefault="00882410" w:rsidP="003910D3">
            <w:pPr>
              <w:rPr>
                <w:rFonts w:eastAsia="Times New Roman"/>
              </w:rPr>
            </w:pPr>
            <w:r w:rsidRPr="00F21646">
              <w:rPr>
                <w:rFonts w:eastAsia="Times New Roman"/>
              </w:rPr>
              <w:t xml:space="preserve">Ne. Navedena aktivnost ne doprinosi općem kao ni specifičnim ciljevima Poziva. </w:t>
            </w:r>
          </w:p>
        </w:tc>
      </w:tr>
      <w:tr w:rsidR="00882410" w:rsidRPr="00F21646" w14:paraId="0B794829" w14:textId="77777777" w:rsidTr="00882410">
        <w:tc>
          <w:tcPr>
            <w:tcW w:w="562" w:type="dxa"/>
          </w:tcPr>
          <w:p w14:paraId="73A0DF5D" w14:textId="77777777" w:rsidR="00882410" w:rsidRPr="00F21646" w:rsidRDefault="00882410" w:rsidP="00D27AE2">
            <w:pPr>
              <w:rPr>
                <w:rFonts w:eastAsia="Times New Roman"/>
              </w:rPr>
            </w:pPr>
            <w:r w:rsidRPr="00F21646">
              <w:rPr>
                <w:rFonts w:eastAsia="Times New Roman"/>
              </w:rPr>
              <w:t>29</w:t>
            </w:r>
          </w:p>
        </w:tc>
        <w:tc>
          <w:tcPr>
            <w:tcW w:w="3260" w:type="dxa"/>
          </w:tcPr>
          <w:p w14:paraId="4A7C4BC8" w14:textId="48A2D082" w:rsidR="00882410" w:rsidRPr="00F21646" w:rsidRDefault="00882410" w:rsidP="00FF4AD5">
            <w:r w:rsidRPr="00F21646">
              <w:t>Ukoliko je rezultat aktivnosti u okviru skupine aktivnosti A model sudioničkog upravljanja kao pravni dokument, a ne konkretni, uspostavljeni društveno-kulturni centar, koji bi bili konkretni izvori provjere održivosti/ uspješnosti tog modela? Jesu li to primjerice programi koji bi se u budućnosti provodili?</w:t>
            </w:r>
          </w:p>
        </w:tc>
        <w:tc>
          <w:tcPr>
            <w:tcW w:w="5529" w:type="dxa"/>
          </w:tcPr>
          <w:p w14:paraId="1D742341" w14:textId="06EFD417" w:rsidR="00882410" w:rsidRPr="00F21646" w:rsidRDefault="00882410" w:rsidP="004233DC">
            <w:pPr>
              <w:rPr>
                <w:rFonts w:eastAsia="Times New Roman"/>
              </w:rPr>
            </w:pPr>
            <w:r w:rsidRPr="00F21646">
              <w:rPr>
                <w:rFonts w:eastAsia="Times New Roman"/>
              </w:rPr>
              <w:t>Nije nužno da tijekom provedbe projekta bude uspostavljen model sudioničkog upravljanja, već je kao rezultat aktivnosti prihvatljiv i izrađeni model upravljanja. Prijavitelja treba u rubrici Prijavnog obrasca A „Kratki opis na koji će način održivost rezultata projekta biti zajamčena nakon završetka projekta“ objasniti na koji način planira implementaciju/ realizaciju izrađenog modela u budućnosti.</w:t>
            </w:r>
          </w:p>
        </w:tc>
      </w:tr>
      <w:tr w:rsidR="00882410" w:rsidRPr="007060DE" w14:paraId="60579C84" w14:textId="77777777" w:rsidTr="00882410">
        <w:tc>
          <w:tcPr>
            <w:tcW w:w="562" w:type="dxa"/>
          </w:tcPr>
          <w:p w14:paraId="46D214AD" w14:textId="77777777" w:rsidR="00882410" w:rsidRPr="00F21646" w:rsidRDefault="00882410" w:rsidP="00D27AE2">
            <w:pPr>
              <w:rPr>
                <w:rFonts w:eastAsia="Times New Roman"/>
              </w:rPr>
            </w:pPr>
            <w:r w:rsidRPr="00F21646">
              <w:rPr>
                <w:rFonts w:eastAsia="Times New Roman"/>
              </w:rPr>
              <w:t>30</w:t>
            </w:r>
          </w:p>
        </w:tc>
        <w:tc>
          <w:tcPr>
            <w:tcW w:w="3260" w:type="dxa"/>
          </w:tcPr>
          <w:p w14:paraId="72DAD648" w14:textId="1F1EE1F5" w:rsidR="00882410" w:rsidRPr="00F21646" w:rsidRDefault="00882410" w:rsidP="00D27AE2">
            <w:pPr>
              <w:tabs>
                <w:tab w:val="left" w:pos="1095"/>
              </w:tabs>
            </w:pPr>
            <w:r w:rsidRPr="00F21646">
              <w:t>Postoji li mogućnost zahtjeva za predujam u okviru ovog Poziva?</w:t>
            </w:r>
          </w:p>
        </w:tc>
        <w:tc>
          <w:tcPr>
            <w:tcW w:w="5529" w:type="dxa"/>
          </w:tcPr>
          <w:p w14:paraId="505B79AC" w14:textId="23B87C0B" w:rsidR="00882410" w:rsidRPr="007060DE" w:rsidRDefault="00882410" w:rsidP="009B4DDB">
            <w:pPr>
              <w:pStyle w:val="FootnoteText"/>
              <w:rPr>
                <w:rFonts w:asciiTheme="minorHAnsi" w:eastAsia="Times New Roman" w:hAnsiTheme="minorHAnsi" w:cstheme="minorBidi"/>
                <w:noProof/>
                <w:sz w:val="22"/>
                <w:szCs w:val="22"/>
                <w:lang w:val="hr-HR" w:eastAsia="en-US"/>
              </w:rPr>
            </w:pPr>
            <w:r w:rsidRPr="00F21646">
              <w:rPr>
                <w:rFonts w:asciiTheme="minorHAnsi" w:eastAsia="Times New Roman" w:hAnsiTheme="minorHAnsi" w:cstheme="minorBidi"/>
                <w:noProof/>
                <w:sz w:val="22"/>
                <w:szCs w:val="22"/>
                <w:lang w:val="hr-HR" w:eastAsia="en-US"/>
              </w:rPr>
              <w:t>Da. Sukladno točki 1.</w:t>
            </w:r>
            <w:r w:rsidRPr="00F21646">
              <w:rPr>
                <w:rFonts w:asciiTheme="minorHAnsi" w:eastAsia="Times New Roman" w:hAnsiTheme="minorHAnsi" w:cstheme="minorBidi"/>
                <w:i/>
                <w:noProof/>
                <w:sz w:val="22"/>
                <w:szCs w:val="22"/>
                <w:lang w:val="hr-HR" w:eastAsia="en-US"/>
              </w:rPr>
              <w:t>6 Financijska alokacija i iznos bespovratnih sredstava</w:t>
            </w:r>
            <w:r w:rsidRPr="00F21646">
              <w:rPr>
                <w:rFonts w:asciiTheme="minorHAnsi" w:eastAsia="Times New Roman" w:hAnsiTheme="minorHAnsi" w:cstheme="minorBidi"/>
                <w:noProof/>
                <w:sz w:val="22"/>
                <w:szCs w:val="22"/>
                <w:lang w:val="hr-HR" w:eastAsia="en-US"/>
              </w:rPr>
              <w:t xml:space="preserve"> Uputa za prijavitelje, Ministarstvo kulture osigurava isplatu predujma u najvišem iznosu od 40% ukupno prihvatljivih troškova projektnog prijedloga onim korisnicima koji nisu proračunski i izvanproračunski korisnici Državnog proračuna (vidi također i točku 3.5. Posebnih uvjeta Ugovora o dodjeli bespovratnih sredstava – Prilog 2 natječajne dokumentacije). Način podnošenja zahtjeva za predujam propisan je člankom 15. Općih uvjeta Ugovora o bespovratnim sredstvima gdje su navedeni rokovi isplate i ostali uvjeti korištenja predujma (Prilog 1 natječajne dokumentacije).</w:t>
            </w:r>
          </w:p>
        </w:tc>
      </w:tr>
    </w:tbl>
    <w:p w14:paraId="13EBCD01" w14:textId="77777777" w:rsidR="0016404E" w:rsidRPr="007060DE" w:rsidRDefault="0016404E">
      <w:pPr>
        <w:rPr>
          <w:rFonts w:eastAsia="Times New Roman"/>
        </w:rPr>
      </w:pPr>
    </w:p>
    <w:sectPr w:rsidR="0016404E" w:rsidRPr="007060D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B082B" w16cid:durableId="1E2429C6"/>
  <w16cid:commentId w16cid:paraId="5F4EE247" w16cid:durableId="1E2452FF"/>
  <w16cid:commentId w16cid:paraId="6EB7C8C4" w16cid:durableId="1E2429C7"/>
  <w16cid:commentId w16cid:paraId="51719E25" w16cid:durableId="1E2442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Segoe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B14"/>
    <w:multiLevelType w:val="hybridMultilevel"/>
    <w:tmpl w:val="1D6C40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18101F7"/>
    <w:multiLevelType w:val="hybridMultilevel"/>
    <w:tmpl w:val="343EB0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A040CA8"/>
    <w:multiLevelType w:val="hybridMultilevel"/>
    <w:tmpl w:val="E64804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2AF31EA"/>
    <w:multiLevelType w:val="hybridMultilevel"/>
    <w:tmpl w:val="DB04B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BAB61A9"/>
    <w:multiLevelType w:val="multilevel"/>
    <w:tmpl w:val="CBA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833F2"/>
    <w:multiLevelType w:val="hybridMultilevel"/>
    <w:tmpl w:val="7DB646E2"/>
    <w:lvl w:ilvl="0" w:tplc="90801DFA">
      <w:numFmt w:val="bullet"/>
      <w:lvlText w:val="-"/>
      <w:lvlJc w:val="left"/>
      <w:pPr>
        <w:ind w:left="360" w:hanging="360"/>
      </w:pPr>
      <w:rPr>
        <w:rFonts w:ascii="Trebuchet MS" w:eastAsia="Calibri"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2122B02"/>
    <w:multiLevelType w:val="hybridMultilevel"/>
    <w:tmpl w:val="473AD78C"/>
    <w:styleLink w:val="Importiranistil8"/>
    <w:lvl w:ilvl="0" w:tplc="D04211A8">
      <w:start w:val="1"/>
      <w:numFmt w:val="bullet"/>
      <w:lvlText w:val="-"/>
      <w:lvlJc w:val="left"/>
      <w:pPr>
        <w:ind w:left="2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C2686">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1ABF9E">
      <w:start w:val="1"/>
      <w:numFmt w:val="bullet"/>
      <w:lvlText w:val="▪"/>
      <w:lvlJc w:val="left"/>
      <w:pPr>
        <w:ind w:left="16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C6C34">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B110">
      <w:start w:val="1"/>
      <w:numFmt w:val="bullet"/>
      <w:lvlText w:val="o"/>
      <w:lvlJc w:val="left"/>
      <w:pPr>
        <w:ind w:left="309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0FAEE">
      <w:start w:val="1"/>
      <w:numFmt w:val="bullet"/>
      <w:lvlText w:val="▪"/>
      <w:lvlJc w:val="left"/>
      <w:pPr>
        <w:ind w:left="38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026D0">
      <w:start w:val="1"/>
      <w:numFmt w:val="bullet"/>
      <w:lvlText w:val="•"/>
      <w:lvlJc w:val="left"/>
      <w:pPr>
        <w:ind w:left="453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C6C8E">
      <w:start w:val="1"/>
      <w:numFmt w:val="bullet"/>
      <w:lvlText w:val="o"/>
      <w:lvlJc w:val="left"/>
      <w:pPr>
        <w:ind w:left="52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EE366">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F105369"/>
    <w:multiLevelType w:val="hybridMultilevel"/>
    <w:tmpl w:val="473AD78C"/>
    <w:numStyleLink w:val="Importiranistil8"/>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1"/>
  </w:num>
  <w:num w:numId="8">
    <w:abstractNumId w:val="6"/>
  </w:num>
  <w:num w:numId="9">
    <w:abstractNumId w:val="7"/>
    <w:lvlOverride w:ilvl="0">
      <w:lvl w:ilvl="0" w:tplc="10B4312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DD0D40E">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F40F51E">
        <w:start w:val="1"/>
        <w:numFmt w:val="bullet"/>
        <w:lvlText w:val="▪"/>
        <w:lvlJc w:val="left"/>
        <w:pPr>
          <w:ind w:left="170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84898E">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1E7ACA">
        <w:start w:val="1"/>
        <w:numFmt w:val="bullet"/>
        <w:lvlText w:val="o"/>
        <w:lvlJc w:val="left"/>
        <w:pPr>
          <w:ind w:left="3124" w:hanging="2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D2659C">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1004A4">
        <w:start w:val="1"/>
        <w:numFmt w:val="bullet"/>
        <w:lvlText w:val="•"/>
        <w:lvlJc w:val="left"/>
        <w:pPr>
          <w:ind w:left="4544"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3819B4">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A65BD4">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4E"/>
    <w:rsid w:val="00013FAC"/>
    <w:rsid w:val="00014BC4"/>
    <w:rsid w:val="00017516"/>
    <w:rsid w:val="00020DEC"/>
    <w:rsid w:val="00023761"/>
    <w:rsid w:val="00023F40"/>
    <w:rsid w:val="0003093A"/>
    <w:rsid w:val="000336E6"/>
    <w:rsid w:val="000338C1"/>
    <w:rsid w:val="00035A86"/>
    <w:rsid w:val="00037E50"/>
    <w:rsid w:val="0004182D"/>
    <w:rsid w:val="00041F5D"/>
    <w:rsid w:val="000510D3"/>
    <w:rsid w:val="00061C2F"/>
    <w:rsid w:val="000662D6"/>
    <w:rsid w:val="00066F47"/>
    <w:rsid w:val="000767A9"/>
    <w:rsid w:val="00082D44"/>
    <w:rsid w:val="00091371"/>
    <w:rsid w:val="0009217B"/>
    <w:rsid w:val="0009286C"/>
    <w:rsid w:val="0009600D"/>
    <w:rsid w:val="000A1684"/>
    <w:rsid w:val="000B0609"/>
    <w:rsid w:val="000B29E4"/>
    <w:rsid w:val="000C3A5E"/>
    <w:rsid w:val="000D00A5"/>
    <w:rsid w:val="000D37EF"/>
    <w:rsid w:val="000D3B48"/>
    <w:rsid w:val="000D455D"/>
    <w:rsid w:val="000D75E9"/>
    <w:rsid w:val="000E17D3"/>
    <w:rsid w:val="000F2BD9"/>
    <w:rsid w:val="000F2EDB"/>
    <w:rsid w:val="000F3735"/>
    <w:rsid w:val="000F42F9"/>
    <w:rsid w:val="00101122"/>
    <w:rsid w:val="00101471"/>
    <w:rsid w:val="001015B9"/>
    <w:rsid w:val="0010317B"/>
    <w:rsid w:val="00104806"/>
    <w:rsid w:val="00107E41"/>
    <w:rsid w:val="00113950"/>
    <w:rsid w:val="00116E39"/>
    <w:rsid w:val="00117F71"/>
    <w:rsid w:val="00120E2E"/>
    <w:rsid w:val="00121680"/>
    <w:rsid w:val="00123521"/>
    <w:rsid w:val="00124A60"/>
    <w:rsid w:val="00137C00"/>
    <w:rsid w:val="0014583A"/>
    <w:rsid w:val="00146877"/>
    <w:rsid w:val="001506B3"/>
    <w:rsid w:val="00154868"/>
    <w:rsid w:val="001558EC"/>
    <w:rsid w:val="00156DC4"/>
    <w:rsid w:val="00161857"/>
    <w:rsid w:val="0016404E"/>
    <w:rsid w:val="001653BB"/>
    <w:rsid w:val="0016587E"/>
    <w:rsid w:val="00166748"/>
    <w:rsid w:val="00175A59"/>
    <w:rsid w:val="0017612A"/>
    <w:rsid w:val="00183A19"/>
    <w:rsid w:val="00187702"/>
    <w:rsid w:val="001924AA"/>
    <w:rsid w:val="00197AC3"/>
    <w:rsid w:val="001A037B"/>
    <w:rsid w:val="001B3079"/>
    <w:rsid w:val="001B3871"/>
    <w:rsid w:val="001B443E"/>
    <w:rsid w:val="001C454D"/>
    <w:rsid w:val="001C7615"/>
    <w:rsid w:val="001C7720"/>
    <w:rsid w:val="001D364E"/>
    <w:rsid w:val="001D45BA"/>
    <w:rsid w:val="001E2839"/>
    <w:rsid w:val="001E3896"/>
    <w:rsid w:val="001F2C38"/>
    <w:rsid w:val="001F4436"/>
    <w:rsid w:val="001F68F5"/>
    <w:rsid w:val="002004C2"/>
    <w:rsid w:val="00207939"/>
    <w:rsid w:val="0021460B"/>
    <w:rsid w:val="00226004"/>
    <w:rsid w:val="00226CA8"/>
    <w:rsid w:val="00233B33"/>
    <w:rsid w:val="00235813"/>
    <w:rsid w:val="0023589E"/>
    <w:rsid w:val="002369E1"/>
    <w:rsid w:val="00240CF2"/>
    <w:rsid w:val="002414C3"/>
    <w:rsid w:val="00246EB2"/>
    <w:rsid w:val="0024717E"/>
    <w:rsid w:val="00247460"/>
    <w:rsid w:val="00252C83"/>
    <w:rsid w:val="00255808"/>
    <w:rsid w:val="00257D56"/>
    <w:rsid w:val="0026229C"/>
    <w:rsid w:val="002655B5"/>
    <w:rsid w:val="0027254A"/>
    <w:rsid w:val="0027472E"/>
    <w:rsid w:val="0027748B"/>
    <w:rsid w:val="00282292"/>
    <w:rsid w:val="002872FA"/>
    <w:rsid w:val="00291BD5"/>
    <w:rsid w:val="00291EAA"/>
    <w:rsid w:val="00293DF7"/>
    <w:rsid w:val="002B2862"/>
    <w:rsid w:val="002B414F"/>
    <w:rsid w:val="002D3ED3"/>
    <w:rsid w:val="002D43B1"/>
    <w:rsid w:val="002D44B3"/>
    <w:rsid w:val="002D4643"/>
    <w:rsid w:val="002D4C47"/>
    <w:rsid w:val="002D6C96"/>
    <w:rsid w:val="002D7A65"/>
    <w:rsid w:val="002E1B76"/>
    <w:rsid w:val="002E47D9"/>
    <w:rsid w:val="002E7429"/>
    <w:rsid w:val="002E78A7"/>
    <w:rsid w:val="002F52A1"/>
    <w:rsid w:val="002F76C3"/>
    <w:rsid w:val="002F7C7F"/>
    <w:rsid w:val="00302457"/>
    <w:rsid w:val="00322B54"/>
    <w:rsid w:val="00324333"/>
    <w:rsid w:val="0032637D"/>
    <w:rsid w:val="003266C2"/>
    <w:rsid w:val="003269F6"/>
    <w:rsid w:val="003341FF"/>
    <w:rsid w:val="00334D61"/>
    <w:rsid w:val="00334E3B"/>
    <w:rsid w:val="0033517A"/>
    <w:rsid w:val="00336EBB"/>
    <w:rsid w:val="003410DF"/>
    <w:rsid w:val="00346E41"/>
    <w:rsid w:val="00347D00"/>
    <w:rsid w:val="00350B28"/>
    <w:rsid w:val="00350E28"/>
    <w:rsid w:val="00354630"/>
    <w:rsid w:val="0035517E"/>
    <w:rsid w:val="00355917"/>
    <w:rsid w:val="00356D2C"/>
    <w:rsid w:val="00363C43"/>
    <w:rsid w:val="00366DC8"/>
    <w:rsid w:val="003737E8"/>
    <w:rsid w:val="00374EBD"/>
    <w:rsid w:val="00382AE0"/>
    <w:rsid w:val="00385B98"/>
    <w:rsid w:val="003910D3"/>
    <w:rsid w:val="0039399C"/>
    <w:rsid w:val="00396ABF"/>
    <w:rsid w:val="003A50FA"/>
    <w:rsid w:val="003B044E"/>
    <w:rsid w:val="003B52ED"/>
    <w:rsid w:val="003B5AD5"/>
    <w:rsid w:val="003C7BC8"/>
    <w:rsid w:val="003D222C"/>
    <w:rsid w:val="003D6853"/>
    <w:rsid w:val="003D6EDD"/>
    <w:rsid w:val="003E5E8F"/>
    <w:rsid w:val="003E6954"/>
    <w:rsid w:val="003F1095"/>
    <w:rsid w:val="003F1EDD"/>
    <w:rsid w:val="00405465"/>
    <w:rsid w:val="00412ECC"/>
    <w:rsid w:val="00417A19"/>
    <w:rsid w:val="004233DC"/>
    <w:rsid w:val="00426BB2"/>
    <w:rsid w:val="00437396"/>
    <w:rsid w:val="004401BC"/>
    <w:rsid w:val="00442A74"/>
    <w:rsid w:val="00443214"/>
    <w:rsid w:val="00452647"/>
    <w:rsid w:val="004706AB"/>
    <w:rsid w:val="004813A7"/>
    <w:rsid w:val="004843D7"/>
    <w:rsid w:val="004974A7"/>
    <w:rsid w:val="004A2138"/>
    <w:rsid w:val="004B1740"/>
    <w:rsid w:val="004B3061"/>
    <w:rsid w:val="004B6AAB"/>
    <w:rsid w:val="004D3866"/>
    <w:rsid w:val="004E08BA"/>
    <w:rsid w:val="004E1076"/>
    <w:rsid w:val="004E567A"/>
    <w:rsid w:val="004E7355"/>
    <w:rsid w:val="004F64B9"/>
    <w:rsid w:val="004F7E50"/>
    <w:rsid w:val="005029F7"/>
    <w:rsid w:val="00502F91"/>
    <w:rsid w:val="00506C47"/>
    <w:rsid w:val="00507909"/>
    <w:rsid w:val="00511856"/>
    <w:rsid w:val="00512B44"/>
    <w:rsid w:val="0051771F"/>
    <w:rsid w:val="00520E65"/>
    <w:rsid w:val="005213E0"/>
    <w:rsid w:val="00522622"/>
    <w:rsid w:val="0052496B"/>
    <w:rsid w:val="00524F61"/>
    <w:rsid w:val="00526106"/>
    <w:rsid w:val="005263F8"/>
    <w:rsid w:val="00535573"/>
    <w:rsid w:val="00545370"/>
    <w:rsid w:val="00546616"/>
    <w:rsid w:val="00550699"/>
    <w:rsid w:val="00553601"/>
    <w:rsid w:val="00555632"/>
    <w:rsid w:val="00556ED4"/>
    <w:rsid w:val="005642B7"/>
    <w:rsid w:val="005652B2"/>
    <w:rsid w:val="0056686B"/>
    <w:rsid w:val="00572605"/>
    <w:rsid w:val="00574A3F"/>
    <w:rsid w:val="00583906"/>
    <w:rsid w:val="00587F3E"/>
    <w:rsid w:val="00594D77"/>
    <w:rsid w:val="0059591E"/>
    <w:rsid w:val="005959A8"/>
    <w:rsid w:val="005A620F"/>
    <w:rsid w:val="005A6BF6"/>
    <w:rsid w:val="005B1E9A"/>
    <w:rsid w:val="005B46AB"/>
    <w:rsid w:val="005B7017"/>
    <w:rsid w:val="005C5AF0"/>
    <w:rsid w:val="005C5B74"/>
    <w:rsid w:val="005D1120"/>
    <w:rsid w:val="005D441E"/>
    <w:rsid w:val="005E1387"/>
    <w:rsid w:val="005E76CC"/>
    <w:rsid w:val="005F52F6"/>
    <w:rsid w:val="005F718A"/>
    <w:rsid w:val="0060241F"/>
    <w:rsid w:val="00602962"/>
    <w:rsid w:val="00605BA3"/>
    <w:rsid w:val="006122DE"/>
    <w:rsid w:val="006169AB"/>
    <w:rsid w:val="006217A7"/>
    <w:rsid w:val="00634DF4"/>
    <w:rsid w:val="00635AD3"/>
    <w:rsid w:val="00636658"/>
    <w:rsid w:val="00655204"/>
    <w:rsid w:val="00663654"/>
    <w:rsid w:val="00666B73"/>
    <w:rsid w:val="00670E75"/>
    <w:rsid w:val="006719AB"/>
    <w:rsid w:val="00674607"/>
    <w:rsid w:val="006770C1"/>
    <w:rsid w:val="00682EF3"/>
    <w:rsid w:val="00684DE3"/>
    <w:rsid w:val="00686114"/>
    <w:rsid w:val="00687A4A"/>
    <w:rsid w:val="006900B0"/>
    <w:rsid w:val="006907BF"/>
    <w:rsid w:val="00696E5E"/>
    <w:rsid w:val="006A0725"/>
    <w:rsid w:val="006A1E9A"/>
    <w:rsid w:val="006A5EE6"/>
    <w:rsid w:val="006B0BA7"/>
    <w:rsid w:val="006B285C"/>
    <w:rsid w:val="006C2853"/>
    <w:rsid w:val="006C5A10"/>
    <w:rsid w:val="006C5E78"/>
    <w:rsid w:val="006D60AC"/>
    <w:rsid w:val="006E04BB"/>
    <w:rsid w:val="006E2C6B"/>
    <w:rsid w:val="006E704C"/>
    <w:rsid w:val="006E795E"/>
    <w:rsid w:val="006F1A50"/>
    <w:rsid w:val="006F4347"/>
    <w:rsid w:val="006F4921"/>
    <w:rsid w:val="007032E5"/>
    <w:rsid w:val="00703F15"/>
    <w:rsid w:val="00705F60"/>
    <w:rsid w:val="007060DE"/>
    <w:rsid w:val="00706C3F"/>
    <w:rsid w:val="00706D8C"/>
    <w:rsid w:val="007162BB"/>
    <w:rsid w:val="00716CEC"/>
    <w:rsid w:val="007207E4"/>
    <w:rsid w:val="00720DCC"/>
    <w:rsid w:val="00721627"/>
    <w:rsid w:val="00722FE0"/>
    <w:rsid w:val="00723151"/>
    <w:rsid w:val="007238D9"/>
    <w:rsid w:val="00723F08"/>
    <w:rsid w:val="007258FC"/>
    <w:rsid w:val="007303A4"/>
    <w:rsid w:val="0073065A"/>
    <w:rsid w:val="00733139"/>
    <w:rsid w:val="00733502"/>
    <w:rsid w:val="0073629A"/>
    <w:rsid w:val="00737800"/>
    <w:rsid w:val="00740A48"/>
    <w:rsid w:val="007455AF"/>
    <w:rsid w:val="0075546C"/>
    <w:rsid w:val="00772A27"/>
    <w:rsid w:val="00777459"/>
    <w:rsid w:val="00782A89"/>
    <w:rsid w:val="007840E6"/>
    <w:rsid w:val="007842E8"/>
    <w:rsid w:val="007874FC"/>
    <w:rsid w:val="0078768D"/>
    <w:rsid w:val="00787F25"/>
    <w:rsid w:val="007902A4"/>
    <w:rsid w:val="0079089E"/>
    <w:rsid w:val="00793263"/>
    <w:rsid w:val="00793B71"/>
    <w:rsid w:val="00793CDE"/>
    <w:rsid w:val="0079422A"/>
    <w:rsid w:val="00797876"/>
    <w:rsid w:val="007A0084"/>
    <w:rsid w:val="007A0889"/>
    <w:rsid w:val="007A0FFA"/>
    <w:rsid w:val="007A2557"/>
    <w:rsid w:val="007A3FC2"/>
    <w:rsid w:val="007B2060"/>
    <w:rsid w:val="007B3EB1"/>
    <w:rsid w:val="007B462C"/>
    <w:rsid w:val="007B52B4"/>
    <w:rsid w:val="007C0D72"/>
    <w:rsid w:val="007C53A6"/>
    <w:rsid w:val="007C61CB"/>
    <w:rsid w:val="007D1D64"/>
    <w:rsid w:val="007D3223"/>
    <w:rsid w:val="007D4DA6"/>
    <w:rsid w:val="007D64B9"/>
    <w:rsid w:val="007D6F90"/>
    <w:rsid w:val="007E1EE5"/>
    <w:rsid w:val="007E2FAB"/>
    <w:rsid w:val="007E5ABB"/>
    <w:rsid w:val="007F028B"/>
    <w:rsid w:val="007F2388"/>
    <w:rsid w:val="007F3F90"/>
    <w:rsid w:val="007F5B2C"/>
    <w:rsid w:val="007F6060"/>
    <w:rsid w:val="007F76FB"/>
    <w:rsid w:val="007F7DE4"/>
    <w:rsid w:val="00801B50"/>
    <w:rsid w:val="00803608"/>
    <w:rsid w:val="00806723"/>
    <w:rsid w:val="0080707B"/>
    <w:rsid w:val="00811211"/>
    <w:rsid w:val="0082265F"/>
    <w:rsid w:val="00826C89"/>
    <w:rsid w:val="008320D3"/>
    <w:rsid w:val="008325C6"/>
    <w:rsid w:val="008342E1"/>
    <w:rsid w:val="0083673C"/>
    <w:rsid w:val="008376FD"/>
    <w:rsid w:val="00840FA7"/>
    <w:rsid w:val="00841724"/>
    <w:rsid w:val="00844479"/>
    <w:rsid w:val="00846E07"/>
    <w:rsid w:val="00851157"/>
    <w:rsid w:val="00853A97"/>
    <w:rsid w:val="00862B5F"/>
    <w:rsid w:val="008643CD"/>
    <w:rsid w:val="00865017"/>
    <w:rsid w:val="008662F2"/>
    <w:rsid w:val="00871A0C"/>
    <w:rsid w:val="008721C5"/>
    <w:rsid w:val="00873DFC"/>
    <w:rsid w:val="00882410"/>
    <w:rsid w:val="00893769"/>
    <w:rsid w:val="00894352"/>
    <w:rsid w:val="008978A3"/>
    <w:rsid w:val="00897E15"/>
    <w:rsid w:val="008A0065"/>
    <w:rsid w:val="008B14D1"/>
    <w:rsid w:val="008B64C0"/>
    <w:rsid w:val="008C18AD"/>
    <w:rsid w:val="008C584C"/>
    <w:rsid w:val="008D5D96"/>
    <w:rsid w:val="008D66A3"/>
    <w:rsid w:val="008E15B7"/>
    <w:rsid w:val="008F011C"/>
    <w:rsid w:val="008F0C83"/>
    <w:rsid w:val="00900D30"/>
    <w:rsid w:val="00902A91"/>
    <w:rsid w:val="00903930"/>
    <w:rsid w:val="00903F73"/>
    <w:rsid w:val="00904611"/>
    <w:rsid w:val="009078B0"/>
    <w:rsid w:val="009121D1"/>
    <w:rsid w:val="00912CD3"/>
    <w:rsid w:val="0091589A"/>
    <w:rsid w:val="009235F5"/>
    <w:rsid w:val="00931BC1"/>
    <w:rsid w:val="00934C1D"/>
    <w:rsid w:val="009356CA"/>
    <w:rsid w:val="00937AB3"/>
    <w:rsid w:val="00942517"/>
    <w:rsid w:val="00954AAE"/>
    <w:rsid w:val="00956DD2"/>
    <w:rsid w:val="00957FD0"/>
    <w:rsid w:val="0096315F"/>
    <w:rsid w:val="009631E5"/>
    <w:rsid w:val="00966676"/>
    <w:rsid w:val="009723A5"/>
    <w:rsid w:val="0097268A"/>
    <w:rsid w:val="00972EBB"/>
    <w:rsid w:val="009818BE"/>
    <w:rsid w:val="00981C5F"/>
    <w:rsid w:val="009837B1"/>
    <w:rsid w:val="00983F5C"/>
    <w:rsid w:val="00984C17"/>
    <w:rsid w:val="009876AA"/>
    <w:rsid w:val="00990559"/>
    <w:rsid w:val="009A0166"/>
    <w:rsid w:val="009A22AF"/>
    <w:rsid w:val="009A3898"/>
    <w:rsid w:val="009A58B5"/>
    <w:rsid w:val="009B1A04"/>
    <w:rsid w:val="009B4DDB"/>
    <w:rsid w:val="009B553E"/>
    <w:rsid w:val="009C30F8"/>
    <w:rsid w:val="009C5BD5"/>
    <w:rsid w:val="009C75C0"/>
    <w:rsid w:val="009D3C07"/>
    <w:rsid w:val="009D57EC"/>
    <w:rsid w:val="009E212C"/>
    <w:rsid w:val="009E4A60"/>
    <w:rsid w:val="009E6AAA"/>
    <w:rsid w:val="009F0278"/>
    <w:rsid w:val="009F121F"/>
    <w:rsid w:val="009F2EA6"/>
    <w:rsid w:val="009F43BA"/>
    <w:rsid w:val="009F5EED"/>
    <w:rsid w:val="009F60EC"/>
    <w:rsid w:val="009F74B5"/>
    <w:rsid w:val="00A004FF"/>
    <w:rsid w:val="00A0155B"/>
    <w:rsid w:val="00A02D5B"/>
    <w:rsid w:val="00A04B86"/>
    <w:rsid w:val="00A10E8E"/>
    <w:rsid w:val="00A12515"/>
    <w:rsid w:val="00A2143D"/>
    <w:rsid w:val="00A23CB1"/>
    <w:rsid w:val="00A252EC"/>
    <w:rsid w:val="00A253B7"/>
    <w:rsid w:val="00A33B95"/>
    <w:rsid w:val="00A4504A"/>
    <w:rsid w:val="00A45B4E"/>
    <w:rsid w:val="00A56F3B"/>
    <w:rsid w:val="00A60567"/>
    <w:rsid w:val="00A615E4"/>
    <w:rsid w:val="00A62FE3"/>
    <w:rsid w:val="00A6770F"/>
    <w:rsid w:val="00A71D8E"/>
    <w:rsid w:val="00A767FD"/>
    <w:rsid w:val="00A8137C"/>
    <w:rsid w:val="00A82D55"/>
    <w:rsid w:val="00A82DE9"/>
    <w:rsid w:val="00A83D8C"/>
    <w:rsid w:val="00A84804"/>
    <w:rsid w:val="00A9109B"/>
    <w:rsid w:val="00A9176B"/>
    <w:rsid w:val="00A936DC"/>
    <w:rsid w:val="00A95884"/>
    <w:rsid w:val="00A9686A"/>
    <w:rsid w:val="00AA182A"/>
    <w:rsid w:val="00AA292A"/>
    <w:rsid w:val="00AA30BB"/>
    <w:rsid w:val="00AA3613"/>
    <w:rsid w:val="00AB15DE"/>
    <w:rsid w:val="00AB6CFF"/>
    <w:rsid w:val="00AC15D3"/>
    <w:rsid w:val="00AC79DB"/>
    <w:rsid w:val="00AD136C"/>
    <w:rsid w:val="00AD21EE"/>
    <w:rsid w:val="00AE5FD8"/>
    <w:rsid w:val="00AE702A"/>
    <w:rsid w:val="00AF415D"/>
    <w:rsid w:val="00AF683D"/>
    <w:rsid w:val="00AF69E3"/>
    <w:rsid w:val="00B00AFC"/>
    <w:rsid w:val="00B05F3F"/>
    <w:rsid w:val="00B12243"/>
    <w:rsid w:val="00B13B51"/>
    <w:rsid w:val="00B14898"/>
    <w:rsid w:val="00B21A80"/>
    <w:rsid w:val="00B2241B"/>
    <w:rsid w:val="00B25C10"/>
    <w:rsid w:val="00B321B4"/>
    <w:rsid w:val="00B3257C"/>
    <w:rsid w:val="00B32A7F"/>
    <w:rsid w:val="00B337EF"/>
    <w:rsid w:val="00B36484"/>
    <w:rsid w:val="00B37537"/>
    <w:rsid w:val="00B4128C"/>
    <w:rsid w:val="00B43041"/>
    <w:rsid w:val="00B43C2D"/>
    <w:rsid w:val="00B440B4"/>
    <w:rsid w:val="00B50B8E"/>
    <w:rsid w:val="00B61114"/>
    <w:rsid w:val="00B6403C"/>
    <w:rsid w:val="00B65ACD"/>
    <w:rsid w:val="00B700C4"/>
    <w:rsid w:val="00B70325"/>
    <w:rsid w:val="00B74B7E"/>
    <w:rsid w:val="00B74EDA"/>
    <w:rsid w:val="00B75523"/>
    <w:rsid w:val="00B82BA8"/>
    <w:rsid w:val="00B83965"/>
    <w:rsid w:val="00B83F8C"/>
    <w:rsid w:val="00B86393"/>
    <w:rsid w:val="00B9029C"/>
    <w:rsid w:val="00B918FC"/>
    <w:rsid w:val="00B9192A"/>
    <w:rsid w:val="00B9227D"/>
    <w:rsid w:val="00B9257D"/>
    <w:rsid w:val="00BA7176"/>
    <w:rsid w:val="00BB15F4"/>
    <w:rsid w:val="00BB256B"/>
    <w:rsid w:val="00BB28F6"/>
    <w:rsid w:val="00BB78B3"/>
    <w:rsid w:val="00BC3EB6"/>
    <w:rsid w:val="00BC6B8E"/>
    <w:rsid w:val="00BD21DA"/>
    <w:rsid w:val="00BD3D15"/>
    <w:rsid w:val="00BE0FFF"/>
    <w:rsid w:val="00BE5496"/>
    <w:rsid w:val="00BE7EA9"/>
    <w:rsid w:val="00C024D5"/>
    <w:rsid w:val="00C03226"/>
    <w:rsid w:val="00C03D0B"/>
    <w:rsid w:val="00C04D4B"/>
    <w:rsid w:val="00C0716C"/>
    <w:rsid w:val="00C11E60"/>
    <w:rsid w:val="00C12ECE"/>
    <w:rsid w:val="00C20B60"/>
    <w:rsid w:val="00C21620"/>
    <w:rsid w:val="00C33206"/>
    <w:rsid w:val="00C379AE"/>
    <w:rsid w:val="00C43AA7"/>
    <w:rsid w:val="00C50D52"/>
    <w:rsid w:val="00C51E55"/>
    <w:rsid w:val="00C540AC"/>
    <w:rsid w:val="00C64DE3"/>
    <w:rsid w:val="00C74E5F"/>
    <w:rsid w:val="00C77E23"/>
    <w:rsid w:val="00C815EE"/>
    <w:rsid w:val="00C81FD6"/>
    <w:rsid w:val="00C8354A"/>
    <w:rsid w:val="00C93134"/>
    <w:rsid w:val="00C9429E"/>
    <w:rsid w:val="00CA0880"/>
    <w:rsid w:val="00CA3348"/>
    <w:rsid w:val="00CA4C29"/>
    <w:rsid w:val="00CB136D"/>
    <w:rsid w:val="00CC1B19"/>
    <w:rsid w:val="00CD285B"/>
    <w:rsid w:val="00CD41B7"/>
    <w:rsid w:val="00CD6E56"/>
    <w:rsid w:val="00CD7412"/>
    <w:rsid w:val="00CE0306"/>
    <w:rsid w:val="00CE3B08"/>
    <w:rsid w:val="00CE6FDB"/>
    <w:rsid w:val="00CF0D3E"/>
    <w:rsid w:val="00CF5255"/>
    <w:rsid w:val="00CF7631"/>
    <w:rsid w:val="00CF7F6E"/>
    <w:rsid w:val="00D1311A"/>
    <w:rsid w:val="00D141B6"/>
    <w:rsid w:val="00D155BB"/>
    <w:rsid w:val="00D16BCE"/>
    <w:rsid w:val="00D21E3F"/>
    <w:rsid w:val="00D27AE2"/>
    <w:rsid w:val="00D32056"/>
    <w:rsid w:val="00D33FD9"/>
    <w:rsid w:val="00D37E31"/>
    <w:rsid w:val="00D41F76"/>
    <w:rsid w:val="00D54261"/>
    <w:rsid w:val="00D6321D"/>
    <w:rsid w:val="00D654DB"/>
    <w:rsid w:val="00D66BE2"/>
    <w:rsid w:val="00D71DCB"/>
    <w:rsid w:val="00D723B6"/>
    <w:rsid w:val="00D86708"/>
    <w:rsid w:val="00D87777"/>
    <w:rsid w:val="00D9102A"/>
    <w:rsid w:val="00DA4EFA"/>
    <w:rsid w:val="00DA7D31"/>
    <w:rsid w:val="00DB10CE"/>
    <w:rsid w:val="00DB18BE"/>
    <w:rsid w:val="00DB535D"/>
    <w:rsid w:val="00DB603F"/>
    <w:rsid w:val="00DB7036"/>
    <w:rsid w:val="00DB7554"/>
    <w:rsid w:val="00DC082F"/>
    <w:rsid w:val="00DC1940"/>
    <w:rsid w:val="00DC24C0"/>
    <w:rsid w:val="00DD393A"/>
    <w:rsid w:val="00DD4856"/>
    <w:rsid w:val="00DD4ED3"/>
    <w:rsid w:val="00DD5CF4"/>
    <w:rsid w:val="00DE388C"/>
    <w:rsid w:val="00DE51B0"/>
    <w:rsid w:val="00DE5FFB"/>
    <w:rsid w:val="00DE6D70"/>
    <w:rsid w:val="00DF2236"/>
    <w:rsid w:val="00DF234A"/>
    <w:rsid w:val="00DF59F4"/>
    <w:rsid w:val="00E02175"/>
    <w:rsid w:val="00E03F8A"/>
    <w:rsid w:val="00E03FDF"/>
    <w:rsid w:val="00E055B0"/>
    <w:rsid w:val="00E12706"/>
    <w:rsid w:val="00E17D1A"/>
    <w:rsid w:val="00E24445"/>
    <w:rsid w:val="00E33338"/>
    <w:rsid w:val="00E3645F"/>
    <w:rsid w:val="00E43690"/>
    <w:rsid w:val="00E50B6C"/>
    <w:rsid w:val="00E51A07"/>
    <w:rsid w:val="00E54126"/>
    <w:rsid w:val="00E6486B"/>
    <w:rsid w:val="00E7202A"/>
    <w:rsid w:val="00E72AC0"/>
    <w:rsid w:val="00E72EE9"/>
    <w:rsid w:val="00E81CB7"/>
    <w:rsid w:val="00E87196"/>
    <w:rsid w:val="00E90930"/>
    <w:rsid w:val="00E915CF"/>
    <w:rsid w:val="00E9168D"/>
    <w:rsid w:val="00E9271D"/>
    <w:rsid w:val="00E953F0"/>
    <w:rsid w:val="00E964B7"/>
    <w:rsid w:val="00E97715"/>
    <w:rsid w:val="00EA741C"/>
    <w:rsid w:val="00EB582F"/>
    <w:rsid w:val="00EC1D65"/>
    <w:rsid w:val="00EC4569"/>
    <w:rsid w:val="00ED3077"/>
    <w:rsid w:val="00ED4AC8"/>
    <w:rsid w:val="00EE1184"/>
    <w:rsid w:val="00EE644C"/>
    <w:rsid w:val="00EF3910"/>
    <w:rsid w:val="00F00A9B"/>
    <w:rsid w:val="00F00E72"/>
    <w:rsid w:val="00F01EE0"/>
    <w:rsid w:val="00F01EF3"/>
    <w:rsid w:val="00F03E38"/>
    <w:rsid w:val="00F15FB4"/>
    <w:rsid w:val="00F17F86"/>
    <w:rsid w:val="00F21646"/>
    <w:rsid w:val="00F21A6B"/>
    <w:rsid w:val="00F22D64"/>
    <w:rsid w:val="00F26821"/>
    <w:rsid w:val="00F27DB2"/>
    <w:rsid w:val="00F31A98"/>
    <w:rsid w:val="00F32906"/>
    <w:rsid w:val="00F34F99"/>
    <w:rsid w:val="00F41DC0"/>
    <w:rsid w:val="00F42F8C"/>
    <w:rsid w:val="00F5331D"/>
    <w:rsid w:val="00F539BF"/>
    <w:rsid w:val="00F5610D"/>
    <w:rsid w:val="00F563F8"/>
    <w:rsid w:val="00F60723"/>
    <w:rsid w:val="00F611BC"/>
    <w:rsid w:val="00F645FF"/>
    <w:rsid w:val="00F66BFA"/>
    <w:rsid w:val="00F67A93"/>
    <w:rsid w:val="00F71191"/>
    <w:rsid w:val="00F72BBB"/>
    <w:rsid w:val="00F762CC"/>
    <w:rsid w:val="00F81E09"/>
    <w:rsid w:val="00F8386E"/>
    <w:rsid w:val="00F83D9E"/>
    <w:rsid w:val="00F844D4"/>
    <w:rsid w:val="00F86DE9"/>
    <w:rsid w:val="00F87819"/>
    <w:rsid w:val="00F87B14"/>
    <w:rsid w:val="00F91E57"/>
    <w:rsid w:val="00F94183"/>
    <w:rsid w:val="00F96123"/>
    <w:rsid w:val="00FA14BE"/>
    <w:rsid w:val="00FA19EA"/>
    <w:rsid w:val="00FA28BC"/>
    <w:rsid w:val="00FA5A6E"/>
    <w:rsid w:val="00FA7BC6"/>
    <w:rsid w:val="00FB0FDC"/>
    <w:rsid w:val="00FB478E"/>
    <w:rsid w:val="00FC0CDB"/>
    <w:rsid w:val="00FC3002"/>
    <w:rsid w:val="00FC45C5"/>
    <w:rsid w:val="00FD09F1"/>
    <w:rsid w:val="00FD2E26"/>
    <w:rsid w:val="00FD2EA8"/>
    <w:rsid w:val="00FD4568"/>
    <w:rsid w:val="00FE3672"/>
    <w:rsid w:val="00FE4EAA"/>
    <w:rsid w:val="00FF49AA"/>
    <w:rsid w:val="00FF4AD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0DD"/>
  <w15:docId w15:val="{D635BEA4-3C70-4690-99A8-19931C14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1E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EE5"/>
    <w:rPr>
      <w:rFonts w:ascii="Calibri" w:hAnsi="Calibri"/>
      <w:noProof/>
      <w:szCs w:val="21"/>
    </w:rPr>
  </w:style>
  <w:style w:type="character" w:styleId="Hyperlink">
    <w:name w:val="Hyperlink"/>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rsid w:val="005959A8"/>
    <w:rPr>
      <w:sz w:val="16"/>
      <w:szCs w:val="16"/>
    </w:rPr>
  </w:style>
  <w:style w:type="paragraph" w:styleId="CommentText">
    <w:name w:val="annotation text"/>
    <w:basedOn w:val="Normal"/>
    <w:link w:val="CommentTextChar"/>
    <w:uiPriority w:val="99"/>
    <w:unhideWhenUsed/>
    <w:rsid w:val="005959A8"/>
    <w:pPr>
      <w:spacing w:line="240" w:lineRule="auto"/>
    </w:pPr>
    <w:rPr>
      <w:sz w:val="20"/>
      <w:szCs w:val="20"/>
    </w:rPr>
  </w:style>
  <w:style w:type="character" w:customStyle="1" w:styleId="CommentTextChar">
    <w:name w:val="Comment Text Char"/>
    <w:basedOn w:val="DefaultParagraphFont"/>
    <w:link w:val="CommentText"/>
    <w:uiPriority w:val="99"/>
    <w:rsid w:val="005959A8"/>
    <w:rPr>
      <w:noProof/>
      <w:sz w:val="20"/>
      <w:szCs w:val="20"/>
    </w:rPr>
  </w:style>
  <w:style w:type="paragraph" w:styleId="CommentSubject">
    <w:name w:val="annotation subject"/>
    <w:basedOn w:val="CommentText"/>
    <w:next w:val="CommentText"/>
    <w:link w:val="CommentSubjectChar"/>
    <w:uiPriority w:val="99"/>
    <w:semiHidden/>
    <w:unhideWhenUsed/>
    <w:rsid w:val="005959A8"/>
    <w:rPr>
      <w:b/>
      <w:bCs/>
    </w:rPr>
  </w:style>
  <w:style w:type="character" w:customStyle="1" w:styleId="CommentSubjectChar">
    <w:name w:val="Comment Subject Char"/>
    <w:basedOn w:val="CommentTextChar"/>
    <w:link w:val="CommentSubject"/>
    <w:uiPriority w:val="99"/>
    <w:semiHidden/>
    <w:rsid w:val="005959A8"/>
    <w:rPr>
      <w:b/>
      <w:bCs/>
      <w:noProof/>
      <w:sz w:val="20"/>
      <w:szCs w:val="20"/>
    </w:rPr>
  </w:style>
  <w:style w:type="paragraph" w:styleId="BalloonText">
    <w:name w:val="Balloon Text"/>
    <w:basedOn w:val="Normal"/>
    <w:link w:val="BalloonTextChar"/>
    <w:uiPriority w:val="99"/>
    <w:semiHidden/>
    <w:unhideWhenUsed/>
    <w:rsid w:val="005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A8"/>
    <w:rPr>
      <w:rFonts w:ascii="Tahoma" w:hAnsi="Tahoma" w:cs="Tahoma"/>
      <w:noProof/>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character" w:customStyle="1" w:styleId="hps">
    <w:name w:val="hps"/>
    <w:basedOn w:val="DefaultParagraphFont"/>
    <w:uiPriority w:val="99"/>
    <w:rsid w:val="00C11E60"/>
    <w:rPr>
      <w:rFonts w:cs="Times New Roman"/>
    </w:rPr>
  </w:style>
  <w:style w:type="character" w:customStyle="1" w:styleId="longtext">
    <w:name w:val="long_text"/>
    <w:basedOn w:val="DefaultParagraphFont"/>
    <w:uiPriority w:val="99"/>
    <w:rsid w:val="00C11E60"/>
    <w:rPr>
      <w:rFonts w:cs="Times New Roman"/>
    </w:rPr>
  </w:style>
  <w:style w:type="character" w:styleId="Emphasis">
    <w:name w:val="Emphasis"/>
    <w:basedOn w:val="DefaultParagraphFont"/>
    <w:uiPriority w:val="20"/>
    <w:qFormat/>
    <w:rsid w:val="002D44B3"/>
    <w:rPr>
      <w:b/>
      <w:bCs/>
      <w:i w:val="0"/>
      <w:iCs w:val="0"/>
    </w:rPr>
  </w:style>
  <w:style w:type="character" w:customStyle="1" w:styleId="st1">
    <w:name w:val="st1"/>
    <w:basedOn w:val="DefaultParagraphFont"/>
    <w:rsid w:val="002D44B3"/>
  </w:style>
  <w:style w:type="paragraph" w:styleId="HTMLPreformatted">
    <w:name w:val="HTML Preformatted"/>
    <w:basedOn w:val="Normal"/>
    <w:link w:val="HTMLPreformattedChar"/>
    <w:uiPriority w:val="99"/>
    <w:unhideWhenUsed/>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6F4347"/>
    <w:rPr>
      <w:rFonts w:ascii="Courier New" w:hAnsi="Courier New" w:cs="Courier New"/>
      <w:sz w:val="20"/>
      <w:szCs w:val="20"/>
      <w:lang w:eastAsia="hr-HR"/>
    </w:rPr>
  </w:style>
  <w:style w:type="paragraph" w:styleId="FootnoteText">
    <w:name w:val="footnote text"/>
    <w:basedOn w:val="Normal"/>
    <w:link w:val="FootnoteTextChar"/>
    <w:uiPriority w:val="99"/>
    <w:rsid w:val="006F4347"/>
    <w:pPr>
      <w:suppressAutoHyphens/>
      <w:spacing w:after="0" w:line="240" w:lineRule="auto"/>
    </w:pPr>
    <w:rPr>
      <w:rFonts w:ascii="Calibri" w:eastAsia="Droid Sans Fallback" w:hAnsi="Calibri" w:cs="Calibri"/>
      <w:sz w:val="20"/>
      <w:szCs w:val="20"/>
      <w:lang w:val="x-none" w:eastAsia="zh-CN"/>
    </w:rPr>
  </w:style>
  <w:style w:type="character" w:customStyle="1" w:styleId="FootnoteTextChar">
    <w:name w:val="Footnote Text Char"/>
    <w:basedOn w:val="DefaultParagraphFont"/>
    <w:link w:val="FootnoteText"/>
    <w:uiPriority w:val="99"/>
    <w:rsid w:val="006F4347"/>
    <w:rPr>
      <w:rFonts w:ascii="Calibri" w:eastAsia="Droid Sans Fallback" w:hAnsi="Calibri" w:cs="Calibri"/>
      <w:sz w:val="20"/>
      <w:szCs w:val="20"/>
      <w:lang w:val="x-none" w:eastAsia="zh-CN"/>
    </w:rPr>
  </w:style>
  <w:style w:type="paragraph" w:styleId="NormalWeb">
    <w:name w:val="Normal (Web)"/>
    <w:basedOn w:val="Normal"/>
    <w:uiPriority w:val="99"/>
    <w:unhideWhenUsed/>
    <w:rsid w:val="006F4347"/>
    <w:pPr>
      <w:spacing w:after="0" w:line="240" w:lineRule="auto"/>
    </w:pPr>
    <w:rPr>
      <w:rFonts w:ascii="Times New Roman" w:hAnsi="Times New Roman" w:cs="Times New Roman"/>
      <w:sz w:val="24"/>
      <w:szCs w:val="24"/>
      <w:lang w:eastAsia="hr-HR"/>
    </w:rPr>
  </w:style>
  <w:style w:type="character" w:customStyle="1" w:styleId="apple-converted-space">
    <w:name w:val="apple-converted-space"/>
    <w:basedOn w:val="DefaultParagraphFont"/>
    <w:rsid w:val="00A6770F"/>
  </w:style>
  <w:style w:type="character" w:customStyle="1" w:styleId="gmail-msofootnotereference">
    <w:name w:val="gmail-msofootnotereference"/>
    <w:basedOn w:val="DefaultParagraphFont"/>
    <w:rsid w:val="003E6954"/>
  </w:style>
  <w:style w:type="character" w:styleId="Strong">
    <w:name w:val="Strong"/>
    <w:basedOn w:val="DefaultParagraphFont"/>
    <w:uiPriority w:val="22"/>
    <w:qFormat/>
    <w:rsid w:val="000C3A5E"/>
    <w:rPr>
      <w:b/>
      <w:bCs/>
    </w:rPr>
  </w:style>
  <w:style w:type="paragraph" w:customStyle="1" w:styleId="gmail-msocommenttext">
    <w:name w:val="gmail-msocommenttext"/>
    <w:basedOn w:val="Normal"/>
    <w:rsid w:val="00583906"/>
    <w:pPr>
      <w:spacing w:before="100" w:beforeAutospacing="1" w:after="100" w:afterAutospacing="1" w:line="240" w:lineRule="auto"/>
    </w:pPr>
    <w:rPr>
      <w:rFonts w:ascii="Times New Roman" w:hAnsi="Times New Roman" w:cs="Times New Roman"/>
      <w:sz w:val="24"/>
      <w:szCs w:val="24"/>
      <w:lang w:eastAsia="hr-HR"/>
    </w:rPr>
  </w:style>
  <w:style w:type="character" w:customStyle="1" w:styleId="Bez">
    <w:name w:val="Bez"/>
    <w:rsid w:val="008325C6"/>
  </w:style>
  <w:style w:type="character" w:styleId="FollowedHyperlink">
    <w:name w:val="FollowedHyperlink"/>
    <w:basedOn w:val="DefaultParagraphFont"/>
    <w:uiPriority w:val="99"/>
    <w:semiHidden/>
    <w:unhideWhenUsed/>
    <w:rsid w:val="00AA182A"/>
    <w:rPr>
      <w:color w:val="800080" w:themeColor="followedHyperlink"/>
      <w:u w:val="single"/>
    </w:rPr>
  </w:style>
  <w:style w:type="numbering" w:customStyle="1" w:styleId="Importiranistil8">
    <w:name w:val="Importirani stil 8"/>
    <w:rsid w:val="0035463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47">
      <w:bodyDiv w:val="1"/>
      <w:marLeft w:val="0"/>
      <w:marRight w:val="0"/>
      <w:marTop w:val="0"/>
      <w:marBottom w:val="0"/>
      <w:divBdr>
        <w:top w:val="none" w:sz="0" w:space="0" w:color="auto"/>
        <w:left w:val="none" w:sz="0" w:space="0" w:color="auto"/>
        <w:bottom w:val="none" w:sz="0" w:space="0" w:color="auto"/>
        <w:right w:val="none" w:sz="0" w:space="0" w:color="auto"/>
      </w:divBdr>
    </w:div>
    <w:div w:id="18288688">
      <w:bodyDiv w:val="1"/>
      <w:marLeft w:val="0"/>
      <w:marRight w:val="0"/>
      <w:marTop w:val="0"/>
      <w:marBottom w:val="0"/>
      <w:divBdr>
        <w:top w:val="none" w:sz="0" w:space="0" w:color="auto"/>
        <w:left w:val="none" w:sz="0" w:space="0" w:color="auto"/>
        <w:bottom w:val="none" w:sz="0" w:space="0" w:color="auto"/>
        <w:right w:val="none" w:sz="0" w:space="0" w:color="auto"/>
      </w:divBdr>
    </w:div>
    <w:div w:id="56049107">
      <w:bodyDiv w:val="1"/>
      <w:marLeft w:val="0"/>
      <w:marRight w:val="0"/>
      <w:marTop w:val="0"/>
      <w:marBottom w:val="0"/>
      <w:divBdr>
        <w:top w:val="none" w:sz="0" w:space="0" w:color="auto"/>
        <w:left w:val="none" w:sz="0" w:space="0" w:color="auto"/>
        <w:bottom w:val="none" w:sz="0" w:space="0" w:color="auto"/>
        <w:right w:val="none" w:sz="0" w:space="0" w:color="auto"/>
      </w:divBdr>
    </w:div>
    <w:div w:id="65883734">
      <w:bodyDiv w:val="1"/>
      <w:marLeft w:val="0"/>
      <w:marRight w:val="0"/>
      <w:marTop w:val="0"/>
      <w:marBottom w:val="0"/>
      <w:divBdr>
        <w:top w:val="none" w:sz="0" w:space="0" w:color="auto"/>
        <w:left w:val="none" w:sz="0" w:space="0" w:color="auto"/>
        <w:bottom w:val="none" w:sz="0" w:space="0" w:color="auto"/>
        <w:right w:val="none" w:sz="0" w:space="0" w:color="auto"/>
      </w:divBdr>
    </w:div>
    <w:div w:id="74787169">
      <w:bodyDiv w:val="1"/>
      <w:marLeft w:val="0"/>
      <w:marRight w:val="0"/>
      <w:marTop w:val="0"/>
      <w:marBottom w:val="0"/>
      <w:divBdr>
        <w:top w:val="none" w:sz="0" w:space="0" w:color="auto"/>
        <w:left w:val="none" w:sz="0" w:space="0" w:color="auto"/>
        <w:bottom w:val="none" w:sz="0" w:space="0" w:color="auto"/>
        <w:right w:val="none" w:sz="0" w:space="0" w:color="auto"/>
      </w:divBdr>
    </w:div>
    <w:div w:id="101073465">
      <w:bodyDiv w:val="1"/>
      <w:marLeft w:val="0"/>
      <w:marRight w:val="0"/>
      <w:marTop w:val="0"/>
      <w:marBottom w:val="0"/>
      <w:divBdr>
        <w:top w:val="none" w:sz="0" w:space="0" w:color="auto"/>
        <w:left w:val="none" w:sz="0" w:space="0" w:color="auto"/>
        <w:bottom w:val="none" w:sz="0" w:space="0" w:color="auto"/>
        <w:right w:val="none" w:sz="0" w:space="0" w:color="auto"/>
      </w:divBdr>
    </w:div>
    <w:div w:id="126634117">
      <w:bodyDiv w:val="1"/>
      <w:marLeft w:val="0"/>
      <w:marRight w:val="0"/>
      <w:marTop w:val="0"/>
      <w:marBottom w:val="0"/>
      <w:divBdr>
        <w:top w:val="none" w:sz="0" w:space="0" w:color="auto"/>
        <w:left w:val="none" w:sz="0" w:space="0" w:color="auto"/>
        <w:bottom w:val="none" w:sz="0" w:space="0" w:color="auto"/>
        <w:right w:val="none" w:sz="0" w:space="0" w:color="auto"/>
      </w:divBdr>
    </w:div>
    <w:div w:id="183828769">
      <w:bodyDiv w:val="1"/>
      <w:marLeft w:val="0"/>
      <w:marRight w:val="0"/>
      <w:marTop w:val="0"/>
      <w:marBottom w:val="0"/>
      <w:divBdr>
        <w:top w:val="none" w:sz="0" w:space="0" w:color="auto"/>
        <w:left w:val="none" w:sz="0" w:space="0" w:color="auto"/>
        <w:bottom w:val="none" w:sz="0" w:space="0" w:color="auto"/>
        <w:right w:val="none" w:sz="0" w:space="0" w:color="auto"/>
      </w:divBdr>
    </w:div>
    <w:div w:id="255872593">
      <w:bodyDiv w:val="1"/>
      <w:marLeft w:val="0"/>
      <w:marRight w:val="0"/>
      <w:marTop w:val="0"/>
      <w:marBottom w:val="0"/>
      <w:divBdr>
        <w:top w:val="none" w:sz="0" w:space="0" w:color="auto"/>
        <w:left w:val="none" w:sz="0" w:space="0" w:color="auto"/>
        <w:bottom w:val="none" w:sz="0" w:space="0" w:color="auto"/>
        <w:right w:val="none" w:sz="0" w:space="0" w:color="auto"/>
      </w:divBdr>
    </w:div>
    <w:div w:id="260648590">
      <w:bodyDiv w:val="1"/>
      <w:marLeft w:val="0"/>
      <w:marRight w:val="0"/>
      <w:marTop w:val="0"/>
      <w:marBottom w:val="0"/>
      <w:divBdr>
        <w:top w:val="none" w:sz="0" w:space="0" w:color="auto"/>
        <w:left w:val="none" w:sz="0" w:space="0" w:color="auto"/>
        <w:bottom w:val="none" w:sz="0" w:space="0" w:color="auto"/>
        <w:right w:val="none" w:sz="0" w:space="0" w:color="auto"/>
      </w:divBdr>
    </w:div>
    <w:div w:id="314185686">
      <w:bodyDiv w:val="1"/>
      <w:marLeft w:val="0"/>
      <w:marRight w:val="0"/>
      <w:marTop w:val="0"/>
      <w:marBottom w:val="0"/>
      <w:divBdr>
        <w:top w:val="none" w:sz="0" w:space="0" w:color="auto"/>
        <w:left w:val="none" w:sz="0" w:space="0" w:color="auto"/>
        <w:bottom w:val="none" w:sz="0" w:space="0" w:color="auto"/>
        <w:right w:val="none" w:sz="0" w:space="0" w:color="auto"/>
      </w:divBdr>
    </w:div>
    <w:div w:id="324360392">
      <w:bodyDiv w:val="1"/>
      <w:marLeft w:val="0"/>
      <w:marRight w:val="0"/>
      <w:marTop w:val="0"/>
      <w:marBottom w:val="0"/>
      <w:divBdr>
        <w:top w:val="none" w:sz="0" w:space="0" w:color="auto"/>
        <w:left w:val="none" w:sz="0" w:space="0" w:color="auto"/>
        <w:bottom w:val="none" w:sz="0" w:space="0" w:color="auto"/>
        <w:right w:val="none" w:sz="0" w:space="0" w:color="auto"/>
      </w:divBdr>
    </w:div>
    <w:div w:id="327171545">
      <w:bodyDiv w:val="1"/>
      <w:marLeft w:val="0"/>
      <w:marRight w:val="0"/>
      <w:marTop w:val="0"/>
      <w:marBottom w:val="0"/>
      <w:divBdr>
        <w:top w:val="none" w:sz="0" w:space="0" w:color="auto"/>
        <w:left w:val="none" w:sz="0" w:space="0" w:color="auto"/>
        <w:bottom w:val="none" w:sz="0" w:space="0" w:color="auto"/>
        <w:right w:val="none" w:sz="0" w:space="0" w:color="auto"/>
      </w:divBdr>
    </w:div>
    <w:div w:id="332612365">
      <w:bodyDiv w:val="1"/>
      <w:marLeft w:val="0"/>
      <w:marRight w:val="0"/>
      <w:marTop w:val="0"/>
      <w:marBottom w:val="0"/>
      <w:divBdr>
        <w:top w:val="none" w:sz="0" w:space="0" w:color="auto"/>
        <w:left w:val="none" w:sz="0" w:space="0" w:color="auto"/>
        <w:bottom w:val="none" w:sz="0" w:space="0" w:color="auto"/>
        <w:right w:val="none" w:sz="0" w:space="0" w:color="auto"/>
      </w:divBdr>
    </w:div>
    <w:div w:id="354812144">
      <w:bodyDiv w:val="1"/>
      <w:marLeft w:val="0"/>
      <w:marRight w:val="0"/>
      <w:marTop w:val="0"/>
      <w:marBottom w:val="0"/>
      <w:divBdr>
        <w:top w:val="none" w:sz="0" w:space="0" w:color="auto"/>
        <w:left w:val="none" w:sz="0" w:space="0" w:color="auto"/>
        <w:bottom w:val="none" w:sz="0" w:space="0" w:color="auto"/>
        <w:right w:val="none" w:sz="0" w:space="0" w:color="auto"/>
      </w:divBdr>
    </w:div>
    <w:div w:id="375980126">
      <w:bodyDiv w:val="1"/>
      <w:marLeft w:val="0"/>
      <w:marRight w:val="0"/>
      <w:marTop w:val="0"/>
      <w:marBottom w:val="0"/>
      <w:divBdr>
        <w:top w:val="none" w:sz="0" w:space="0" w:color="auto"/>
        <w:left w:val="none" w:sz="0" w:space="0" w:color="auto"/>
        <w:bottom w:val="none" w:sz="0" w:space="0" w:color="auto"/>
        <w:right w:val="none" w:sz="0" w:space="0" w:color="auto"/>
      </w:divBdr>
    </w:div>
    <w:div w:id="406154276">
      <w:bodyDiv w:val="1"/>
      <w:marLeft w:val="0"/>
      <w:marRight w:val="0"/>
      <w:marTop w:val="0"/>
      <w:marBottom w:val="0"/>
      <w:divBdr>
        <w:top w:val="none" w:sz="0" w:space="0" w:color="auto"/>
        <w:left w:val="none" w:sz="0" w:space="0" w:color="auto"/>
        <w:bottom w:val="none" w:sz="0" w:space="0" w:color="auto"/>
        <w:right w:val="none" w:sz="0" w:space="0" w:color="auto"/>
      </w:divBdr>
    </w:div>
    <w:div w:id="416901561">
      <w:bodyDiv w:val="1"/>
      <w:marLeft w:val="0"/>
      <w:marRight w:val="0"/>
      <w:marTop w:val="0"/>
      <w:marBottom w:val="0"/>
      <w:divBdr>
        <w:top w:val="none" w:sz="0" w:space="0" w:color="auto"/>
        <w:left w:val="none" w:sz="0" w:space="0" w:color="auto"/>
        <w:bottom w:val="none" w:sz="0" w:space="0" w:color="auto"/>
        <w:right w:val="none" w:sz="0" w:space="0" w:color="auto"/>
      </w:divBdr>
    </w:div>
    <w:div w:id="497573750">
      <w:bodyDiv w:val="1"/>
      <w:marLeft w:val="0"/>
      <w:marRight w:val="0"/>
      <w:marTop w:val="0"/>
      <w:marBottom w:val="0"/>
      <w:divBdr>
        <w:top w:val="none" w:sz="0" w:space="0" w:color="auto"/>
        <w:left w:val="none" w:sz="0" w:space="0" w:color="auto"/>
        <w:bottom w:val="none" w:sz="0" w:space="0" w:color="auto"/>
        <w:right w:val="none" w:sz="0" w:space="0" w:color="auto"/>
      </w:divBdr>
    </w:div>
    <w:div w:id="515190564">
      <w:bodyDiv w:val="1"/>
      <w:marLeft w:val="0"/>
      <w:marRight w:val="0"/>
      <w:marTop w:val="0"/>
      <w:marBottom w:val="0"/>
      <w:divBdr>
        <w:top w:val="none" w:sz="0" w:space="0" w:color="auto"/>
        <w:left w:val="none" w:sz="0" w:space="0" w:color="auto"/>
        <w:bottom w:val="none" w:sz="0" w:space="0" w:color="auto"/>
        <w:right w:val="none" w:sz="0" w:space="0" w:color="auto"/>
      </w:divBdr>
    </w:div>
    <w:div w:id="547689427">
      <w:bodyDiv w:val="1"/>
      <w:marLeft w:val="0"/>
      <w:marRight w:val="0"/>
      <w:marTop w:val="0"/>
      <w:marBottom w:val="0"/>
      <w:divBdr>
        <w:top w:val="none" w:sz="0" w:space="0" w:color="auto"/>
        <w:left w:val="none" w:sz="0" w:space="0" w:color="auto"/>
        <w:bottom w:val="none" w:sz="0" w:space="0" w:color="auto"/>
        <w:right w:val="none" w:sz="0" w:space="0" w:color="auto"/>
      </w:divBdr>
    </w:div>
    <w:div w:id="666251677">
      <w:bodyDiv w:val="1"/>
      <w:marLeft w:val="0"/>
      <w:marRight w:val="0"/>
      <w:marTop w:val="0"/>
      <w:marBottom w:val="0"/>
      <w:divBdr>
        <w:top w:val="none" w:sz="0" w:space="0" w:color="auto"/>
        <w:left w:val="none" w:sz="0" w:space="0" w:color="auto"/>
        <w:bottom w:val="none" w:sz="0" w:space="0" w:color="auto"/>
        <w:right w:val="none" w:sz="0" w:space="0" w:color="auto"/>
      </w:divBdr>
    </w:div>
    <w:div w:id="694693569">
      <w:bodyDiv w:val="1"/>
      <w:marLeft w:val="0"/>
      <w:marRight w:val="0"/>
      <w:marTop w:val="0"/>
      <w:marBottom w:val="0"/>
      <w:divBdr>
        <w:top w:val="none" w:sz="0" w:space="0" w:color="auto"/>
        <w:left w:val="none" w:sz="0" w:space="0" w:color="auto"/>
        <w:bottom w:val="none" w:sz="0" w:space="0" w:color="auto"/>
        <w:right w:val="none" w:sz="0" w:space="0" w:color="auto"/>
      </w:divBdr>
    </w:div>
    <w:div w:id="702243136">
      <w:bodyDiv w:val="1"/>
      <w:marLeft w:val="0"/>
      <w:marRight w:val="0"/>
      <w:marTop w:val="0"/>
      <w:marBottom w:val="0"/>
      <w:divBdr>
        <w:top w:val="none" w:sz="0" w:space="0" w:color="auto"/>
        <w:left w:val="none" w:sz="0" w:space="0" w:color="auto"/>
        <w:bottom w:val="none" w:sz="0" w:space="0" w:color="auto"/>
        <w:right w:val="none" w:sz="0" w:space="0" w:color="auto"/>
      </w:divBdr>
    </w:div>
    <w:div w:id="772096493">
      <w:bodyDiv w:val="1"/>
      <w:marLeft w:val="0"/>
      <w:marRight w:val="0"/>
      <w:marTop w:val="0"/>
      <w:marBottom w:val="0"/>
      <w:divBdr>
        <w:top w:val="none" w:sz="0" w:space="0" w:color="auto"/>
        <w:left w:val="none" w:sz="0" w:space="0" w:color="auto"/>
        <w:bottom w:val="none" w:sz="0" w:space="0" w:color="auto"/>
        <w:right w:val="none" w:sz="0" w:space="0" w:color="auto"/>
      </w:divBdr>
    </w:div>
    <w:div w:id="796293236">
      <w:bodyDiv w:val="1"/>
      <w:marLeft w:val="0"/>
      <w:marRight w:val="0"/>
      <w:marTop w:val="0"/>
      <w:marBottom w:val="0"/>
      <w:divBdr>
        <w:top w:val="none" w:sz="0" w:space="0" w:color="auto"/>
        <w:left w:val="none" w:sz="0" w:space="0" w:color="auto"/>
        <w:bottom w:val="none" w:sz="0" w:space="0" w:color="auto"/>
        <w:right w:val="none" w:sz="0" w:space="0" w:color="auto"/>
      </w:divBdr>
    </w:div>
    <w:div w:id="804009303">
      <w:bodyDiv w:val="1"/>
      <w:marLeft w:val="0"/>
      <w:marRight w:val="0"/>
      <w:marTop w:val="0"/>
      <w:marBottom w:val="0"/>
      <w:divBdr>
        <w:top w:val="none" w:sz="0" w:space="0" w:color="auto"/>
        <w:left w:val="none" w:sz="0" w:space="0" w:color="auto"/>
        <w:bottom w:val="none" w:sz="0" w:space="0" w:color="auto"/>
        <w:right w:val="none" w:sz="0" w:space="0" w:color="auto"/>
      </w:divBdr>
    </w:div>
    <w:div w:id="816802699">
      <w:bodyDiv w:val="1"/>
      <w:marLeft w:val="0"/>
      <w:marRight w:val="0"/>
      <w:marTop w:val="0"/>
      <w:marBottom w:val="0"/>
      <w:divBdr>
        <w:top w:val="none" w:sz="0" w:space="0" w:color="auto"/>
        <w:left w:val="none" w:sz="0" w:space="0" w:color="auto"/>
        <w:bottom w:val="none" w:sz="0" w:space="0" w:color="auto"/>
        <w:right w:val="none" w:sz="0" w:space="0" w:color="auto"/>
      </w:divBdr>
    </w:div>
    <w:div w:id="859005484">
      <w:bodyDiv w:val="1"/>
      <w:marLeft w:val="0"/>
      <w:marRight w:val="0"/>
      <w:marTop w:val="0"/>
      <w:marBottom w:val="0"/>
      <w:divBdr>
        <w:top w:val="none" w:sz="0" w:space="0" w:color="auto"/>
        <w:left w:val="none" w:sz="0" w:space="0" w:color="auto"/>
        <w:bottom w:val="none" w:sz="0" w:space="0" w:color="auto"/>
        <w:right w:val="none" w:sz="0" w:space="0" w:color="auto"/>
      </w:divBdr>
    </w:div>
    <w:div w:id="861089911">
      <w:bodyDiv w:val="1"/>
      <w:marLeft w:val="0"/>
      <w:marRight w:val="0"/>
      <w:marTop w:val="0"/>
      <w:marBottom w:val="0"/>
      <w:divBdr>
        <w:top w:val="none" w:sz="0" w:space="0" w:color="auto"/>
        <w:left w:val="none" w:sz="0" w:space="0" w:color="auto"/>
        <w:bottom w:val="none" w:sz="0" w:space="0" w:color="auto"/>
        <w:right w:val="none" w:sz="0" w:space="0" w:color="auto"/>
      </w:divBdr>
    </w:div>
    <w:div w:id="869801360">
      <w:bodyDiv w:val="1"/>
      <w:marLeft w:val="0"/>
      <w:marRight w:val="0"/>
      <w:marTop w:val="0"/>
      <w:marBottom w:val="0"/>
      <w:divBdr>
        <w:top w:val="none" w:sz="0" w:space="0" w:color="auto"/>
        <w:left w:val="none" w:sz="0" w:space="0" w:color="auto"/>
        <w:bottom w:val="none" w:sz="0" w:space="0" w:color="auto"/>
        <w:right w:val="none" w:sz="0" w:space="0" w:color="auto"/>
      </w:divBdr>
    </w:div>
    <w:div w:id="908854344">
      <w:bodyDiv w:val="1"/>
      <w:marLeft w:val="0"/>
      <w:marRight w:val="0"/>
      <w:marTop w:val="0"/>
      <w:marBottom w:val="0"/>
      <w:divBdr>
        <w:top w:val="none" w:sz="0" w:space="0" w:color="auto"/>
        <w:left w:val="none" w:sz="0" w:space="0" w:color="auto"/>
        <w:bottom w:val="none" w:sz="0" w:space="0" w:color="auto"/>
        <w:right w:val="none" w:sz="0" w:space="0" w:color="auto"/>
      </w:divBdr>
      <w:divsChild>
        <w:div w:id="1831092103">
          <w:marLeft w:val="0"/>
          <w:marRight w:val="0"/>
          <w:marTop w:val="0"/>
          <w:marBottom w:val="0"/>
          <w:divBdr>
            <w:top w:val="none" w:sz="0" w:space="0" w:color="auto"/>
            <w:left w:val="none" w:sz="0" w:space="0" w:color="auto"/>
            <w:bottom w:val="none" w:sz="0" w:space="0" w:color="auto"/>
            <w:right w:val="none" w:sz="0" w:space="0" w:color="auto"/>
          </w:divBdr>
          <w:divsChild>
            <w:div w:id="2099786648">
              <w:marLeft w:val="0"/>
              <w:marRight w:val="0"/>
              <w:marTop w:val="0"/>
              <w:marBottom w:val="0"/>
              <w:divBdr>
                <w:top w:val="none" w:sz="0" w:space="0" w:color="auto"/>
                <w:left w:val="none" w:sz="0" w:space="0" w:color="auto"/>
                <w:bottom w:val="none" w:sz="0" w:space="0" w:color="auto"/>
                <w:right w:val="none" w:sz="0" w:space="0" w:color="auto"/>
              </w:divBdr>
              <w:divsChild>
                <w:div w:id="113788085">
                  <w:marLeft w:val="0"/>
                  <w:marRight w:val="0"/>
                  <w:marTop w:val="0"/>
                  <w:marBottom w:val="0"/>
                  <w:divBdr>
                    <w:top w:val="none" w:sz="0" w:space="0" w:color="auto"/>
                    <w:left w:val="none" w:sz="0" w:space="0" w:color="auto"/>
                    <w:bottom w:val="none" w:sz="0" w:space="0" w:color="auto"/>
                    <w:right w:val="none" w:sz="0" w:space="0" w:color="auto"/>
                  </w:divBdr>
                  <w:divsChild>
                    <w:div w:id="1613977670">
                      <w:marLeft w:val="0"/>
                      <w:marRight w:val="0"/>
                      <w:marTop w:val="0"/>
                      <w:marBottom w:val="0"/>
                      <w:divBdr>
                        <w:top w:val="none" w:sz="0" w:space="0" w:color="auto"/>
                        <w:left w:val="none" w:sz="0" w:space="0" w:color="auto"/>
                        <w:bottom w:val="none" w:sz="0" w:space="0" w:color="auto"/>
                        <w:right w:val="none" w:sz="0" w:space="0" w:color="auto"/>
                      </w:divBdr>
                      <w:divsChild>
                        <w:div w:id="2086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6218">
      <w:bodyDiv w:val="1"/>
      <w:marLeft w:val="0"/>
      <w:marRight w:val="0"/>
      <w:marTop w:val="0"/>
      <w:marBottom w:val="0"/>
      <w:divBdr>
        <w:top w:val="none" w:sz="0" w:space="0" w:color="auto"/>
        <w:left w:val="none" w:sz="0" w:space="0" w:color="auto"/>
        <w:bottom w:val="none" w:sz="0" w:space="0" w:color="auto"/>
        <w:right w:val="none" w:sz="0" w:space="0" w:color="auto"/>
      </w:divBdr>
    </w:div>
    <w:div w:id="971909428">
      <w:bodyDiv w:val="1"/>
      <w:marLeft w:val="0"/>
      <w:marRight w:val="0"/>
      <w:marTop w:val="0"/>
      <w:marBottom w:val="0"/>
      <w:divBdr>
        <w:top w:val="none" w:sz="0" w:space="0" w:color="auto"/>
        <w:left w:val="none" w:sz="0" w:space="0" w:color="auto"/>
        <w:bottom w:val="none" w:sz="0" w:space="0" w:color="auto"/>
        <w:right w:val="none" w:sz="0" w:space="0" w:color="auto"/>
      </w:divBdr>
    </w:div>
    <w:div w:id="973871194">
      <w:bodyDiv w:val="1"/>
      <w:marLeft w:val="0"/>
      <w:marRight w:val="0"/>
      <w:marTop w:val="0"/>
      <w:marBottom w:val="0"/>
      <w:divBdr>
        <w:top w:val="none" w:sz="0" w:space="0" w:color="auto"/>
        <w:left w:val="none" w:sz="0" w:space="0" w:color="auto"/>
        <w:bottom w:val="none" w:sz="0" w:space="0" w:color="auto"/>
        <w:right w:val="none" w:sz="0" w:space="0" w:color="auto"/>
      </w:divBdr>
    </w:div>
    <w:div w:id="1052727562">
      <w:bodyDiv w:val="1"/>
      <w:marLeft w:val="0"/>
      <w:marRight w:val="0"/>
      <w:marTop w:val="0"/>
      <w:marBottom w:val="0"/>
      <w:divBdr>
        <w:top w:val="none" w:sz="0" w:space="0" w:color="auto"/>
        <w:left w:val="none" w:sz="0" w:space="0" w:color="auto"/>
        <w:bottom w:val="none" w:sz="0" w:space="0" w:color="auto"/>
        <w:right w:val="none" w:sz="0" w:space="0" w:color="auto"/>
      </w:divBdr>
    </w:div>
    <w:div w:id="1080449254">
      <w:bodyDiv w:val="1"/>
      <w:marLeft w:val="0"/>
      <w:marRight w:val="0"/>
      <w:marTop w:val="0"/>
      <w:marBottom w:val="0"/>
      <w:divBdr>
        <w:top w:val="none" w:sz="0" w:space="0" w:color="auto"/>
        <w:left w:val="none" w:sz="0" w:space="0" w:color="auto"/>
        <w:bottom w:val="none" w:sz="0" w:space="0" w:color="auto"/>
        <w:right w:val="none" w:sz="0" w:space="0" w:color="auto"/>
      </w:divBdr>
    </w:div>
    <w:div w:id="1090277500">
      <w:bodyDiv w:val="1"/>
      <w:marLeft w:val="0"/>
      <w:marRight w:val="0"/>
      <w:marTop w:val="0"/>
      <w:marBottom w:val="0"/>
      <w:divBdr>
        <w:top w:val="none" w:sz="0" w:space="0" w:color="auto"/>
        <w:left w:val="none" w:sz="0" w:space="0" w:color="auto"/>
        <w:bottom w:val="none" w:sz="0" w:space="0" w:color="auto"/>
        <w:right w:val="none" w:sz="0" w:space="0" w:color="auto"/>
      </w:divBdr>
    </w:div>
    <w:div w:id="1190148605">
      <w:bodyDiv w:val="1"/>
      <w:marLeft w:val="0"/>
      <w:marRight w:val="0"/>
      <w:marTop w:val="0"/>
      <w:marBottom w:val="0"/>
      <w:divBdr>
        <w:top w:val="none" w:sz="0" w:space="0" w:color="auto"/>
        <w:left w:val="none" w:sz="0" w:space="0" w:color="auto"/>
        <w:bottom w:val="none" w:sz="0" w:space="0" w:color="auto"/>
        <w:right w:val="none" w:sz="0" w:space="0" w:color="auto"/>
      </w:divBdr>
    </w:div>
    <w:div w:id="1216821531">
      <w:bodyDiv w:val="1"/>
      <w:marLeft w:val="0"/>
      <w:marRight w:val="0"/>
      <w:marTop w:val="0"/>
      <w:marBottom w:val="0"/>
      <w:divBdr>
        <w:top w:val="none" w:sz="0" w:space="0" w:color="auto"/>
        <w:left w:val="none" w:sz="0" w:space="0" w:color="auto"/>
        <w:bottom w:val="none" w:sz="0" w:space="0" w:color="auto"/>
        <w:right w:val="none" w:sz="0" w:space="0" w:color="auto"/>
      </w:divBdr>
    </w:div>
    <w:div w:id="1244146050">
      <w:bodyDiv w:val="1"/>
      <w:marLeft w:val="0"/>
      <w:marRight w:val="0"/>
      <w:marTop w:val="0"/>
      <w:marBottom w:val="0"/>
      <w:divBdr>
        <w:top w:val="none" w:sz="0" w:space="0" w:color="auto"/>
        <w:left w:val="none" w:sz="0" w:space="0" w:color="auto"/>
        <w:bottom w:val="none" w:sz="0" w:space="0" w:color="auto"/>
        <w:right w:val="none" w:sz="0" w:space="0" w:color="auto"/>
      </w:divBdr>
    </w:div>
    <w:div w:id="1269390249">
      <w:bodyDiv w:val="1"/>
      <w:marLeft w:val="0"/>
      <w:marRight w:val="0"/>
      <w:marTop w:val="0"/>
      <w:marBottom w:val="0"/>
      <w:divBdr>
        <w:top w:val="none" w:sz="0" w:space="0" w:color="auto"/>
        <w:left w:val="none" w:sz="0" w:space="0" w:color="auto"/>
        <w:bottom w:val="none" w:sz="0" w:space="0" w:color="auto"/>
        <w:right w:val="none" w:sz="0" w:space="0" w:color="auto"/>
      </w:divBdr>
    </w:div>
    <w:div w:id="1307469845">
      <w:bodyDiv w:val="1"/>
      <w:marLeft w:val="0"/>
      <w:marRight w:val="0"/>
      <w:marTop w:val="0"/>
      <w:marBottom w:val="0"/>
      <w:divBdr>
        <w:top w:val="none" w:sz="0" w:space="0" w:color="auto"/>
        <w:left w:val="none" w:sz="0" w:space="0" w:color="auto"/>
        <w:bottom w:val="none" w:sz="0" w:space="0" w:color="auto"/>
        <w:right w:val="none" w:sz="0" w:space="0" w:color="auto"/>
      </w:divBdr>
    </w:div>
    <w:div w:id="1328900373">
      <w:bodyDiv w:val="1"/>
      <w:marLeft w:val="0"/>
      <w:marRight w:val="0"/>
      <w:marTop w:val="0"/>
      <w:marBottom w:val="0"/>
      <w:divBdr>
        <w:top w:val="none" w:sz="0" w:space="0" w:color="auto"/>
        <w:left w:val="none" w:sz="0" w:space="0" w:color="auto"/>
        <w:bottom w:val="none" w:sz="0" w:space="0" w:color="auto"/>
        <w:right w:val="none" w:sz="0" w:space="0" w:color="auto"/>
      </w:divBdr>
    </w:div>
    <w:div w:id="1376349274">
      <w:bodyDiv w:val="1"/>
      <w:marLeft w:val="0"/>
      <w:marRight w:val="0"/>
      <w:marTop w:val="0"/>
      <w:marBottom w:val="0"/>
      <w:divBdr>
        <w:top w:val="none" w:sz="0" w:space="0" w:color="auto"/>
        <w:left w:val="none" w:sz="0" w:space="0" w:color="auto"/>
        <w:bottom w:val="none" w:sz="0" w:space="0" w:color="auto"/>
        <w:right w:val="none" w:sz="0" w:space="0" w:color="auto"/>
      </w:divBdr>
    </w:div>
    <w:div w:id="1425609053">
      <w:bodyDiv w:val="1"/>
      <w:marLeft w:val="0"/>
      <w:marRight w:val="0"/>
      <w:marTop w:val="0"/>
      <w:marBottom w:val="0"/>
      <w:divBdr>
        <w:top w:val="none" w:sz="0" w:space="0" w:color="auto"/>
        <w:left w:val="none" w:sz="0" w:space="0" w:color="auto"/>
        <w:bottom w:val="none" w:sz="0" w:space="0" w:color="auto"/>
        <w:right w:val="none" w:sz="0" w:space="0" w:color="auto"/>
      </w:divBdr>
    </w:div>
    <w:div w:id="1504011953">
      <w:bodyDiv w:val="1"/>
      <w:marLeft w:val="0"/>
      <w:marRight w:val="0"/>
      <w:marTop w:val="0"/>
      <w:marBottom w:val="0"/>
      <w:divBdr>
        <w:top w:val="none" w:sz="0" w:space="0" w:color="auto"/>
        <w:left w:val="none" w:sz="0" w:space="0" w:color="auto"/>
        <w:bottom w:val="none" w:sz="0" w:space="0" w:color="auto"/>
        <w:right w:val="none" w:sz="0" w:space="0" w:color="auto"/>
      </w:divBdr>
    </w:div>
    <w:div w:id="1527132866">
      <w:bodyDiv w:val="1"/>
      <w:marLeft w:val="0"/>
      <w:marRight w:val="0"/>
      <w:marTop w:val="0"/>
      <w:marBottom w:val="0"/>
      <w:divBdr>
        <w:top w:val="none" w:sz="0" w:space="0" w:color="auto"/>
        <w:left w:val="none" w:sz="0" w:space="0" w:color="auto"/>
        <w:bottom w:val="none" w:sz="0" w:space="0" w:color="auto"/>
        <w:right w:val="none" w:sz="0" w:space="0" w:color="auto"/>
      </w:divBdr>
    </w:div>
    <w:div w:id="1563636974">
      <w:bodyDiv w:val="1"/>
      <w:marLeft w:val="0"/>
      <w:marRight w:val="0"/>
      <w:marTop w:val="0"/>
      <w:marBottom w:val="0"/>
      <w:divBdr>
        <w:top w:val="none" w:sz="0" w:space="0" w:color="auto"/>
        <w:left w:val="none" w:sz="0" w:space="0" w:color="auto"/>
        <w:bottom w:val="none" w:sz="0" w:space="0" w:color="auto"/>
        <w:right w:val="none" w:sz="0" w:space="0" w:color="auto"/>
      </w:divBdr>
    </w:div>
    <w:div w:id="1566449175">
      <w:bodyDiv w:val="1"/>
      <w:marLeft w:val="0"/>
      <w:marRight w:val="0"/>
      <w:marTop w:val="0"/>
      <w:marBottom w:val="0"/>
      <w:divBdr>
        <w:top w:val="none" w:sz="0" w:space="0" w:color="auto"/>
        <w:left w:val="none" w:sz="0" w:space="0" w:color="auto"/>
        <w:bottom w:val="none" w:sz="0" w:space="0" w:color="auto"/>
        <w:right w:val="none" w:sz="0" w:space="0" w:color="auto"/>
      </w:divBdr>
    </w:div>
    <w:div w:id="1585526031">
      <w:bodyDiv w:val="1"/>
      <w:marLeft w:val="0"/>
      <w:marRight w:val="0"/>
      <w:marTop w:val="0"/>
      <w:marBottom w:val="0"/>
      <w:divBdr>
        <w:top w:val="none" w:sz="0" w:space="0" w:color="auto"/>
        <w:left w:val="none" w:sz="0" w:space="0" w:color="auto"/>
        <w:bottom w:val="none" w:sz="0" w:space="0" w:color="auto"/>
        <w:right w:val="none" w:sz="0" w:space="0" w:color="auto"/>
      </w:divBdr>
    </w:div>
    <w:div w:id="1616717848">
      <w:bodyDiv w:val="1"/>
      <w:marLeft w:val="0"/>
      <w:marRight w:val="0"/>
      <w:marTop w:val="0"/>
      <w:marBottom w:val="0"/>
      <w:divBdr>
        <w:top w:val="none" w:sz="0" w:space="0" w:color="auto"/>
        <w:left w:val="none" w:sz="0" w:space="0" w:color="auto"/>
        <w:bottom w:val="none" w:sz="0" w:space="0" w:color="auto"/>
        <w:right w:val="none" w:sz="0" w:space="0" w:color="auto"/>
      </w:divBdr>
    </w:div>
    <w:div w:id="1634293417">
      <w:bodyDiv w:val="1"/>
      <w:marLeft w:val="0"/>
      <w:marRight w:val="0"/>
      <w:marTop w:val="0"/>
      <w:marBottom w:val="0"/>
      <w:divBdr>
        <w:top w:val="none" w:sz="0" w:space="0" w:color="auto"/>
        <w:left w:val="none" w:sz="0" w:space="0" w:color="auto"/>
        <w:bottom w:val="none" w:sz="0" w:space="0" w:color="auto"/>
        <w:right w:val="none" w:sz="0" w:space="0" w:color="auto"/>
      </w:divBdr>
    </w:div>
    <w:div w:id="1656370132">
      <w:bodyDiv w:val="1"/>
      <w:marLeft w:val="0"/>
      <w:marRight w:val="0"/>
      <w:marTop w:val="0"/>
      <w:marBottom w:val="0"/>
      <w:divBdr>
        <w:top w:val="none" w:sz="0" w:space="0" w:color="auto"/>
        <w:left w:val="none" w:sz="0" w:space="0" w:color="auto"/>
        <w:bottom w:val="none" w:sz="0" w:space="0" w:color="auto"/>
        <w:right w:val="none" w:sz="0" w:space="0" w:color="auto"/>
      </w:divBdr>
      <w:divsChild>
        <w:div w:id="1030689229">
          <w:marLeft w:val="0"/>
          <w:marRight w:val="0"/>
          <w:marTop w:val="0"/>
          <w:marBottom w:val="0"/>
          <w:divBdr>
            <w:top w:val="none" w:sz="0" w:space="0" w:color="auto"/>
            <w:left w:val="none" w:sz="0" w:space="0" w:color="auto"/>
            <w:bottom w:val="none" w:sz="0" w:space="0" w:color="auto"/>
            <w:right w:val="none" w:sz="0" w:space="0" w:color="auto"/>
          </w:divBdr>
          <w:divsChild>
            <w:div w:id="93284901">
              <w:marLeft w:val="0"/>
              <w:marRight w:val="0"/>
              <w:marTop w:val="0"/>
              <w:marBottom w:val="0"/>
              <w:divBdr>
                <w:top w:val="none" w:sz="0" w:space="0" w:color="auto"/>
                <w:left w:val="none" w:sz="0" w:space="0" w:color="auto"/>
                <w:bottom w:val="none" w:sz="0" w:space="0" w:color="auto"/>
                <w:right w:val="none" w:sz="0" w:space="0" w:color="auto"/>
              </w:divBdr>
              <w:divsChild>
                <w:div w:id="132018748">
                  <w:marLeft w:val="0"/>
                  <w:marRight w:val="0"/>
                  <w:marTop w:val="0"/>
                  <w:marBottom w:val="0"/>
                  <w:divBdr>
                    <w:top w:val="none" w:sz="0" w:space="0" w:color="auto"/>
                    <w:left w:val="none" w:sz="0" w:space="0" w:color="auto"/>
                    <w:bottom w:val="none" w:sz="0" w:space="0" w:color="auto"/>
                    <w:right w:val="none" w:sz="0" w:space="0" w:color="auto"/>
                  </w:divBdr>
                  <w:divsChild>
                    <w:div w:id="224268493">
                      <w:marLeft w:val="0"/>
                      <w:marRight w:val="0"/>
                      <w:marTop w:val="0"/>
                      <w:marBottom w:val="0"/>
                      <w:divBdr>
                        <w:top w:val="none" w:sz="0" w:space="0" w:color="auto"/>
                        <w:left w:val="none" w:sz="0" w:space="0" w:color="auto"/>
                        <w:bottom w:val="none" w:sz="0" w:space="0" w:color="auto"/>
                        <w:right w:val="none" w:sz="0" w:space="0" w:color="auto"/>
                      </w:divBdr>
                      <w:divsChild>
                        <w:div w:id="1599017772">
                          <w:marLeft w:val="0"/>
                          <w:marRight w:val="0"/>
                          <w:marTop w:val="0"/>
                          <w:marBottom w:val="0"/>
                          <w:divBdr>
                            <w:top w:val="none" w:sz="0" w:space="0" w:color="auto"/>
                            <w:left w:val="none" w:sz="0" w:space="0" w:color="auto"/>
                            <w:bottom w:val="none" w:sz="0" w:space="0" w:color="auto"/>
                            <w:right w:val="none" w:sz="0" w:space="0" w:color="auto"/>
                          </w:divBdr>
                          <w:divsChild>
                            <w:div w:id="1155533554">
                              <w:marLeft w:val="0"/>
                              <w:marRight w:val="0"/>
                              <w:marTop w:val="0"/>
                              <w:marBottom w:val="0"/>
                              <w:divBdr>
                                <w:top w:val="none" w:sz="0" w:space="0" w:color="auto"/>
                                <w:left w:val="none" w:sz="0" w:space="0" w:color="auto"/>
                                <w:bottom w:val="none" w:sz="0" w:space="0" w:color="auto"/>
                                <w:right w:val="none" w:sz="0" w:space="0" w:color="auto"/>
                              </w:divBdr>
                              <w:divsChild>
                                <w:div w:id="1344818907">
                                  <w:marLeft w:val="0"/>
                                  <w:marRight w:val="0"/>
                                  <w:marTop w:val="0"/>
                                  <w:marBottom w:val="0"/>
                                  <w:divBdr>
                                    <w:top w:val="none" w:sz="0" w:space="0" w:color="auto"/>
                                    <w:left w:val="none" w:sz="0" w:space="0" w:color="auto"/>
                                    <w:bottom w:val="none" w:sz="0" w:space="0" w:color="auto"/>
                                    <w:right w:val="none" w:sz="0" w:space="0" w:color="auto"/>
                                  </w:divBdr>
                                  <w:divsChild>
                                    <w:div w:id="685834482">
                                      <w:marLeft w:val="0"/>
                                      <w:marRight w:val="0"/>
                                      <w:marTop w:val="0"/>
                                      <w:marBottom w:val="0"/>
                                      <w:divBdr>
                                        <w:top w:val="none" w:sz="0" w:space="0" w:color="auto"/>
                                        <w:left w:val="none" w:sz="0" w:space="0" w:color="auto"/>
                                        <w:bottom w:val="none" w:sz="0" w:space="0" w:color="auto"/>
                                        <w:right w:val="none" w:sz="0" w:space="0" w:color="auto"/>
                                      </w:divBdr>
                                      <w:divsChild>
                                        <w:div w:id="411239035">
                                          <w:marLeft w:val="0"/>
                                          <w:marRight w:val="0"/>
                                          <w:marTop w:val="0"/>
                                          <w:marBottom w:val="0"/>
                                          <w:divBdr>
                                            <w:top w:val="none" w:sz="0" w:space="0" w:color="auto"/>
                                            <w:left w:val="none" w:sz="0" w:space="0" w:color="auto"/>
                                            <w:bottom w:val="none" w:sz="0" w:space="0" w:color="auto"/>
                                            <w:right w:val="none" w:sz="0" w:space="0" w:color="auto"/>
                                          </w:divBdr>
                                          <w:divsChild>
                                            <w:div w:id="765541811">
                                              <w:marLeft w:val="0"/>
                                              <w:marRight w:val="0"/>
                                              <w:marTop w:val="0"/>
                                              <w:marBottom w:val="0"/>
                                              <w:divBdr>
                                                <w:top w:val="none" w:sz="0" w:space="0" w:color="auto"/>
                                                <w:left w:val="none" w:sz="0" w:space="0" w:color="auto"/>
                                                <w:bottom w:val="none" w:sz="0" w:space="0" w:color="auto"/>
                                                <w:right w:val="none" w:sz="0" w:space="0" w:color="auto"/>
                                              </w:divBdr>
                                              <w:divsChild>
                                                <w:div w:id="1149833048">
                                                  <w:marLeft w:val="0"/>
                                                  <w:marRight w:val="0"/>
                                                  <w:marTop w:val="0"/>
                                                  <w:marBottom w:val="0"/>
                                                  <w:divBdr>
                                                    <w:top w:val="none" w:sz="0" w:space="0" w:color="auto"/>
                                                    <w:left w:val="none" w:sz="0" w:space="0" w:color="auto"/>
                                                    <w:bottom w:val="none" w:sz="0" w:space="0" w:color="auto"/>
                                                    <w:right w:val="none" w:sz="0" w:space="0" w:color="auto"/>
                                                  </w:divBdr>
                                                  <w:divsChild>
                                                    <w:div w:id="491721774">
                                                      <w:marLeft w:val="0"/>
                                                      <w:marRight w:val="0"/>
                                                      <w:marTop w:val="0"/>
                                                      <w:marBottom w:val="0"/>
                                                      <w:divBdr>
                                                        <w:top w:val="none" w:sz="0" w:space="0" w:color="auto"/>
                                                        <w:left w:val="none" w:sz="0" w:space="0" w:color="auto"/>
                                                        <w:bottom w:val="none" w:sz="0" w:space="0" w:color="auto"/>
                                                        <w:right w:val="none" w:sz="0" w:space="0" w:color="auto"/>
                                                      </w:divBdr>
                                                      <w:divsChild>
                                                        <w:div w:id="1690181098">
                                                          <w:marLeft w:val="0"/>
                                                          <w:marRight w:val="0"/>
                                                          <w:marTop w:val="0"/>
                                                          <w:marBottom w:val="0"/>
                                                          <w:divBdr>
                                                            <w:top w:val="none" w:sz="0" w:space="0" w:color="auto"/>
                                                            <w:left w:val="none" w:sz="0" w:space="0" w:color="auto"/>
                                                            <w:bottom w:val="none" w:sz="0" w:space="0" w:color="auto"/>
                                                            <w:right w:val="none" w:sz="0" w:space="0" w:color="auto"/>
                                                          </w:divBdr>
                                                          <w:divsChild>
                                                            <w:div w:id="1290673123">
                                                              <w:marLeft w:val="0"/>
                                                              <w:marRight w:val="0"/>
                                                              <w:marTop w:val="0"/>
                                                              <w:marBottom w:val="0"/>
                                                              <w:divBdr>
                                                                <w:top w:val="none" w:sz="0" w:space="0" w:color="auto"/>
                                                                <w:left w:val="none" w:sz="0" w:space="0" w:color="auto"/>
                                                                <w:bottom w:val="none" w:sz="0" w:space="0" w:color="auto"/>
                                                                <w:right w:val="none" w:sz="0" w:space="0" w:color="auto"/>
                                                              </w:divBdr>
                                                              <w:divsChild>
                                                                <w:div w:id="1906599465">
                                                                  <w:marLeft w:val="0"/>
                                                                  <w:marRight w:val="0"/>
                                                                  <w:marTop w:val="0"/>
                                                                  <w:marBottom w:val="0"/>
                                                                  <w:divBdr>
                                                                    <w:top w:val="none" w:sz="0" w:space="0" w:color="auto"/>
                                                                    <w:left w:val="none" w:sz="0" w:space="0" w:color="auto"/>
                                                                    <w:bottom w:val="none" w:sz="0" w:space="0" w:color="auto"/>
                                                                    <w:right w:val="none" w:sz="0" w:space="0" w:color="auto"/>
                                                                  </w:divBdr>
                                                                  <w:divsChild>
                                                                    <w:div w:id="559092987">
                                                                      <w:marLeft w:val="0"/>
                                                                      <w:marRight w:val="0"/>
                                                                      <w:marTop w:val="0"/>
                                                                      <w:marBottom w:val="0"/>
                                                                      <w:divBdr>
                                                                        <w:top w:val="none" w:sz="0" w:space="0" w:color="auto"/>
                                                                        <w:left w:val="none" w:sz="0" w:space="0" w:color="auto"/>
                                                                        <w:bottom w:val="none" w:sz="0" w:space="0" w:color="auto"/>
                                                                        <w:right w:val="none" w:sz="0" w:space="0" w:color="auto"/>
                                                                      </w:divBdr>
                                                                      <w:divsChild>
                                                                        <w:div w:id="3614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88091">
      <w:bodyDiv w:val="1"/>
      <w:marLeft w:val="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14110006">
      <w:bodyDiv w:val="1"/>
      <w:marLeft w:val="0"/>
      <w:marRight w:val="0"/>
      <w:marTop w:val="0"/>
      <w:marBottom w:val="0"/>
      <w:divBdr>
        <w:top w:val="none" w:sz="0" w:space="0" w:color="auto"/>
        <w:left w:val="none" w:sz="0" w:space="0" w:color="auto"/>
        <w:bottom w:val="none" w:sz="0" w:space="0" w:color="auto"/>
        <w:right w:val="none" w:sz="0" w:space="0" w:color="auto"/>
      </w:divBdr>
    </w:div>
    <w:div w:id="1754933016">
      <w:bodyDiv w:val="1"/>
      <w:marLeft w:val="0"/>
      <w:marRight w:val="0"/>
      <w:marTop w:val="0"/>
      <w:marBottom w:val="0"/>
      <w:divBdr>
        <w:top w:val="none" w:sz="0" w:space="0" w:color="auto"/>
        <w:left w:val="none" w:sz="0" w:space="0" w:color="auto"/>
        <w:bottom w:val="none" w:sz="0" w:space="0" w:color="auto"/>
        <w:right w:val="none" w:sz="0" w:space="0" w:color="auto"/>
      </w:divBdr>
    </w:div>
    <w:div w:id="1776637328">
      <w:bodyDiv w:val="1"/>
      <w:marLeft w:val="0"/>
      <w:marRight w:val="0"/>
      <w:marTop w:val="0"/>
      <w:marBottom w:val="0"/>
      <w:divBdr>
        <w:top w:val="none" w:sz="0" w:space="0" w:color="auto"/>
        <w:left w:val="none" w:sz="0" w:space="0" w:color="auto"/>
        <w:bottom w:val="none" w:sz="0" w:space="0" w:color="auto"/>
        <w:right w:val="none" w:sz="0" w:space="0" w:color="auto"/>
      </w:divBdr>
    </w:div>
    <w:div w:id="1777481718">
      <w:bodyDiv w:val="1"/>
      <w:marLeft w:val="0"/>
      <w:marRight w:val="0"/>
      <w:marTop w:val="0"/>
      <w:marBottom w:val="0"/>
      <w:divBdr>
        <w:top w:val="none" w:sz="0" w:space="0" w:color="auto"/>
        <w:left w:val="none" w:sz="0" w:space="0" w:color="auto"/>
        <w:bottom w:val="none" w:sz="0" w:space="0" w:color="auto"/>
        <w:right w:val="none" w:sz="0" w:space="0" w:color="auto"/>
      </w:divBdr>
    </w:div>
    <w:div w:id="1802573179">
      <w:bodyDiv w:val="1"/>
      <w:marLeft w:val="0"/>
      <w:marRight w:val="0"/>
      <w:marTop w:val="0"/>
      <w:marBottom w:val="0"/>
      <w:divBdr>
        <w:top w:val="none" w:sz="0" w:space="0" w:color="auto"/>
        <w:left w:val="none" w:sz="0" w:space="0" w:color="auto"/>
        <w:bottom w:val="none" w:sz="0" w:space="0" w:color="auto"/>
        <w:right w:val="none" w:sz="0" w:space="0" w:color="auto"/>
      </w:divBdr>
    </w:div>
    <w:div w:id="1855605130">
      <w:bodyDiv w:val="1"/>
      <w:marLeft w:val="0"/>
      <w:marRight w:val="0"/>
      <w:marTop w:val="0"/>
      <w:marBottom w:val="0"/>
      <w:divBdr>
        <w:top w:val="none" w:sz="0" w:space="0" w:color="auto"/>
        <w:left w:val="none" w:sz="0" w:space="0" w:color="auto"/>
        <w:bottom w:val="none" w:sz="0" w:space="0" w:color="auto"/>
        <w:right w:val="none" w:sz="0" w:space="0" w:color="auto"/>
      </w:divBdr>
    </w:div>
    <w:div w:id="1963487821">
      <w:bodyDiv w:val="1"/>
      <w:marLeft w:val="0"/>
      <w:marRight w:val="0"/>
      <w:marTop w:val="0"/>
      <w:marBottom w:val="0"/>
      <w:divBdr>
        <w:top w:val="none" w:sz="0" w:space="0" w:color="auto"/>
        <w:left w:val="none" w:sz="0" w:space="0" w:color="auto"/>
        <w:bottom w:val="none" w:sz="0" w:space="0" w:color="auto"/>
        <w:right w:val="none" w:sz="0" w:space="0" w:color="auto"/>
      </w:divBdr>
    </w:div>
    <w:div w:id="197560038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70956001">
      <w:bodyDiv w:val="1"/>
      <w:marLeft w:val="0"/>
      <w:marRight w:val="0"/>
      <w:marTop w:val="0"/>
      <w:marBottom w:val="0"/>
      <w:divBdr>
        <w:top w:val="none" w:sz="0" w:space="0" w:color="auto"/>
        <w:left w:val="none" w:sz="0" w:space="0" w:color="auto"/>
        <w:bottom w:val="none" w:sz="0" w:space="0" w:color="auto"/>
        <w:right w:val="none" w:sz="0" w:space="0" w:color="auto"/>
      </w:divBdr>
    </w:div>
    <w:div w:id="2081710277">
      <w:bodyDiv w:val="1"/>
      <w:marLeft w:val="0"/>
      <w:marRight w:val="0"/>
      <w:marTop w:val="0"/>
      <w:marBottom w:val="0"/>
      <w:divBdr>
        <w:top w:val="none" w:sz="0" w:space="0" w:color="auto"/>
        <w:left w:val="none" w:sz="0" w:space="0" w:color="auto"/>
        <w:bottom w:val="none" w:sz="0" w:space="0" w:color="auto"/>
        <w:right w:val="none" w:sz="0" w:space="0" w:color="auto"/>
      </w:divBdr>
    </w:div>
    <w:div w:id="2082604990">
      <w:bodyDiv w:val="1"/>
      <w:marLeft w:val="0"/>
      <w:marRight w:val="0"/>
      <w:marTop w:val="0"/>
      <w:marBottom w:val="0"/>
      <w:divBdr>
        <w:top w:val="none" w:sz="0" w:space="0" w:color="auto"/>
        <w:left w:val="none" w:sz="0" w:space="0" w:color="auto"/>
        <w:bottom w:val="none" w:sz="0" w:space="0" w:color="auto"/>
        <w:right w:val="none" w:sz="0" w:space="0" w:color="auto"/>
      </w:divBdr>
    </w:div>
    <w:div w:id="2088526204">
      <w:bodyDiv w:val="1"/>
      <w:marLeft w:val="0"/>
      <w:marRight w:val="0"/>
      <w:marTop w:val="0"/>
      <w:marBottom w:val="0"/>
      <w:divBdr>
        <w:top w:val="none" w:sz="0" w:space="0" w:color="auto"/>
        <w:left w:val="none" w:sz="0" w:space="0" w:color="auto"/>
        <w:bottom w:val="none" w:sz="0" w:space="0" w:color="auto"/>
        <w:right w:val="none" w:sz="0" w:space="0" w:color="auto"/>
      </w:divBdr>
    </w:div>
    <w:div w:id="2130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dzs.hr/hrv/censuses/census2011/results/htm/H01_01_03/H01_01_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zs.hr/hrv/censuses/census2011/results/htm/H01_01_03/H01_01_0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55B1-DD60-489A-986C-B9BA0FD1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3392</Words>
  <Characters>19341</Characters>
  <Application>Microsoft Office Word</Application>
  <DocSecurity>0</DocSecurity>
  <Lines>161</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Ivana Vukosavić Mitrov</cp:lastModifiedBy>
  <cp:revision>6</cp:revision>
  <cp:lastPrinted>2018-02-06T15:15:00Z</cp:lastPrinted>
  <dcterms:created xsi:type="dcterms:W3CDTF">2018-02-07T08:09:00Z</dcterms:created>
  <dcterms:modified xsi:type="dcterms:W3CDTF">2018-02-07T09:27:00Z</dcterms:modified>
</cp:coreProperties>
</file>