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A1903" w14:textId="77777777" w:rsidR="00A84DEA" w:rsidRDefault="00A84DEA" w:rsidP="00130C80">
      <w:pPr>
        <w:spacing w:after="0" w:line="240" w:lineRule="auto"/>
        <w:jc w:val="center"/>
        <w:rPr>
          <w:rFonts w:asciiTheme="minorHAnsi" w:hAnsiTheme="minorHAnsi" w:cs="Times New Roman"/>
          <w:b/>
          <w:sz w:val="24"/>
          <w:szCs w:val="24"/>
          <w:lang w:val="hr-HR"/>
        </w:rPr>
      </w:pPr>
    </w:p>
    <w:p w14:paraId="43E7D8E8" w14:textId="3DF543CA" w:rsidR="00130C80" w:rsidRPr="00F331E8" w:rsidRDefault="00DA1171" w:rsidP="00130C80">
      <w:pPr>
        <w:spacing w:after="0" w:line="240" w:lineRule="auto"/>
        <w:jc w:val="center"/>
        <w:rPr>
          <w:rFonts w:asciiTheme="minorHAnsi" w:hAnsiTheme="minorHAnsi" w:cs="Times New Roman"/>
          <w:b/>
          <w:sz w:val="24"/>
          <w:szCs w:val="24"/>
          <w:lang w:val="hr-HR"/>
        </w:rPr>
      </w:pPr>
      <w:r w:rsidRPr="00F331E8">
        <w:rPr>
          <w:rFonts w:asciiTheme="minorHAnsi" w:hAnsiTheme="minorHAnsi" w:cs="Times New Roman"/>
          <w:b/>
          <w:sz w:val="24"/>
          <w:szCs w:val="24"/>
          <w:lang w:val="hr-HR"/>
        </w:rPr>
        <w:t>Smjernic</w:t>
      </w:r>
      <w:r w:rsidR="008B1F45" w:rsidRPr="00F331E8">
        <w:rPr>
          <w:rFonts w:asciiTheme="minorHAnsi" w:hAnsiTheme="minorHAnsi" w:cs="Times New Roman"/>
          <w:b/>
          <w:sz w:val="24"/>
          <w:szCs w:val="24"/>
          <w:lang w:val="hr-HR"/>
        </w:rPr>
        <w:t>e</w:t>
      </w:r>
      <w:r w:rsidRPr="00F331E8">
        <w:rPr>
          <w:rFonts w:asciiTheme="minorHAnsi" w:hAnsiTheme="minorHAnsi" w:cs="Times New Roman"/>
          <w:b/>
          <w:sz w:val="24"/>
          <w:szCs w:val="24"/>
          <w:lang w:val="hr-HR"/>
        </w:rPr>
        <w:t xml:space="preserve"> za prijavitelj</w:t>
      </w:r>
      <w:r w:rsidR="00EE00CD" w:rsidRPr="00F331E8">
        <w:rPr>
          <w:rFonts w:asciiTheme="minorHAnsi" w:hAnsiTheme="minorHAnsi" w:cs="Times New Roman"/>
          <w:b/>
          <w:sz w:val="24"/>
          <w:szCs w:val="24"/>
          <w:lang w:val="hr-HR"/>
        </w:rPr>
        <w:t>a</w:t>
      </w:r>
      <w:r w:rsidR="0065049B" w:rsidRPr="00F331E8">
        <w:rPr>
          <w:rFonts w:asciiTheme="minorHAnsi" w:hAnsiTheme="minorHAnsi" w:cs="Times New Roman"/>
          <w:b/>
          <w:sz w:val="24"/>
          <w:szCs w:val="24"/>
          <w:lang w:val="hr-HR"/>
        </w:rPr>
        <w:t xml:space="preserve"> </w:t>
      </w:r>
      <w:r w:rsidR="000E7FDD" w:rsidRPr="00F331E8">
        <w:rPr>
          <w:rFonts w:asciiTheme="minorHAnsi" w:hAnsiTheme="minorHAnsi" w:cs="Times New Roman"/>
          <w:b/>
          <w:sz w:val="24"/>
          <w:szCs w:val="24"/>
          <w:lang w:val="hr-HR"/>
        </w:rPr>
        <w:t>u kontekstu p</w:t>
      </w:r>
      <w:r w:rsidRPr="00F331E8">
        <w:rPr>
          <w:rFonts w:asciiTheme="minorHAnsi" w:hAnsiTheme="minorHAnsi" w:cs="Times New Roman"/>
          <w:b/>
          <w:sz w:val="24"/>
          <w:szCs w:val="24"/>
          <w:lang w:val="hr-HR"/>
        </w:rPr>
        <w:t>ravila o državnim potporama za istraživanje i razvoj</w:t>
      </w:r>
    </w:p>
    <w:p w14:paraId="4363A90C" w14:textId="77777777" w:rsidR="00DA1171" w:rsidRPr="00F331E8" w:rsidRDefault="00DA1171" w:rsidP="00130C80">
      <w:pPr>
        <w:spacing w:after="0" w:line="240" w:lineRule="auto"/>
        <w:jc w:val="center"/>
        <w:rPr>
          <w:rFonts w:asciiTheme="minorHAnsi" w:hAnsiTheme="minorHAnsi" w:cs="Times New Roman"/>
          <w:sz w:val="24"/>
          <w:szCs w:val="24"/>
          <w:lang w:val="hr-HR"/>
        </w:rPr>
      </w:pPr>
    </w:p>
    <w:p w14:paraId="09B3AB4B" w14:textId="77777777" w:rsidR="006D1386" w:rsidRDefault="006D1386" w:rsidP="001707DC">
      <w:pPr>
        <w:spacing w:after="0" w:line="240" w:lineRule="auto"/>
        <w:jc w:val="both"/>
        <w:rPr>
          <w:rFonts w:asciiTheme="minorHAnsi" w:hAnsiTheme="minorHAnsi" w:cs="Times New Roman"/>
          <w:lang w:val="hr-HR"/>
        </w:rPr>
      </w:pPr>
    </w:p>
    <w:p w14:paraId="496254B9" w14:textId="1746ED86" w:rsidR="001707DC" w:rsidRPr="00177039" w:rsidRDefault="001707DC" w:rsidP="001707DC">
      <w:pPr>
        <w:spacing w:after="0" w:line="240" w:lineRule="auto"/>
        <w:jc w:val="both"/>
        <w:rPr>
          <w:rFonts w:asciiTheme="minorHAnsi" w:hAnsiTheme="minorHAnsi" w:cs="Times New Roman"/>
          <w:lang w:val="hr-HR"/>
        </w:rPr>
      </w:pPr>
      <w:r w:rsidRPr="001B70AC">
        <w:rPr>
          <w:rFonts w:asciiTheme="minorHAnsi" w:hAnsiTheme="minorHAnsi" w:cs="Times New Roman"/>
          <w:lang w:val="hr-HR"/>
        </w:rPr>
        <w:t xml:space="preserve">Veliki projekt: </w:t>
      </w:r>
      <w:r w:rsidR="00F71B37" w:rsidRPr="00F71B37">
        <w:rPr>
          <w:rFonts w:asciiTheme="minorHAnsi" w:hAnsiTheme="minorHAnsi" w:cs="Times New Roman"/>
          <w:i/>
          <w:lang w:val="hr-HR"/>
        </w:rPr>
        <w:t>"Otvorene znanstvene infrastrukturne platforme za inovativne primjene u gospodarstvu i društvu (O-ZIP)„</w:t>
      </w:r>
      <w:r w:rsidR="003B32F5">
        <w:rPr>
          <w:rFonts w:asciiTheme="minorHAnsi" w:hAnsiTheme="minorHAnsi" w:cs="Times New Roman"/>
          <w:i/>
          <w:lang w:val="hr-HR"/>
        </w:rPr>
        <w:t xml:space="preserve"> </w:t>
      </w:r>
      <w:r w:rsidR="00C70E90">
        <w:rPr>
          <w:rFonts w:asciiTheme="minorHAnsi" w:hAnsiTheme="minorHAnsi" w:cs="Times New Roman"/>
          <w:lang w:val="hr-HR"/>
        </w:rPr>
        <w:t xml:space="preserve">je projekt </w:t>
      </w:r>
      <w:r w:rsidRPr="00BB1395">
        <w:rPr>
          <w:rFonts w:asciiTheme="minorHAnsi" w:hAnsiTheme="minorHAnsi" w:cs="Times New Roman"/>
          <w:lang w:val="hr-HR"/>
        </w:rPr>
        <w:t xml:space="preserve">koji </w:t>
      </w:r>
      <w:r w:rsidR="00C70E90">
        <w:rPr>
          <w:rFonts w:asciiTheme="minorHAnsi" w:hAnsiTheme="minorHAnsi" w:cs="Times New Roman"/>
          <w:b/>
          <w:lang w:val="hr-HR"/>
        </w:rPr>
        <w:t>ne uključuje</w:t>
      </w:r>
      <w:r w:rsidRPr="00177039">
        <w:rPr>
          <w:rFonts w:asciiTheme="minorHAnsi" w:hAnsiTheme="minorHAnsi" w:cs="Times New Roman"/>
          <w:b/>
          <w:lang w:val="hr-HR"/>
        </w:rPr>
        <w:t xml:space="preserve"> </w:t>
      </w:r>
      <w:r w:rsidR="00C70E90">
        <w:rPr>
          <w:rFonts w:asciiTheme="minorHAnsi" w:hAnsiTheme="minorHAnsi" w:cs="Times New Roman"/>
          <w:b/>
          <w:lang w:val="hr-HR"/>
        </w:rPr>
        <w:t xml:space="preserve">dodjelu </w:t>
      </w:r>
      <w:r w:rsidRPr="00177039">
        <w:rPr>
          <w:rFonts w:asciiTheme="minorHAnsi" w:hAnsiTheme="minorHAnsi" w:cs="Times New Roman"/>
          <w:b/>
          <w:lang w:val="hr-HR"/>
        </w:rPr>
        <w:t>državne potpore</w:t>
      </w:r>
      <w:r w:rsidRPr="00177039">
        <w:rPr>
          <w:rFonts w:asciiTheme="minorHAnsi" w:hAnsiTheme="minorHAnsi" w:cs="Times New Roman"/>
          <w:lang w:val="hr-HR"/>
        </w:rPr>
        <w:t>.</w:t>
      </w:r>
    </w:p>
    <w:p w14:paraId="5C590DC1" w14:textId="77777777" w:rsidR="001707DC" w:rsidRPr="00177039" w:rsidRDefault="001707DC" w:rsidP="00130C80">
      <w:pPr>
        <w:spacing w:after="0" w:line="240" w:lineRule="auto"/>
        <w:jc w:val="both"/>
        <w:rPr>
          <w:rFonts w:asciiTheme="minorHAnsi" w:hAnsiTheme="minorHAnsi" w:cs="Times New Roman"/>
          <w:lang w:val="hr-HR"/>
        </w:rPr>
      </w:pPr>
    </w:p>
    <w:p w14:paraId="4D53A1A8" w14:textId="60C2EFBB" w:rsidR="00FD2801" w:rsidRDefault="00593F60" w:rsidP="00524420">
      <w:pPr>
        <w:spacing w:after="0" w:line="240" w:lineRule="auto"/>
        <w:jc w:val="both"/>
        <w:rPr>
          <w:rFonts w:asciiTheme="minorHAnsi" w:hAnsiTheme="minorHAnsi" w:cs="Times New Roman"/>
          <w:lang w:val="hr-HR"/>
        </w:rPr>
      </w:pPr>
      <w:r>
        <w:rPr>
          <w:rFonts w:asciiTheme="minorHAnsi" w:hAnsiTheme="minorHAnsi" w:cs="Times New Roman"/>
          <w:lang w:val="hr-HR"/>
        </w:rPr>
        <w:t>Ove Smjernice</w:t>
      </w:r>
      <w:r w:rsidR="001707DC" w:rsidRPr="00177039">
        <w:rPr>
          <w:rFonts w:asciiTheme="minorHAnsi" w:hAnsiTheme="minorHAnsi" w:cs="Times New Roman"/>
          <w:lang w:val="hr-HR"/>
        </w:rPr>
        <w:t xml:space="preserve"> </w:t>
      </w:r>
      <w:r w:rsidR="00A25C59" w:rsidRPr="00177039">
        <w:rPr>
          <w:rFonts w:asciiTheme="minorHAnsi" w:hAnsiTheme="minorHAnsi" w:cs="Times New Roman"/>
          <w:lang w:val="hr-HR"/>
        </w:rPr>
        <w:t>ima</w:t>
      </w:r>
      <w:r w:rsidR="001707DC" w:rsidRPr="00177039">
        <w:rPr>
          <w:rFonts w:asciiTheme="minorHAnsi" w:hAnsiTheme="minorHAnsi" w:cs="Times New Roman"/>
          <w:lang w:val="hr-HR"/>
        </w:rPr>
        <w:t>ju</w:t>
      </w:r>
      <w:r w:rsidR="00A25C59" w:rsidRPr="00177039">
        <w:rPr>
          <w:rFonts w:asciiTheme="minorHAnsi" w:hAnsiTheme="minorHAnsi" w:cs="Times New Roman"/>
          <w:lang w:val="hr-HR"/>
        </w:rPr>
        <w:t xml:space="preserve"> za cilj informirati prijavitelj</w:t>
      </w:r>
      <w:r w:rsidR="00EE00CD" w:rsidRPr="00177039">
        <w:rPr>
          <w:rFonts w:asciiTheme="minorHAnsi" w:hAnsiTheme="minorHAnsi" w:cs="Times New Roman"/>
          <w:lang w:val="hr-HR"/>
        </w:rPr>
        <w:t>a</w:t>
      </w:r>
      <w:r w:rsidR="00A25C59" w:rsidRPr="00177039">
        <w:rPr>
          <w:rFonts w:asciiTheme="minorHAnsi" w:hAnsiTheme="minorHAnsi" w:cs="Times New Roman"/>
          <w:lang w:val="hr-HR"/>
        </w:rPr>
        <w:t xml:space="preserve"> o pravilima o </w:t>
      </w:r>
      <w:r w:rsidR="006C364E" w:rsidRPr="00177039">
        <w:rPr>
          <w:rFonts w:asciiTheme="minorHAnsi" w:hAnsiTheme="minorHAnsi" w:cs="Times New Roman"/>
          <w:lang w:val="hr-HR"/>
        </w:rPr>
        <w:t>državn</w:t>
      </w:r>
      <w:r w:rsidR="00A25C59" w:rsidRPr="00177039">
        <w:rPr>
          <w:rFonts w:asciiTheme="minorHAnsi" w:hAnsiTheme="minorHAnsi" w:cs="Times New Roman"/>
          <w:lang w:val="hr-HR"/>
        </w:rPr>
        <w:t>im</w:t>
      </w:r>
      <w:r w:rsidR="006C364E" w:rsidRPr="00177039">
        <w:rPr>
          <w:rFonts w:asciiTheme="minorHAnsi" w:hAnsiTheme="minorHAnsi" w:cs="Times New Roman"/>
          <w:lang w:val="hr-HR"/>
        </w:rPr>
        <w:t xml:space="preserve"> potpor</w:t>
      </w:r>
      <w:r w:rsidR="00A25C59" w:rsidRPr="00177039">
        <w:rPr>
          <w:rFonts w:asciiTheme="minorHAnsi" w:hAnsiTheme="minorHAnsi" w:cs="Times New Roman"/>
          <w:lang w:val="hr-HR"/>
        </w:rPr>
        <w:t>ama koj</w:t>
      </w:r>
      <w:r w:rsidR="002E3F46" w:rsidRPr="00177039">
        <w:rPr>
          <w:rFonts w:asciiTheme="minorHAnsi" w:hAnsiTheme="minorHAnsi" w:cs="Times New Roman"/>
          <w:lang w:val="hr-HR"/>
        </w:rPr>
        <w:t xml:space="preserve">a se odnose na </w:t>
      </w:r>
      <w:r w:rsidR="006569E7" w:rsidRPr="00177039">
        <w:rPr>
          <w:rFonts w:asciiTheme="minorHAnsi" w:hAnsiTheme="minorHAnsi" w:cs="Times New Roman"/>
          <w:lang w:val="hr-HR"/>
        </w:rPr>
        <w:t>područje</w:t>
      </w:r>
      <w:r w:rsidR="002E3F46" w:rsidRPr="00177039">
        <w:rPr>
          <w:rFonts w:asciiTheme="minorHAnsi" w:hAnsiTheme="minorHAnsi" w:cs="Times New Roman"/>
          <w:lang w:val="hr-HR"/>
        </w:rPr>
        <w:t xml:space="preserve"> istraživanja, razvoja i inovacija</w:t>
      </w:r>
      <w:r w:rsidR="00FD2801">
        <w:rPr>
          <w:rFonts w:asciiTheme="minorHAnsi" w:hAnsiTheme="minorHAnsi" w:cs="Times New Roman"/>
          <w:lang w:val="hr-HR"/>
        </w:rPr>
        <w:t xml:space="preserve"> i na ovaj projekt</w:t>
      </w:r>
      <w:r w:rsidR="00495916" w:rsidRPr="00177039">
        <w:rPr>
          <w:rFonts w:asciiTheme="minorHAnsi" w:hAnsiTheme="minorHAnsi" w:cs="Times New Roman"/>
          <w:lang w:val="hr-HR"/>
        </w:rPr>
        <w:t>.</w:t>
      </w:r>
      <w:r w:rsidR="006C364E" w:rsidRPr="00177039" w:rsidDel="006C364E">
        <w:rPr>
          <w:rFonts w:asciiTheme="minorHAnsi" w:hAnsiTheme="minorHAnsi" w:cs="Times New Roman"/>
          <w:lang w:val="hr-HR"/>
        </w:rPr>
        <w:t xml:space="preserve"> </w:t>
      </w:r>
    </w:p>
    <w:p w14:paraId="7908120A" w14:textId="07F0891A" w:rsidR="0039346D" w:rsidRPr="00177039" w:rsidRDefault="0039346D" w:rsidP="00524420">
      <w:pPr>
        <w:spacing w:after="0" w:line="240" w:lineRule="auto"/>
        <w:jc w:val="both"/>
        <w:rPr>
          <w:rFonts w:asciiTheme="minorHAnsi" w:hAnsiTheme="minorHAnsi" w:cs="Times New Roman"/>
          <w:lang w:val="hr-HR"/>
        </w:rPr>
      </w:pPr>
    </w:p>
    <w:p w14:paraId="3871E6F3" w14:textId="77777777" w:rsidR="006B3514" w:rsidRPr="00BB1395" w:rsidRDefault="00EC094D" w:rsidP="00524420">
      <w:pPr>
        <w:jc w:val="both"/>
        <w:rPr>
          <w:rFonts w:asciiTheme="minorHAnsi" w:hAnsiTheme="minorHAnsi" w:cs="Times New Roman"/>
          <w:lang w:val="hr-HR"/>
        </w:rPr>
      </w:pPr>
      <w:r w:rsidRPr="00177039">
        <w:rPr>
          <w:rFonts w:asciiTheme="minorHAnsi" w:hAnsiTheme="minorHAnsi" w:cs="Times New Roman"/>
          <w:lang w:val="hr-HR"/>
        </w:rPr>
        <w:t>Pojam državnih potpora zahtjeva da su kumulativno zadovoljena sljedeća četiri kriterija</w:t>
      </w:r>
      <w:r w:rsidRPr="00BB1395">
        <w:rPr>
          <w:rFonts w:asciiTheme="minorHAnsi" w:hAnsiTheme="minorHAnsi" w:cs="Times New Roman"/>
          <w:vertAlign w:val="superscript"/>
          <w:lang w:val="hr-HR"/>
        </w:rPr>
        <w:footnoteReference w:id="1"/>
      </w:r>
      <w:r w:rsidRPr="00BB1395">
        <w:rPr>
          <w:rFonts w:asciiTheme="minorHAnsi" w:hAnsiTheme="minorHAnsi" w:cs="Times New Roman"/>
          <w:lang w:val="hr-HR"/>
        </w:rPr>
        <w:t>:</w:t>
      </w:r>
    </w:p>
    <w:p w14:paraId="484D30DF" w14:textId="1FCE9A75" w:rsidR="00524D9B" w:rsidRPr="00BB1395" w:rsidRDefault="00EC094D" w:rsidP="0093679C">
      <w:pPr>
        <w:pStyle w:val="ListParagraph"/>
        <w:numPr>
          <w:ilvl w:val="0"/>
          <w:numId w:val="7"/>
        </w:numPr>
        <w:spacing w:after="0"/>
        <w:jc w:val="both"/>
        <w:rPr>
          <w:rFonts w:asciiTheme="minorHAnsi" w:hAnsiTheme="minorHAnsi" w:cs="Times New Roman"/>
          <w:lang w:val="hr-HR"/>
        </w:rPr>
      </w:pPr>
      <w:r w:rsidRPr="00BB1395">
        <w:rPr>
          <w:rFonts w:asciiTheme="minorHAnsi" w:hAnsiTheme="minorHAnsi" w:cs="Times New Roman"/>
          <w:lang w:val="hr-HR"/>
        </w:rPr>
        <w:t>da su sredstva dodijeljena od strane Države</w:t>
      </w:r>
      <w:r w:rsidR="004B59AE" w:rsidRPr="00BB1395">
        <w:rPr>
          <w:rFonts w:asciiTheme="minorHAnsi" w:hAnsiTheme="minorHAnsi" w:cs="Times New Roman"/>
          <w:lang w:val="hr-HR"/>
        </w:rPr>
        <w:t>,</w:t>
      </w:r>
      <w:r w:rsidRPr="00BB1395">
        <w:rPr>
          <w:rFonts w:asciiTheme="minorHAnsi" w:hAnsiTheme="minorHAnsi" w:cs="Times New Roman"/>
          <w:lang w:val="hr-HR"/>
        </w:rPr>
        <w:t xml:space="preserve"> odnosno iz državnih sredstava u bilo kojem obliku, </w:t>
      </w:r>
    </w:p>
    <w:p w14:paraId="75EA109A" w14:textId="6252938A" w:rsidR="00524D9B" w:rsidRPr="00177039" w:rsidRDefault="00EC094D" w:rsidP="0093679C">
      <w:pPr>
        <w:pStyle w:val="ListParagraph"/>
        <w:numPr>
          <w:ilvl w:val="0"/>
          <w:numId w:val="7"/>
        </w:numPr>
        <w:spacing w:after="0"/>
        <w:jc w:val="both"/>
        <w:rPr>
          <w:rFonts w:asciiTheme="minorHAnsi" w:hAnsiTheme="minorHAnsi" w:cs="Times New Roman"/>
          <w:lang w:val="hr-HR"/>
        </w:rPr>
      </w:pPr>
      <w:r w:rsidRPr="00177039">
        <w:rPr>
          <w:rFonts w:asciiTheme="minorHAnsi" w:hAnsiTheme="minorHAnsi" w:cs="Times New Roman"/>
          <w:lang w:val="hr-HR"/>
        </w:rPr>
        <w:t xml:space="preserve">da potpora predstavlja </w:t>
      </w:r>
      <w:r w:rsidRPr="00FD2801">
        <w:rPr>
          <w:rFonts w:asciiTheme="minorHAnsi" w:hAnsiTheme="minorHAnsi" w:cs="Times New Roman"/>
          <w:b/>
          <w:lang w:val="hr-HR"/>
        </w:rPr>
        <w:t>selektivnu ekonomsku prednost</w:t>
      </w:r>
      <w:r w:rsidRPr="00177039">
        <w:rPr>
          <w:rFonts w:asciiTheme="minorHAnsi" w:hAnsiTheme="minorHAnsi" w:cs="Times New Roman"/>
          <w:lang w:val="hr-HR"/>
        </w:rPr>
        <w:t xml:space="preserve"> stavljanjem određenih poduzetnika ili proizvodnju određene robe u povoljniji položaj, </w:t>
      </w:r>
    </w:p>
    <w:p w14:paraId="39846A60" w14:textId="3E0668F2" w:rsidR="00524D9B" w:rsidRPr="00177039" w:rsidRDefault="00EC094D" w:rsidP="0093679C">
      <w:pPr>
        <w:pStyle w:val="ListParagraph"/>
        <w:numPr>
          <w:ilvl w:val="0"/>
          <w:numId w:val="7"/>
        </w:numPr>
        <w:spacing w:after="0"/>
        <w:jc w:val="both"/>
        <w:rPr>
          <w:rFonts w:asciiTheme="minorHAnsi" w:hAnsiTheme="minorHAnsi" w:cs="Times New Roman"/>
          <w:lang w:val="hr-HR"/>
        </w:rPr>
      </w:pPr>
      <w:r w:rsidRPr="00177039">
        <w:rPr>
          <w:rFonts w:asciiTheme="minorHAnsi" w:hAnsiTheme="minorHAnsi" w:cs="Times New Roman"/>
          <w:lang w:val="hr-HR"/>
        </w:rPr>
        <w:t xml:space="preserve">da potpora narušava ili prijeti narušavanjem </w:t>
      </w:r>
      <w:r w:rsidRPr="00FD2801">
        <w:rPr>
          <w:rFonts w:asciiTheme="minorHAnsi" w:hAnsiTheme="minorHAnsi" w:cs="Times New Roman"/>
          <w:b/>
          <w:lang w:val="hr-HR"/>
        </w:rPr>
        <w:t>tržišnog</w:t>
      </w:r>
      <w:r w:rsidRPr="00177039">
        <w:rPr>
          <w:rFonts w:asciiTheme="minorHAnsi" w:hAnsiTheme="minorHAnsi" w:cs="Times New Roman"/>
          <w:lang w:val="hr-HR"/>
        </w:rPr>
        <w:t xml:space="preserve"> natjecanja</w:t>
      </w:r>
      <w:r w:rsidR="00524D9B" w:rsidRPr="00177039">
        <w:rPr>
          <w:rFonts w:asciiTheme="minorHAnsi" w:hAnsiTheme="minorHAnsi" w:cs="Times New Roman"/>
          <w:lang w:val="hr-HR"/>
        </w:rPr>
        <w:t>,</w:t>
      </w:r>
      <w:r w:rsidRPr="00177039">
        <w:rPr>
          <w:rFonts w:asciiTheme="minorHAnsi" w:hAnsiTheme="minorHAnsi" w:cs="Times New Roman"/>
          <w:lang w:val="hr-HR"/>
        </w:rPr>
        <w:t xml:space="preserve"> </w:t>
      </w:r>
    </w:p>
    <w:p w14:paraId="14F2F9EA" w14:textId="3620FD8A" w:rsidR="00524D9B" w:rsidRPr="00177039" w:rsidRDefault="00EC094D" w:rsidP="0093679C">
      <w:pPr>
        <w:pStyle w:val="ListParagraph"/>
        <w:numPr>
          <w:ilvl w:val="0"/>
          <w:numId w:val="7"/>
        </w:numPr>
        <w:spacing w:after="0"/>
        <w:jc w:val="both"/>
        <w:rPr>
          <w:rFonts w:asciiTheme="minorHAnsi" w:hAnsiTheme="minorHAnsi" w:cs="Times New Roman"/>
          <w:lang w:val="hr-HR"/>
        </w:rPr>
      </w:pPr>
      <w:r w:rsidRPr="00177039">
        <w:rPr>
          <w:rFonts w:asciiTheme="minorHAnsi" w:hAnsiTheme="minorHAnsi" w:cs="Times New Roman"/>
          <w:lang w:val="hr-HR"/>
        </w:rPr>
        <w:t xml:space="preserve">utječe na </w:t>
      </w:r>
      <w:r w:rsidRPr="00FD2801">
        <w:rPr>
          <w:rFonts w:asciiTheme="minorHAnsi" w:hAnsiTheme="minorHAnsi" w:cs="Times New Roman"/>
          <w:b/>
          <w:lang w:val="hr-HR"/>
        </w:rPr>
        <w:t>trgovinu</w:t>
      </w:r>
      <w:r w:rsidRPr="00177039">
        <w:rPr>
          <w:rFonts w:asciiTheme="minorHAnsi" w:hAnsiTheme="minorHAnsi" w:cs="Times New Roman"/>
          <w:lang w:val="hr-HR"/>
        </w:rPr>
        <w:t xml:space="preserve"> među državama članicama.</w:t>
      </w:r>
    </w:p>
    <w:p w14:paraId="2AAB7518" w14:textId="77777777" w:rsidR="003D54E9" w:rsidRPr="00177039" w:rsidRDefault="003D54E9" w:rsidP="00297057">
      <w:pPr>
        <w:pStyle w:val="ListParagraph"/>
        <w:spacing w:after="0"/>
        <w:ind w:left="1077"/>
        <w:jc w:val="both"/>
        <w:rPr>
          <w:rFonts w:asciiTheme="minorHAnsi" w:hAnsiTheme="minorHAnsi" w:cs="Times New Roman"/>
          <w:lang w:val="hr-HR"/>
        </w:rPr>
      </w:pPr>
    </w:p>
    <w:p w14:paraId="04D90D4C" w14:textId="6276AF99" w:rsidR="00FD2801" w:rsidRPr="00FD2801" w:rsidRDefault="00FD2801" w:rsidP="006D1386">
      <w:pPr>
        <w:jc w:val="both"/>
        <w:rPr>
          <w:rFonts w:asciiTheme="minorHAnsi" w:hAnsiTheme="minorHAnsi" w:cs="Times New Roman"/>
          <w:lang w:val="hr-HR"/>
        </w:rPr>
      </w:pPr>
      <w:r>
        <w:rPr>
          <w:lang w:val="hr-HR"/>
        </w:rPr>
        <w:t>Jednostavnije rečeno, d</w:t>
      </w:r>
      <w:r w:rsidRPr="00FD2801">
        <w:rPr>
          <w:rFonts w:asciiTheme="minorHAnsi" w:hAnsiTheme="minorHAnsi" w:cs="Times New Roman"/>
          <w:lang w:val="hr-HR"/>
        </w:rPr>
        <w:t xml:space="preserve">ržavne potpore dodjeljuju se za ekonomsku djelatnost nekog </w:t>
      </w:r>
      <w:r w:rsidRPr="00FD2801">
        <w:rPr>
          <w:rFonts w:asciiTheme="minorHAnsi" w:hAnsiTheme="minorHAnsi" w:cs="Times New Roman"/>
          <w:b/>
          <w:lang w:val="hr-HR"/>
        </w:rPr>
        <w:t>subjekta</w:t>
      </w:r>
      <w:r w:rsidRPr="00FD2801">
        <w:rPr>
          <w:rFonts w:asciiTheme="minorHAnsi" w:hAnsiTheme="minorHAnsi" w:cs="Times New Roman"/>
          <w:lang w:val="hr-HR"/>
        </w:rPr>
        <w:t xml:space="preserve">. Sredstva koja se dodjeljuju za </w:t>
      </w:r>
      <w:r w:rsidRPr="00FD2801">
        <w:rPr>
          <w:rFonts w:asciiTheme="minorHAnsi" w:hAnsiTheme="minorHAnsi" w:cs="Times New Roman"/>
          <w:b/>
          <w:lang w:val="hr-HR"/>
        </w:rPr>
        <w:t>djelatnosti koje su neekonomskog karaktera</w:t>
      </w:r>
      <w:r w:rsidRPr="00FD2801">
        <w:rPr>
          <w:rFonts w:asciiTheme="minorHAnsi" w:hAnsiTheme="minorHAnsi" w:cs="Times New Roman"/>
          <w:lang w:val="hr-HR"/>
        </w:rPr>
        <w:t xml:space="preserve">, ne smatraju se državnim potporama. </w:t>
      </w:r>
    </w:p>
    <w:p w14:paraId="09DCB854" w14:textId="702EB25B" w:rsidR="001B0D8B" w:rsidRPr="001B0D8B" w:rsidRDefault="001B0D8B" w:rsidP="001B0D8B">
      <w:pPr>
        <w:spacing w:after="0" w:line="240" w:lineRule="auto"/>
        <w:jc w:val="both"/>
        <w:rPr>
          <w:rFonts w:asciiTheme="minorHAnsi" w:hAnsiTheme="minorHAnsi" w:cs="Times New Roman"/>
          <w:b/>
          <w:lang w:val="hr-HR"/>
        </w:rPr>
      </w:pPr>
      <w:r w:rsidRPr="001B0D8B">
        <w:rPr>
          <w:rFonts w:asciiTheme="minorHAnsi" w:hAnsiTheme="minorHAnsi" w:cs="Times New Roman"/>
          <w:lang w:val="hr-HR"/>
        </w:rPr>
        <w:t>Subjekt</w:t>
      </w:r>
      <w:r>
        <w:rPr>
          <w:rFonts w:asciiTheme="minorHAnsi" w:hAnsiTheme="minorHAnsi" w:cs="Times New Roman"/>
          <w:lang w:val="hr-HR"/>
        </w:rPr>
        <w:t xml:space="preserve"> je, </w:t>
      </w:r>
      <w:r w:rsidR="001977F6">
        <w:rPr>
          <w:rFonts w:asciiTheme="minorHAnsi" w:hAnsiTheme="minorHAnsi" w:cs="Times New Roman"/>
          <w:lang w:val="hr-HR"/>
        </w:rPr>
        <w:t>u ovom postupku dodjele bespovratnih sredstava</w:t>
      </w:r>
      <w:r>
        <w:rPr>
          <w:rFonts w:asciiTheme="minorHAnsi" w:hAnsiTheme="minorHAnsi" w:cs="Times New Roman"/>
          <w:lang w:val="hr-HR"/>
        </w:rPr>
        <w:t>,</w:t>
      </w:r>
      <w:r w:rsidRPr="00717842">
        <w:t xml:space="preserve"> </w:t>
      </w:r>
      <w:r w:rsidRPr="001B0D8B">
        <w:rPr>
          <w:rFonts w:asciiTheme="minorHAnsi" w:hAnsiTheme="minorHAnsi" w:cs="Times New Roman"/>
          <w:b/>
          <w:lang w:val="hr-HR"/>
        </w:rPr>
        <w:t>istraživačka organizacija ili organizacija za istraživanje i širenje znanja</w:t>
      </w:r>
      <w:r>
        <w:rPr>
          <w:rFonts w:asciiTheme="minorHAnsi" w:hAnsiTheme="minorHAnsi" w:cs="Times New Roman"/>
          <w:lang w:val="hr-HR"/>
        </w:rPr>
        <w:t xml:space="preserve"> koj</w:t>
      </w:r>
      <w:r w:rsidR="003B32F5">
        <w:rPr>
          <w:rFonts w:asciiTheme="minorHAnsi" w:hAnsiTheme="minorHAnsi" w:cs="Times New Roman"/>
          <w:lang w:val="hr-HR"/>
        </w:rPr>
        <w:t>oj</w:t>
      </w:r>
      <w:r>
        <w:rPr>
          <w:rFonts w:asciiTheme="minorHAnsi" w:hAnsiTheme="minorHAnsi" w:cs="Times New Roman"/>
          <w:lang w:val="hr-HR"/>
        </w:rPr>
        <w:t xml:space="preserve"> se </w:t>
      </w:r>
      <w:r w:rsidR="001977F6">
        <w:rPr>
          <w:rFonts w:asciiTheme="minorHAnsi" w:hAnsiTheme="minorHAnsi" w:cs="Times New Roman"/>
          <w:lang w:val="hr-HR"/>
        </w:rPr>
        <w:t>sredstva</w:t>
      </w:r>
      <w:r>
        <w:rPr>
          <w:rFonts w:asciiTheme="minorHAnsi" w:hAnsiTheme="minorHAnsi" w:cs="Times New Roman"/>
          <w:lang w:val="hr-HR"/>
        </w:rPr>
        <w:t xml:space="preserve"> dodjeljuju za </w:t>
      </w:r>
      <w:r w:rsidRPr="001B0D8B">
        <w:rPr>
          <w:rFonts w:asciiTheme="minorHAnsi" w:hAnsiTheme="minorHAnsi" w:cs="Times New Roman"/>
          <w:b/>
          <w:lang w:val="hr-HR"/>
        </w:rPr>
        <w:t>neekonomsku djelatnost.</w:t>
      </w:r>
    </w:p>
    <w:p w14:paraId="739831B9" w14:textId="77777777" w:rsidR="001B0D8B" w:rsidRDefault="001B0D8B" w:rsidP="001B0D8B">
      <w:pPr>
        <w:spacing w:after="0" w:line="240" w:lineRule="auto"/>
        <w:jc w:val="both"/>
        <w:rPr>
          <w:rFonts w:asciiTheme="minorHAnsi" w:hAnsiTheme="minorHAnsi" w:cs="Times New Roman"/>
          <w:lang w:val="hr-HR"/>
        </w:rPr>
      </w:pPr>
    </w:p>
    <w:p w14:paraId="200270BD" w14:textId="4778563E" w:rsidR="00FD2801" w:rsidRDefault="00FD2801" w:rsidP="00FD2801">
      <w:pPr>
        <w:spacing w:after="0" w:line="240" w:lineRule="auto"/>
        <w:jc w:val="both"/>
        <w:rPr>
          <w:rFonts w:asciiTheme="minorHAnsi" w:hAnsiTheme="minorHAnsi" w:cs="Times New Roman"/>
          <w:lang w:val="hr-HR"/>
        </w:rPr>
      </w:pPr>
      <w:r>
        <w:rPr>
          <w:rFonts w:asciiTheme="minorHAnsi" w:hAnsiTheme="minorHAnsi" w:cs="Times New Roman"/>
          <w:lang w:val="hr-HR"/>
        </w:rPr>
        <w:t>Europska komisija donijela je</w:t>
      </w:r>
      <w:r w:rsidRPr="00FD2801">
        <w:rPr>
          <w:rFonts w:asciiTheme="minorHAnsi" w:hAnsiTheme="minorHAnsi" w:cs="Times New Roman"/>
          <w:lang w:val="hr-HR"/>
        </w:rPr>
        <w:t xml:space="preserve"> </w:t>
      </w:r>
      <w:r w:rsidRPr="00FD2801">
        <w:rPr>
          <w:rFonts w:asciiTheme="minorHAnsi" w:hAnsiTheme="minorHAnsi" w:cs="Times New Roman"/>
          <w:i/>
          <w:lang w:val="hr-HR"/>
        </w:rPr>
        <w:t>Okvir Zajednice za državne potpore za istraživanje, razvoj i inovacije</w:t>
      </w:r>
      <w:r w:rsidRPr="00FD2801">
        <w:rPr>
          <w:rStyle w:val="FootnoteReference"/>
          <w:rFonts w:asciiTheme="minorHAnsi" w:hAnsiTheme="minorHAnsi" w:cs="Times New Roman"/>
          <w:i/>
          <w:lang w:val="hr-HR"/>
        </w:rPr>
        <w:footnoteReference w:id="2"/>
      </w:r>
      <w:r w:rsidRPr="00FD2801">
        <w:rPr>
          <w:rFonts w:asciiTheme="minorHAnsi" w:hAnsiTheme="minorHAnsi" w:cs="Times New Roman"/>
          <w:i/>
          <w:lang w:val="hr-HR"/>
        </w:rPr>
        <w:t xml:space="preserve"> (2014/C 198/01)</w:t>
      </w:r>
      <w:r w:rsidRPr="00FD2801">
        <w:rPr>
          <w:rFonts w:asciiTheme="minorHAnsi" w:hAnsiTheme="minorHAnsi" w:cs="Times New Roman"/>
          <w:lang w:val="hr-HR"/>
        </w:rPr>
        <w:t xml:space="preserve"> (u daljnjem tekstu: Okvir Zajednice) koji utvrđuje detaljna pravila koja se odnose na postojanje državnih potpora u projektima istraživanja i razvoja.</w:t>
      </w:r>
      <w:r w:rsidR="004156B6">
        <w:rPr>
          <w:rFonts w:asciiTheme="minorHAnsi" w:hAnsiTheme="minorHAnsi" w:cs="Times New Roman"/>
          <w:lang w:val="hr-HR"/>
        </w:rPr>
        <w:t xml:space="preserve"> </w:t>
      </w:r>
      <w:r w:rsidR="004156B6" w:rsidRPr="004156B6">
        <w:rPr>
          <w:rFonts w:asciiTheme="minorHAnsi" w:hAnsiTheme="minorHAnsi" w:cs="Times New Roman"/>
          <w:lang w:val="hr-HR"/>
        </w:rPr>
        <w:t>Sugeriramo prijavitelj</w:t>
      </w:r>
      <w:r w:rsidR="004156B6">
        <w:rPr>
          <w:rFonts w:asciiTheme="minorHAnsi" w:hAnsiTheme="minorHAnsi" w:cs="Times New Roman"/>
          <w:lang w:val="hr-HR"/>
        </w:rPr>
        <w:t>u</w:t>
      </w:r>
      <w:r w:rsidR="004156B6" w:rsidRPr="004156B6">
        <w:rPr>
          <w:rFonts w:asciiTheme="minorHAnsi" w:hAnsiTheme="minorHAnsi" w:cs="Times New Roman"/>
          <w:lang w:val="hr-HR"/>
        </w:rPr>
        <w:t xml:space="preserve"> da se upozna s ovim dokumentom</w:t>
      </w:r>
      <w:r w:rsidR="006D1386">
        <w:rPr>
          <w:rFonts w:asciiTheme="minorHAnsi" w:hAnsiTheme="minorHAnsi" w:cs="Times New Roman"/>
          <w:lang w:val="hr-HR"/>
        </w:rPr>
        <w:t xml:space="preserve"> </w:t>
      </w:r>
      <w:r w:rsidR="00F331E8">
        <w:rPr>
          <w:rFonts w:asciiTheme="minorHAnsi" w:hAnsiTheme="minorHAnsi" w:cs="Times New Roman"/>
          <w:lang w:val="hr-HR"/>
        </w:rPr>
        <w:t>jer se dodjela sredstava temelji na odredbama istoga.</w:t>
      </w:r>
    </w:p>
    <w:p w14:paraId="67D2BF70" w14:textId="77777777" w:rsidR="00FD2801" w:rsidRDefault="00FD2801" w:rsidP="00FD2801">
      <w:pPr>
        <w:spacing w:after="0" w:line="240" w:lineRule="auto"/>
        <w:jc w:val="both"/>
        <w:rPr>
          <w:rFonts w:asciiTheme="minorHAnsi" w:hAnsiTheme="minorHAnsi" w:cs="Times New Roman"/>
          <w:lang w:val="hr-HR"/>
        </w:rPr>
      </w:pPr>
    </w:p>
    <w:p w14:paraId="47A97A76" w14:textId="77777777" w:rsidR="00F331E8" w:rsidRDefault="00F331E8" w:rsidP="00FD2801">
      <w:pPr>
        <w:spacing w:after="0" w:line="240" w:lineRule="auto"/>
        <w:jc w:val="both"/>
        <w:rPr>
          <w:rFonts w:asciiTheme="minorHAnsi" w:hAnsiTheme="minorHAnsi" w:cs="Times New Roman"/>
          <w:lang w:val="hr-HR"/>
        </w:rPr>
      </w:pPr>
    </w:p>
    <w:p w14:paraId="4BCBDE61" w14:textId="77777777" w:rsidR="00F331E8" w:rsidRDefault="00F331E8" w:rsidP="00FD2801">
      <w:pPr>
        <w:spacing w:after="0" w:line="240" w:lineRule="auto"/>
        <w:jc w:val="both"/>
        <w:rPr>
          <w:rFonts w:asciiTheme="minorHAnsi" w:hAnsiTheme="minorHAnsi" w:cs="Times New Roman"/>
          <w:lang w:val="hr-HR"/>
        </w:rPr>
      </w:pPr>
    </w:p>
    <w:p w14:paraId="671EFD16" w14:textId="77777777" w:rsidR="00F331E8" w:rsidRDefault="00F331E8" w:rsidP="00FD2801">
      <w:pPr>
        <w:spacing w:after="0" w:line="240" w:lineRule="auto"/>
        <w:jc w:val="both"/>
        <w:rPr>
          <w:rFonts w:asciiTheme="minorHAnsi" w:hAnsiTheme="minorHAnsi" w:cs="Times New Roman"/>
          <w:lang w:val="hr-HR"/>
        </w:rPr>
      </w:pPr>
    </w:p>
    <w:p w14:paraId="2AE02AA2" w14:textId="77777777" w:rsidR="00F331E8" w:rsidRDefault="00F331E8" w:rsidP="00FD2801">
      <w:pPr>
        <w:spacing w:after="0" w:line="240" w:lineRule="auto"/>
        <w:jc w:val="both"/>
        <w:rPr>
          <w:rFonts w:asciiTheme="minorHAnsi" w:hAnsiTheme="minorHAnsi" w:cs="Times New Roman"/>
          <w:lang w:val="hr-HR"/>
        </w:rPr>
      </w:pPr>
    </w:p>
    <w:p w14:paraId="48EF1EBA" w14:textId="77777777" w:rsidR="00612926" w:rsidRDefault="00612926" w:rsidP="00FD2801">
      <w:pPr>
        <w:spacing w:after="0" w:line="240" w:lineRule="auto"/>
        <w:jc w:val="both"/>
        <w:rPr>
          <w:rFonts w:asciiTheme="minorHAnsi" w:hAnsiTheme="minorHAnsi" w:cs="Times New Roman"/>
          <w:lang w:val="hr-HR"/>
        </w:rPr>
      </w:pPr>
    </w:p>
    <w:p w14:paraId="74D04311" w14:textId="77777777" w:rsidR="00F331E8" w:rsidRDefault="00F331E8" w:rsidP="00FD2801">
      <w:pPr>
        <w:spacing w:after="0" w:line="240" w:lineRule="auto"/>
        <w:jc w:val="both"/>
        <w:rPr>
          <w:rFonts w:asciiTheme="minorHAnsi" w:hAnsiTheme="minorHAnsi" w:cs="Times New Roman"/>
          <w:lang w:val="hr-HR"/>
        </w:rPr>
      </w:pPr>
    </w:p>
    <w:p w14:paraId="6EA1B319" w14:textId="77777777" w:rsidR="001236F6" w:rsidRDefault="001236F6" w:rsidP="00FD2801">
      <w:pPr>
        <w:spacing w:after="0" w:line="240" w:lineRule="auto"/>
        <w:jc w:val="both"/>
        <w:rPr>
          <w:rFonts w:asciiTheme="minorHAnsi" w:hAnsiTheme="minorHAnsi" w:cs="Times New Roman"/>
          <w:lang w:val="hr-HR"/>
        </w:rPr>
      </w:pPr>
    </w:p>
    <w:p w14:paraId="4C60A7F0" w14:textId="77777777" w:rsidR="001236F6" w:rsidRDefault="001236F6" w:rsidP="00FD2801">
      <w:pPr>
        <w:spacing w:after="0" w:line="240" w:lineRule="auto"/>
        <w:jc w:val="both"/>
        <w:rPr>
          <w:rFonts w:asciiTheme="minorHAnsi" w:hAnsiTheme="minorHAnsi" w:cs="Times New Roman"/>
          <w:lang w:val="hr-HR"/>
        </w:rPr>
      </w:pPr>
    </w:p>
    <w:p w14:paraId="3317901C" w14:textId="77777777" w:rsidR="001236F6" w:rsidRDefault="001236F6" w:rsidP="00FD2801">
      <w:pPr>
        <w:spacing w:after="0" w:line="240" w:lineRule="auto"/>
        <w:jc w:val="both"/>
        <w:rPr>
          <w:rFonts w:asciiTheme="minorHAnsi" w:hAnsiTheme="minorHAnsi" w:cs="Times New Roman"/>
          <w:lang w:val="hr-HR"/>
        </w:rPr>
      </w:pPr>
    </w:p>
    <w:p w14:paraId="1BEF37C5" w14:textId="5530AEA9" w:rsidR="00F331E8" w:rsidRPr="00F331E8" w:rsidRDefault="00F331E8" w:rsidP="00F331E8">
      <w:pPr>
        <w:spacing w:after="0" w:line="240" w:lineRule="auto"/>
        <w:jc w:val="center"/>
        <w:rPr>
          <w:rFonts w:asciiTheme="minorHAnsi" w:hAnsiTheme="minorHAnsi" w:cs="Times New Roman"/>
          <w:b/>
          <w:lang w:val="hr-HR"/>
        </w:rPr>
      </w:pPr>
      <w:r w:rsidRPr="00F331E8">
        <w:rPr>
          <w:rFonts w:asciiTheme="minorHAnsi" w:hAnsiTheme="minorHAnsi" w:cs="Times New Roman"/>
          <w:b/>
          <w:lang w:val="hr-HR"/>
        </w:rPr>
        <w:lastRenderedPageBreak/>
        <w:t>SUBJEKT – ISTRAŽIVAČKA ORGANIZACIJA</w:t>
      </w:r>
    </w:p>
    <w:p w14:paraId="354B28FD" w14:textId="77777777" w:rsidR="00F331E8" w:rsidRDefault="00F331E8" w:rsidP="00F331E8">
      <w:pPr>
        <w:spacing w:after="0" w:line="240" w:lineRule="auto"/>
        <w:jc w:val="center"/>
        <w:rPr>
          <w:rFonts w:asciiTheme="minorHAnsi" w:hAnsiTheme="minorHAnsi"/>
          <w:lang w:val="hr-HR"/>
        </w:rPr>
      </w:pPr>
    </w:p>
    <w:p w14:paraId="5515729F" w14:textId="39C6AEBF" w:rsidR="00717842" w:rsidRDefault="00F331E8" w:rsidP="00717842">
      <w:pPr>
        <w:spacing w:after="0" w:line="240" w:lineRule="auto"/>
        <w:jc w:val="both"/>
        <w:rPr>
          <w:rFonts w:asciiTheme="minorHAnsi" w:hAnsiTheme="minorHAnsi"/>
          <w:lang w:val="hr-HR"/>
        </w:rPr>
      </w:pPr>
      <w:r>
        <w:rPr>
          <w:rFonts w:asciiTheme="minorHAnsi" w:hAnsiTheme="minorHAnsi"/>
          <w:lang w:val="hr-HR"/>
        </w:rPr>
        <w:t xml:space="preserve">Prema </w:t>
      </w:r>
      <w:r w:rsidR="00717842" w:rsidRPr="00BB1395">
        <w:rPr>
          <w:rFonts w:asciiTheme="minorHAnsi" w:hAnsiTheme="minorHAnsi"/>
          <w:lang w:val="hr-HR"/>
        </w:rPr>
        <w:t>Okvir</w:t>
      </w:r>
      <w:r w:rsidR="001B0D8B">
        <w:rPr>
          <w:rFonts w:asciiTheme="minorHAnsi" w:hAnsiTheme="minorHAnsi"/>
          <w:lang w:val="hr-HR"/>
        </w:rPr>
        <w:t>u</w:t>
      </w:r>
      <w:r w:rsidR="00717842" w:rsidRPr="00BB1395">
        <w:rPr>
          <w:rFonts w:asciiTheme="minorHAnsi" w:hAnsiTheme="minorHAnsi"/>
          <w:lang w:val="hr-HR"/>
        </w:rPr>
        <w:t xml:space="preserve"> Zajednice </w:t>
      </w:r>
      <w:r w:rsidR="001B0D8B">
        <w:rPr>
          <w:rFonts w:asciiTheme="minorHAnsi" w:hAnsiTheme="minorHAnsi"/>
          <w:lang w:val="hr-HR"/>
        </w:rPr>
        <w:t>definicija istraživačke organizacije je sljedeća.</w:t>
      </w:r>
    </w:p>
    <w:p w14:paraId="0F8E1CCF" w14:textId="77777777" w:rsidR="001B0D8B" w:rsidRDefault="001B0D8B" w:rsidP="00717842">
      <w:pPr>
        <w:spacing w:after="0" w:line="240" w:lineRule="auto"/>
        <w:jc w:val="both"/>
        <w:rPr>
          <w:rFonts w:asciiTheme="minorHAnsi" w:hAnsiTheme="minorHAnsi"/>
          <w:lang w:val="hr-HR"/>
        </w:rPr>
      </w:pPr>
    </w:p>
    <w:tbl>
      <w:tblPr>
        <w:tblStyle w:val="TableGrid"/>
        <w:tblW w:w="0" w:type="auto"/>
        <w:tblLook w:val="04A0" w:firstRow="1" w:lastRow="0" w:firstColumn="1" w:lastColumn="0" w:noHBand="0" w:noVBand="1"/>
      </w:tblPr>
      <w:tblGrid>
        <w:gridCol w:w="9062"/>
      </w:tblGrid>
      <w:tr w:rsidR="001B0D8B" w14:paraId="175413F3" w14:textId="77777777" w:rsidTr="001B0D8B">
        <w:tc>
          <w:tcPr>
            <w:tcW w:w="9062" w:type="dxa"/>
          </w:tcPr>
          <w:p w14:paraId="4C709D6C" w14:textId="4F94E9F2" w:rsidR="001B0D8B" w:rsidRDefault="001B0D8B" w:rsidP="00593F60">
            <w:pPr>
              <w:jc w:val="both"/>
              <w:rPr>
                <w:rFonts w:asciiTheme="minorHAnsi" w:hAnsiTheme="minorHAnsi"/>
                <w:lang w:val="hr-HR"/>
              </w:rPr>
            </w:pPr>
            <w:r w:rsidRPr="00717842">
              <w:rPr>
                <w:rFonts w:asciiTheme="minorHAnsi" w:hAnsiTheme="minorHAnsi"/>
                <w:lang w:val="hr-HR"/>
              </w:rPr>
              <w:t xml:space="preserve">Istraživačka organizacija ili organizacija za istraživanje i širenje znanja znači subjekt (kao što su sveučilišta ili istraživački instituti, agencije za prijenos tehnologije, posrednici u inovaciji, fizičke osobe ili virtualni kolaborativni subjekti usmjereni na istraživanje), bez obzira na njegov pravni status (ustrojstvo na temelju javnog ili privatnog prava) odnosno način financiranja, čiji je prvenstveni cilj nezavisno provoditi temeljno istraživanje, industrijsko istraživanje ili eksperimentalni razvoj ili s rezultatima tih djelatnosti upoznati široku javnost, putem predavanja, objavljivanja ili prijenosa znanja. Ako taj subjekt obavlja i ekonomske djelatnosti, financiranje, troškovi i prihodi tih ekonomskih djelatnosti moraju se obračunati zasebno. Poduzetnici koji imaju presudan utjecaj na takav subjekt, na primjer kao vlasnici udjela u njemu ili kao njegovi članovi, nemaju povlašteni pristup rezultatima koje subjekt proizvede. </w:t>
            </w:r>
          </w:p>
        </w:tc>
      </w:tr>
    </w:tbl>
    <w:p w14:paraId="162AA1F7" w14:textId="77777777" w:rsidR="00F331E8" w:rsidRDefault="00F331E8" w:rsidP="004156B6">
      <w:pPr>
        <w:pStyle w:val="Default"/>
        <w:jc w:val="both"/>
        <w:rPr>
          <w:rFonts w:asciiTheme="minorHAnsi" w:hAnsiTheme="minorHAnsi" w:cs="Times New Roman"/>
          <w:color w:val="auto"/>
          <w:sz w:val="22"/>
          <w:szCs w:val="22"/>
        </w:rPr>
      </w:pPr>
    </w:p>
    <w:p w14:paraId="7C944CA1" w14:textId="7AF283D7" w:rsidR="00F331E8" w:rsidRPr="00F331E8" w:rsidRDefault="00F331E8" w:rsidP="00F331E8">
      <w:pPr>
        <w:pStyle w:val="Default"/>
        <w:jc w:val="center"/>
        <w:rPr>
          <w:rFonts w:asciiTheme="minorHAnsi" w:hAnsiTheme="minorHAnsi" w:cs="Times New Roman"/>
          <w:b/>
          <w:color w:val="auto"/>
          <w:sz w:val="22"/>
          <w:szCs w:val="22"/>
        </w:rPr>
      </w:pPr>
      <w:r w:rsidRPr="00F331E8">
        <w:rPr>
          <w:rFonts w:asciiTheme="minorHAnsi" w:hAnsiTheme="minorHAnsi" w:cs="Times New Roman"/>
          <w:b/>
          <w:color w:val="auto"/>
          <w:sz w:val="22"/>
          <w:szCs w:val="22"/>
        </w:rPr>
        <w:t>NEEKONOMSKE DJELATNOSTI</w:t>
      </w:r>
    </w:p>
    <w:p w14:paraId="604CBCC4" w14:textId="77777777" w:rsidR="00F331E8" w:rsidRDefault="00F331E8" w:rsidP="004156B6">
      <w:pPr>
        <w:pStyle w:val="Default"/>
        <w:jc w:val="both"/>
        <w:rPr>
          <w:rFonts w:asciiTheme="minorHAnsi" w:hAnsiTheme="minorHAnsi" w:cs="Times New Roman"/>
          <w:color w:val="auto"/>
          <w:sz w:val="22"/>
          <w:szCs w:val="22"/>
        </w:rPr>
      </w:pPr>
    </w:p>
    <w:p w14:paraId="76DD1682" w14:textId="7EAC9118" w:rsidR="004156B6" w:rsidRPr="004156B6" w:rsidRDefault="004156B6" w:rsidP="004156B6">
      <w:pPr>
        <w:pStyle w:val="Default"/>
        <w:jc w:val="both"/>
        <w:rPr>
          <w:rFonts w:asciiTheme="minorHAnsi" w:hAnsiTheme="minorHAnsi" w:cs="Times New Roman"/>
          <w:color w:val="auto"/>
          <w:sz w:val="22"/>
          <w:szCs w:val="22"/>
        </w:rPr>
      </w:pPr>
      <w:r w:rsidRPr="004156B6">
        <w:rPr>
          <w:rFonts w:asciiTheme="minorHAnsi" w:hAnsiTheme="minorHAnsi" w:cs="Times New Roman"/>
          <w:color w:val="auto"/>
          <w:sz w:val="22"/>
          <w:szCs w:val="22"/>
        </w:rPr>
        <w:t>Komisija smatra da su</w:t>
      </w:r>
      <w:r>
        <w:rPr>
          <w:rFonts w:asciiTheme="minorHAnsi" w:hAnsiTheme="minorHAnsi" w:cs="Times New Roman"/>
          <w:color w:val="auto"/>
          <w:sz w:val="22"/>
          <w:szCs w:val="22"/>
        </w:rPr>
        <w:t>, prema odredbama Okvira zajednice,</w:t>
      </w:r>
      <w:r w:rsidRPr="004156B6">
        <w:rPr>
          <w:rFonts w:asciiTheme="minorHAnsi" w:hAnsiTheme="minorHAnsi" w:cs="Times New Roman"/>
          <w:color w:val="auto"/>
          <w:sz w:val="22"/>
          <w:szCs w:val="22"/>
        </w:rPr>
        <w:t xml:space="preserve"> sljedeće djelatnosti općenito neekonomske</w:t>
      </w:r>
      <w:r w:rsidR="003B32F5">
        <w:rPr>
          <w:rFonts w:asciiTheme="minorHAnsi" w:hAnsiTheme="minorHAnsi" w:cs="Times New Roman"/>
          <w:color w:val="auto"/>
          <w:sz w:val="22"/>
          <w:szCs w:val="22"/>
        </w:rPr>
        <w:t>.</w:t>
      </w:r>
    </w:p>
    <w:p w14:paraId="18B588BC" w14:textId="77777777" w:rsidR="004156B6" w:rsidRDefault="004156B6" w:rsidP="001B0D8B">
      <w:pPr>
        <w:pStyle w:val="ListParagraph"/>
        <w:spacing w:after="0" w:line="240" w:lineRule="auto"/>
        <w:ind w:left="0"/>
        <w:contextualSpacing w:val="0"/>
        <w:jc w:val="both"/>
        <w:rPr>
          <w:rFonts w:asciiTheme="minorHAnsi" w:hAnsiTheme="minorHAnsi" w:cs="Times New Roman"/>
          <w:lang w:val="hr-HR"/>
        </w:rPr>
      </w:pPr>
    </w:p>
    <w:tbl>
      <w:tblPr>
        <w:tblStyle w:val="TableGrid"/>
        <w:tblW w:w="0" w:type="auto"/>
        <w:tblInd w:w="-5" w:type="dxa"/>
        <w:tblLook w:val="04A0" w:firstRow="1" w:lastRow="0" w:firstColumn="1" w:lastColumn="0" w:noHBand="0" w:noVBand="1"/>
      </w:tblPr>
      <w:tblGrid>
        <w:gridCol w:w="9067"/>
      </w:tblGrid>
      <w:tr w:rsidR="004156B6" w:rsidRPr="00177039" w14:paraId="679FCDBE" w14:textId="77777777" w:rsidTr="004156B6">
        <w:tc>
          <w:tcPr>
            <w:tcW w:w="9067" w:type="dxa"/>
          </w:tcPr>
          <w:p w14:paraId="0E9ACB45" w14:textId="77777777" w:rsidR="004156B6" w:rsidRPr="00BB1395" w:rsidRDefault="004156B6" w:rsidP="004156B6">
            <w:pPr>
              <w:pStyle w:val="ListParagraph"/>
              <w:numPr>
                <w:ilvl w:val="0"/>
                <w:numId w:val="5"/>
              </w:numPr>
              <w:jc w:val="both"/>
              <w:rPr>
                <w:rFonts w:asciiTheme="minorHAnsi" w:hAnsiTheme="minorHAnsi" w:cs="Times New Roman"/>
                <w:b/>
                <w:lang w:val="hr-HR"/>
              </w:rPr>
            </w:pPr>
            <w:r w:rsidRPr="00BB1395">
              <w:rPr>
                <w:rFonts w:asciiTheme="minorHAnsi" w:hAnsiTheme="minorHAnsi" w:cs="Times New Roman"/>
                <w:b/>
                <w:lang w:val="hr-HR"/>
              </w:rPr>
              <w:t>Primarne djelatnosti istraživačkih organizacija:</w:t>
            </w:r>
          </w:p>
          <w:p w14:paraId="6374DC6C" w14:textId="77777777" w:rsidR="004156B6" w:rsidRPr="00BB1395" w:rsidRDefault="004156B6" w:rsidP="004156B6">
            <w:pPr>
              <w:pStyle w:val="ListParagraph"/>
              <w:numPr>
                <w:ilvl w:val="0"/>
                <w:numId w:val="4"/>
              </w:numPr>
              <w:jc w:val="both"/>
              <w:rPr>
                <w:rFonts w:asciiTheme="minorHAnsi" w:hAnsiTheme="minorHAnsi" w:cs="Times New Roman"/>
                <w:lang w:val="hr-HR"/>
              </w:rPr>
            </w:pPr>
            <w:r w:rsidRPr="00BB1395">
              <w:rPr>
                <w:rFonts w:asciiTheme="minorHAnsi" w:hAnsiTheme="minorHAnsi" w:cs="Times New Roman"/>
                <w:lang w:val="hr-HR"/>
              </w:rPr>
              <w:t>edukacija u svrhu većeg broja kvalificiranijih ljudskih resursa. Javno obrazovanje organizirano u okviru nacionalnog obrazovnog sustava, koje uglavnom ili u potpunosti financira država i pod nadzorom je države, smatra se neekonomskom djelatnošću;</w:t>
            </w:r>
            <w:r w:rsidRPr="00BB1395">
              <w:rPr>
                <w:rStyle w:val="FootnoteReference"/>
                <w:rFonts w:asciiTheme="minorHAnsi" w:hAnsiTheme="minorHAnsi" w:cs="Times New Roman"/>
                <w:lang w:val="hr-HR"/>
              </w:rPr>
              <w:footnoteReference w:id="3"/>
            </w:r>
          </w:p>
          <w:p w14:paraId="15390A95" w14:textId="77777777" w:rsidR="004156B6" w:rsidRPr="00BB1395" w:rsidRDefault="004156B6" w:rsidP="004156B6">
            <w:pPr>
              <w:pStyle w:val="ListParagraph"/>
              <w:numPr>
                <w:ilvl w:val="0"/>
                <w:numId w:val="4"/>
              </w:numPr>
              <w:jc w:val="both"/>
              <w:rPr>
                <w:rFonts w:asciiTheme="minorHAnsi" w:hAnsiTheme="minorHAnsi" w:cs="Times New Roman"/>
                <w:lang w:val="hr-HR"/>
              </w:rPr>
            </w:pPr>
            <w:r w:rsidRPr="00BB1395">
              <w:rPr>
                <w:rFonts w:asciiTheme="minorHAnsi" w:hAnsiTheme="minorHAnsi" w:cs="Times New Roman"/>
                <w:lang w:val="hr-HR"/>
              </w:rPr>
              <w:t>neovisno istraživanje i razvoj za više znanja i bolje razumijevanje, uključujući kolaborativni I&amp;R pri kojem istraživačke organizacije učinkovito surađuju;</w:t>
            </w:r>
          </w:p>
          <w:p w14:paraId="4857A675" w14:textId="77777777" w:rsidR="004156B6" w:rsidRPr="00177039" w:rsidRDefault="004156B6" w:rsidP="004156B6">
            <w:pPr>
              <w:pStyle w:val="ListParagraph"/>
              <w:numPr>
                <w:ilvl w:val="0"/>
                <w:numId w:val="4"/>
              </w:numPr>
              <w:jc w:val="both"/>
              <w:rPr>
                <w:rFonts w:asciiTheme="minorHAnsi" w:hAnsiTheme="minorHAnsi" w:cs="Times New Roman"/>
                <w:lang w:val="hr-HR"/>
              </w:rPr>
            </w:pPr>
            <w:r w:rsidRPr="00BB1395">
              <w:rPr>
                <w:rFonts w:asciiTheme="minorHAnsi" w:hAnsiTheme="minorHAnsi" w:cs="Times New Roman"/>
                <w:lang w:val="hr-HR"/>
              </w:rPr>
              <w:t>neisključivo i nediskriminacijsko širenje rezultata istraživanja, primjerice podučavanjem, bazama podataka s otvorenim pristupom, otvorenim publikacijama ili računalnim programima s otvorenim kodom.</w:t>
            </w:r>
          </w:p>
          <w:p w14:paraId="6599B669" w14:textId="77777777" w:rsidR="004156B6" w:rsidRPr="00177039" w:rsidRDefault="004156B6" w:rsidP="006B67AE">
            <w:pPr>
              <w:pStyle w:val="ListParagraph"/>
              <w:jc w:val="both"/>
              <w:rPr>
                <w:rFonts w:asciiTheme="minorHAnsi" w:hAnsiTheme="minorHAnsi" w:cs="Times New Roman"/>
                <w:lang w:val="hr-HR"/>
              </w:rPr>
            </w:pPr>
          </w:p>
          <w:p w14:paraId="40A07B1D" w14:textId="46FD9904" w:rsidR="004156B6" w:rsidRPr="00BB1395" w:rsidRDefault="003B32F5" w:rsidP="003B32F5">
            <w:pPr>
              <w:pStyle w:val="ListParagraph"/>
              <w:ind w:left="743" w:hanging="425"/>
              <w:jc w:val="both"/>
              <w:rPr>
                <w:rFonts w:asciiTheme="minorHAnsi" w:hAnsiTheme="minorHAnsi" w:cs="Times New Roman"/>
                <w:lang w:val="hr-HR"/>
              </w:rPr>
            </w:pPr>
            <w:r>
              <w:rPr>
                <w:rFonts w:asciiTheme="minorHAnsi" w:hAnsiTheme="minorHAnsi" w:cs="Times New Roman"/>
                <w:b/>
                <w:lang w:val="hr-HR"/>
              </w:rPr>
              <w:t xml:space="preserve">b) </w:t>
            </w:r>
            <w:r w:rsidR="004156B6" w:rsidRPr="00177039">
              <w:rPr>
                <w:rFonts w:asciiTheme="minorHAnsi" w:hAnsiTheme="minorHAnsi" w:cs="Times New Roman"/>
                <w:b/>
                <w:lang w:val="hr-HR"/>
              </w:rPr>
              <w:t>Aktivnosti prijenosa znanja</w:t>
            </w:r>
            <w:r w:rsidR="004156B6" w:rsidRPr="00BB1395">
              <w:rPr>
                <w:rStyle w:val="FootnoteReference"/>
                <w:rFonts w:asciiTheme="minorHAnsi" w:hAnsiTheme="minorHAnsi" w:cs="Times New Roman"/>
                <w:lang w:val="hr-HR"/>
              </w:rPr>
              <w:footnoteReference w:id="4"/>
            </w:r>
            <w:r w:rsidR="004156B6" w:rsidRPr="00BB1395">
              <w:rPr>
                <w:rFonts w:asciiTheme="minorHAnsi" w:hAnsiTheme="minorHAnsi" w:cs="Times New Roman"/>
                <w:lang w:val="hr-HR"/>
              </w:rPr>
              <w:t xml:space="preserve">, ako ih izvršava istraživačka organizacija (uključujući njihove odjele ili podružnice) ili se izvršavaju zajedno s takvim tijelima ili u ime drugih takvih subjekata, pri čemu se sav prihod od takvih djelatnosti/aktivnosti ponovno ulaže u primarne djelatnosti/aktivnosti istraživačke organizacije. </w:t>
            </w:r>
          </w:p>
        </w:tc>
      </w:tr>
    </w:tbl>
    <w:p w14:paraId="2FDE8299" w14:textId="77777777" w:rsidR="00A84DEA" w:rsidRDefault="00A84DEA" w:rsidP="00A84DEA">
      <w:pPr>
        <w:spacing w:after="0"/>
        <w:jc w:val="both"/>
        <w:rPr>
          <w:rFonts w:asciiTheme="minorHAnsi" w:hAnsiTheme="minorHAnsi"/>
          <w:b/>
          <w:color w:val="FF0000"/>
          <w:u w:val="single"/>
          <w:lang w:val="hr-HR"/>
        </w:rPr>
      </w:pPr>
    </w:p>
    <w:p w14:paraId="26D826B2" w14:textId="2AC7834D" w:rsidR="00D62B6D" w:rsidRPr="00F331E8" w:rsidRDefault="003B32F5" w:rsidP="00BB1395">
      <w:pPr>
        <w:jc w:val="both"/>
        <w:rPr>
          <w:rFonts w:asciiTheme="minorHAnsi" w:hAnsiTheme="minorHAnsi" w:cs="Times New Roman"/>
          <w:b/>
          <w:color w:val="FF0000"/>
          <w:u w:val="single"/>
          <w:lang w:val="hr-HR"/>
        </w:rPr>
      </w:pPr>
      <w:r w:rsidRPr="00F331E8">
        <w:rPr>
          <w:rFonts w:asciiTheme="minorHAnsi" w:hAnsiTheme="minorHAnsi"/>
          <w:b/>
          <w:color w:val="FF0000"/>
          <w:u w:val="single"/>
          <w:lang w:val="hr-HR"/>
        </w:rPr>
        <w:t xml:space="preserve">S obzirom na navedeno, </w:t>
      </w:r>
      <w:r w:rsidRPr="00F331E8">
        <w:rPr>
          <w:rFonts w:asciiTheme="minorHAnsi" w:hAnsiTheme="minorHAnsi" w:cs="Times New Roman"/>
          <w:b/>
          <w:color w:val="FF0000"/>
          <w:u w:val="single"/>
          <w:lang w:val="hr-HR"/>
        </w:rPr>
        <w:t>p</w:t>
      </w:r>
      <w:r w:rsidR="00EC094D" w:rsidRPr="00F331E8">
        <w:rPr>
          <w:rFonts w:asciiTheme="minorHAnsi" w:hAnsiTheme="minorHAnsi" w:cs="Times New Roman"/>
          <w:b/>
          <w:color w:val="FF0000"/>
          <w:u w:val="single"/>
          <w:lang w:val="hr-HR"/>
        </w:rPr>
        <w:t>rijavitelj</w:t>
      </w:r>
      <w:r w:rsidR="00524D9B" w:rsidRPr="00F331E8">
        <w:rPr>
          <w:rFonts w:asciiTheme="minorHAnsi" w:hAnsiTheme="minorHAnsi" w:cs="Times New Roman"/>
          <w:b/>
          <w:color w:val="FF0000"/>
          <w:u w:val="single"/>
          <w:lang w:val="hr-HR"/>
        </w:rPr>
        <w:t xml:space="preserve"> </w:t>
      </w:r>
      <w:r w:rsidR="003D54E9" w:rsidRPr="00F331E8">
        <w:rPr>
          <w:rFonts w:asciiTheme="minorHAnsi" w:hAnsiTheme="minorHAnsi" w:cs="Times New Roman"/>
          <w:b/>
          <w:color w:val="FF0000"/>
          <w:u w:val="single"/>
          <w:lang w:val="hr-HR"/>
        </w:rPr>
        <w:t xml:space="preserve">se mora </w:t>
      </w:r>
      <w:r w:rsidR="00EC094D" w:rsidRPr="00F331E8">
        <w:rPr>
          <w:rFonts w:asciiTheme="minorHAnsi" w:hAnsiTheme="minorHAnsi" w:cs="Times New Roman"/>
          <w:b/>
          <w:color w:val="FF0000"/>
          <w:u w:val="single"/>
          <w:lang w:val="hr-HR"/>
        </w:rPr>
        <w:t xml:space="preserve">obvezati da dodijeljena sredstva neće </w:t>
      </w:r>
      <w:r w:rsidR="008713EB" w:rsidRPr="00F331E8">
        <w:rPr>
          <w:rFonts w:asciiTheme="minorHAnsi" w:hAnsiTheme="minorHAnsi" w:cs="Times New Roman"/>
          <w:b/>
          <w:color w:val="FF0000"/>
          <w:u w:val="single"/>
          <w:lang w:val="hr-HR"/>
        </w:rPr>
        <w:t>konstituirati državnu potporu</w:t>
      </w:r>
      <w:r w:rsidRPr="00F331E8">
        <w:rPr>
          <w:rFonts w:asciiTheme="minorHAnsi" w:hAnsiTheme="minorHAnsi" w:cs="Times New Roman"/>
          <w:b/>
          <w:color w:val="FF0000"/>
          <w:u w:val="single"/>
          <w:lang w:val="hr-HR"/>
        </w:rPr>
        <w:t>, odnosno da se ista neće koristiti za ekonomske djelatnosti</w:t>
      </w:r>
      <w:r w:rsidR="00EC094D" w:rsidRPr="00F331E8">
        <w:rPr>
          <w:rFonts w:asciiTheme="minorHAnsi" w:hAnsiTheme="minorHAnsi" w:cs="Times New Roman"/>
          <w:b/>
          <w:color w:val="FF0000"/>
          <w:u w:val="single"/>
          <w:lang w:val="hr-HR"/>
        </w:rPr>
        <w:t xml:space="preserve"> (</w:t>
      </w:r>
      <w:r w:rsidR="003C6FD5" w:rsidRPr="00F331E8">
        <w:rPr>
          <w:rFonts w:asciiTheme="minorHAnsi" w:hAnsiTheme="minorHAnsi" w:cs="Times New Roman"/>
          <w:b/>
          <w:color w:val="FF0000"/>
          <w:u w:val="single"/>
          <w:lang w:val="hr-HR"/>
        </w:rPr>
        <w:t xml:space="preserve">Izjava </w:t>
      </w:r>
      <w:r w:rsidR="009D73E7" w:rsidRPr="00F331E8">
        <w:rPr>
          <w:rFonts w:asciiTheme="minorHAnsi" w:hAnsiTheme="minorHAnsi" w:cs="Times New Roman"/>
          <w:b/>
          <w:color w:val="FF0000"/>
          <w:u w:val="single"/>
          <w:lang w:val="hr-HR"/>
        </w:rPr>
        <w:t>prijavitelja</w:t>
      </w:r>
      <w:r w:rsidRPr="00F331E8">
        <w:rPr>
          <w:rFonts w:asciiTheme="minorHAnsi" w:hAnsiTheme="minorHAnsi" w:cs="Times New Roman"/>
          <w:b/>
          <w:color w:val="FF0000"/>
          <w:u w:val="single"/>
          <w:lang w:val="hr-HR"/>
        </w:rPr>
        <w:t>,</w:t>
      </w:r>
      <w:r w:rsidR="009D73E7" w:rsidRPr="00F331E8">
        <w:rPr>
          <w:rFonts w:asciiTheme="minorHAnsi" w:hAnsiTheme="minorHAnsi" w:cs="Times New Roman"/>
          <w:b/>
          <w:color w:val="FF0000"/>
          <w:u w:val="single"/>
          <w:lang w:val="hr-HR"/>
        </w:rPr>
        <w:t xml:space="preserve"> </w:t>
      </w:r>
      <w:r w:rsidR="00EC094D" w:rsidRPr="00F331E8">
        <w:rPr>
          <w:rFonts w:asciiTheme="minorHAnsi" w:hAnsiTheme="minorHAnsi" w:cs="Times New Roman"/>
          <w:b/>
          <w:color w:val="FF0000"/>
          <w:u w:val="single"/>
          <w:lang w:val="hr-HR"/>
        </w:rPr>
        <w:t xml:space="preserve">Obrazac </w:t>
      </w:r>
      <w:r w:rsidR="007A12B7">
        <w:rPr>
          <w:rFonts w:asciiTheme="minorHAnsi" w:hAnsiTheme="minorHAnsi" w:cs="Times New Roman"/>
          <w:b/>
          <w:color w:val="FF0000"/>
          <w:u w:val="single"/>
          <w:lang w:val="hr-HR"/>
        </w:rPr>
        <w:t>1</w:t>
      </w:r>
      <w:r w:rsidR="009D73E7" w:rsidRPr="007A12B7">
        <w:rPr>
          <w:rFonts w:asciiTheme="minorHAnsi" w:hAnsiTheme="minorHAnsi" w:cs="Times New Roman"/>
          <w:b/>
          <w:color w:val="FF0000"/>
          <w:u w:val="single"/>
          <w:lang w:val="hr-HR"/>
        </w:rPr>
        <w:t>.</w:t>
      </w:r>
      <w:r w:rsidR="009D73E7" w:rsidRPr="00F331E8">
        <w:rPr>
          <w:rFonts w:asciiTheme="minorHAnsi" w:hAnsiTheme="minorHAnsi" w:cs="Times New Roman"/>
          <w:b/>
          <w:color w:val="FF0000"/>
          <w:u w:val="single"/>
          <w:lang w:val="hr-HR"/>
        </w:rPr>
        <w:t>).</w:t>
      </w:r>
      <w:r w:rsidR="008713EB" w:rsidRPr="00F331E8">
        <w:rPr>
          <w:rFonts w:asciiTheme="minorHAnsi" w:hAnsiTheme="minorHAnsi" w:cs="Times New Roman"/>
          <w:b/>
          <w:color w:val="FF0000"/>
          <w:u w:val="single"/>
          <w:lang w:val="hr-HR"/>
        </w:rPr>
        <w:t xml:space="preserve"> </w:t>
      </w:r>
    </w:p>
    <w:p w14:paraId="11B0557C" w14:textId="77777777" w:rsidR="00177039" w:rsidRPr="00BB1395" w:rsidRDefault="00177039" w:rsidP="00BB1395">
      <w:pPr>
        <w:pStyle w:val="ListParagraph"/>
        <w:ind w:left="360"/>
        <w:rPr>
          <w:rFonts w:asciiTheme="minorHAnsi" w:hAnsiTheme="minorHAnsi" w:cs="Times New Roman"/>
          <w:lang w:val="hr-HR"/>
        </w:rPr>
      </w:pPr>
    </w:p>
    <w:p w14:paraId="7CBA444C" w14:textId="40FC4F00" w:rsidR="00F331E8" w:rsidRPr="00F331E8" w:rsidRDefault="00F331E8" w:rsidP="00F331E8">
      <w:pPr>
        <w:pStyle w:val="ListParagraph"/>
        <w:ind w:left="0"/>
        <w:jc w:val="center"/>
        <w:rPr>
          <w:rFonts w:asciiTheme="minorHAnsi" w:hAnsiTheme="minorHAnsi" w:cs="Times New Roman"/>
          <w:b/>
          <w:lang w:val="hr-HR"/>
        </w:rPr>
      </w:pPr>
      <w:r w:rsidRPr="00F331E8">
        <w:rPr>
          <w:rFonts w:asciiTheme="minorHAnsi" w:hAnsiTheme="minorHAnsi" w:cs="Times New Roman"/>
          <w:b/>
          <w:lang w:val="hr-HR"/>
        </w:rPr>
        <w:t>EKONOMSKE I NEEKONOMSKE DJELATNOSTI - ODVAJANJE</w:t>
      </w:r>
    </w:p>
    <w:p w14:paraId="10DB1D36" w14:textId="77777777" w:rsidR="00F331E8" w:rsidRDefault="00F331E8" w:rsidP="001977F6">
      <w:pPr>
        <w:pStyle w:val="ListParagraph"/>
        <w:ind w:left="0"/>
        <w:jc w:val="both"/>
        <w:rPr>
          <w:rFonts w:asciiTheme="minorHAnsi" w:hAnsiTheme="minorHAnsi" w:cs="Times New Roman"/>
          <w:lang w:val="hr-HR"/>
        </w:rPr>
      </w:pPr>
    </w:p>
    <w:p w14:paraId="266ADB1A" w14:textId="0243B47B" w:rsidR="00177039" w:rsidRPr="00BB1395" w:rsidRDefault="003B32F5" w:rsidP="001977F6">
      <w:pPr>
        <w:pStyle w:val="ListParagraph"/>
        <w:ind w:left="0"/>
        <w:jc w:val="both"/>
        <w:rPr>
          <w:rFonts w:asciiTheme="minorHAnsi" w:hAnsiTheme="minorHAnsi"/>
          <w:lang w:val="hr-HR"/>
        </w:rPr>
      </w:pPr>
      <w:r>
        <w:rPr>
          <w:rFonts w:asciiTheme="minorHAnsi" w:hAnsiTheme="minorHAnsi" w:cs="Times New Roman"/>
          <w:lang w:val="hr-HR"/>
        </w:rPr>
        <w:t>K</w:t>
      </w:r>
      <w:r w:rsidR="00841612" w:rsidRPr="00BB1395">
        <w:rPr>
          <w:rFonts w:asciiTheme="minorHAnsi" w:hAnsiTheme="minorHAnsi" w:cs="Times New Roman"/>
          <w:lang w:val="hr-HR"/>
        </w:rPr>
        <w:t xml:space="preserve">ada se </w:t>
      </w:r>
      <w:r>
        <w:rPr>
          <w:rFonts w:asciiTheme="minorHAnsi" w:hAnsiTheme="minorHAnsi" w:cs="Times New Roman"/>
          <w:lang w:val="hr-HR"/>
        </w:rPr>
        <w:t>istraživačka</w:t>
      </w:r>
      <w:r w:rsidRPr="00BB1395">
        <w:rPr>
          <w:rFonts w:asciiTheme="minorHAnsi" w:hAnsiTheme="minorHAnsi" w:cs="Times New Roman"/>
          <w:lang w:val="hr-HR"/>
        </w:rPr>
        <w:t xml:space="preserve"> </w:t>
      </w:r>
      <w:r w:rsidR="00841612" w:rsidRPr="00BB1395">
        <w:rPr>
          <w:rFonts w:asciiTheme="minorHAnsi" w:hAnsiTheme="minorHAnsi" w:cs="Times New Roman"/>
          <w:lang w:val="hr-HR"/>
        </w:rPr>
        <w:t xml:space="preserve">organizacija bavi </w:t>
      </w:r>
      <w:r w:rsidR="004B59AE" w:rsidRPr="00BB1395">
        <w:rPr>
          <w:rFonts w:asciiTheme="minorHAnsi" w:hAnsiTheme="minorHAnsi" w:cs="Times New Roman"/>
          <w:lang w:val="hr-HR"/>
        </w:rPr>
        <w:t>primjerice</w:t>
      </w:r>
      <w:r w:rsidR="00841612" w:rsidRPr="00BB1395">
        <w:rPr>
          <w:rFonts w:asciiTheme="minorHAnsi" w:hAnsiTheme="minorHAnsi" w:cs="Times New Roman"/>
          <w:lang w:val="hr-HR"/>
        </w:rPr>
        <w:t xml:space="preserve"> iznajmljivanjem opreme ili laboratorija poduzećima, pružanjem usluga poduzećima, obavlja ugovorna istraživanja i provodi</w:t>
      </w:r>
      <w:r w:rsidR="00841612" w:rsidRPr="00BB1395">
        <w:rPr>
          <w:rFonts w:asciiTheme="minorHAnsi" w:hAnsiTheme="minorHAnsi"/>
          <w:lang w:val="hr-HR"/>
        </w:rPr>
        <w:t xml:space="preserve"> ostale ekonomske djelatnosti, javno financiranje tih djelatnosti </w:t>
      </w:r>
      <w:r w:rsidR="00841612" w:rsidRPr="00F331E8">
        <w:rPr>
          <w:rFonts w:asciiTheme="minorHAnsi" w:hAnsiTheme="minorHAnsi"/>
          <w:b/>
          <w:lang w:val="hr-HR"/>
        </w:rPr>
        <w:t>smatra</w:t>
      </w:r>
      <w:r w:rsidRPr="00F331E8">
        <w:rPr>
          <w:rFonts w:asciiTheme="minorHAnsi" w:hAnsiTheme="minorHAnsi"/>
          <w:b/>
          <w:lang w:val="hr-HR"/>
        </w:rPr>
        <w:t xml:space="preserve"> </w:t>
      </w:r>
      <w:r w:rsidR="00841612" w:rsidRPr="00F331E8">
        <w:rPr>
          <w:rFonts w:asciiTheme="minorHAnsi" w:hAnsiTheme="minorHAnsi"/>
          <w:b/>
          <w:lang w:val="hr-HR"/>
        </w:rPr>
        <w:t>se državnom potporom</w:t>
      </w:r>
      <w:r w:rsidR="00841612" w:rsidRPr="00BB1395">
        <w:rPr>
          <w:rFonts w:asciiTheme="minorHAnsi" w:hAnsiTheme="minorHAnsi"/>
          <w:lang w:val="hr-HR"/>
        </w:rPr>
        <w:t xml:space="preserve">. </w:t>
      </w:r>
    </w:p>
    <w:p w14:paraId="7BD63171" w14:textId="32E36E67" w:rsidR="00CC1F30" w:rsidRPr="001977F6" w:rsidRDefault="001977F6" w:rsidP="001977F6">
      <w:pPr>
        <w:spacing w:after="0" w:line="240" w:lineRule="auto"/>
        <w:jc w:val="both"/>
        <w:rPr>
          <w:rFonts w:asciiTheme="minorHAnsi" w:hAnsiTheme="minorHAnsi" w:cs="Times New Roman"/>
          <w:lang w:val="hr-HR"/>
        </w:rPr>
      </w:pPr>
      <w:r w:rsidRPr="001977F6">
        <w:rPr>
          <w:rFonts w:asciiTheme="minorHAnsi" w:hAnsiTheme="minorHAnsi" w:cs="Times New Roman"/>
          <w:lang w:val="hr-HR"/>
        </w:rPr>
        <w:t>U slučaju da se prijavitelj bavi i ekonomskim i neekonomskim djelatnostima, javno financiranje neekonomskih djelatnosti neće predstavljati državnu potporu, ako je moguće jednoznačno odvojiti dvije vrste djelatnosti, njihove troškove, financiranje i prihode kako bi se djelotvorno izbjeglo unakrsno subvencioniranje ekonomske djelatnosti te je u tom slučaju i za tu svrhu potrebno uvesti odvajanje ekonomskih i neekonomskih djelatnosti (raspodjelu troškova, izvora financijskih sredstava i prihoda) koje nadalje mora biti vidljivo u godišnjim financijskim izvještajima prijavitelja, koji su pak rađeni prema važećim računovodstvenim odredbama.</w:t>
      </w:r>
      <w:r w:rsidRPr="001977F6">
        <w:rPr>
          <w:rFonts w:asciiTheme="minorHAnsi" w:hAnsiTheme="minorHAnsi"/>
          <w:lang w:val="hr-HR"/>
        </w:rPr>
        <w:t xml:space="preserve"> </w:t>
      </w:r>
      <w:r w:rsidRPr="001977F6">
        <w:rPr>
          <w:rFonts w:asciiTheme="minorHAnsi" w:hAnsiTheme="minorHAnsi" w:cs="Times New Roman"/>
          <w:lang w:val="hr-HR"/>
        </w:rPr>
        <w:t xml:space="preserve">Stoga, jednoznačno odvajanje dvije vrste djelatnosti, njihovih troškova, financiranja i prihoda predstavlja </w:t>
      </w:r>
      <w:r w:rsidRPr="001977F6">
        <w:rPr>
          <w:rFonts w:asciiTheme="minorHAnsi" w:hAnsiTheme="minorHAnsi" w:cs="Times New Roman"/>
          <w:b/>
          <w:lang w:val="hr-HR"/>
        </w:rPr>
        <w:t>ključan kriterij prihvatljivosti</w:t>
      </w:r>
      <w:r w:rsidRPr="001977F6">
        <w:rPr>
          <w:rFonts w:asciiTheme="minorHAnsi" w:hAnsiTheme="minorHAnsi" w:cs="Times New Roman"/>
          <w:lang w:val="hr-HR"/>
        </w:rPr>
        <w:t>.</w:t>
      </w:r>
    </w:p>
    <w:p w14:paraId="7D1735F3" w14:textId="77777777" w:rsidR="003B32F5" w:rsidRDefault="003B32F5" w:rsidP="00F214EF">
      <w:pPr>
        <w:pStyle w:val="ListParagraph"/>
        <w:spacing w:after="0" w:line="240" w:lineRule="auto"/>
        <w:ind w:left="576"/>
        <w:jc w:val="both"/>
        <w:rPr>
          <w:rFonts w:asciiTheme="minorHAnsi" w:hAnsiTheme="minorHAnsi" w:cs="Times New Roman"/>
          <w:lang w:val="hr-HR"/>
        </w:rPr>
      </w:pPr>
    </w:p>
    <w:p w14:paraId="7E7DA2DC" w14:textId="30C0931E" w:rsidR="003B32F5" w:rsidRPr="00F331E8" w:rsidRDefault="006D1386" w:rsidP="006D1386">
      <w:pPr>
        <w:spacing w:after="0" w:line="240" w:lineRule="auto"/>
        <w:jc w:val="both"/>
        <w:rPr>
          <w:rFonts w:asciiTheme="minorHAnsi" w:hAnsiTheme="minorHAnsi" w:cs="Times New Roman"/>
          <w:b/>
          <w:color w:val="FF0000"/>
          <w:u w:val="single"/>
          <w:lang w:val="hr-HR"/>
        </w:rPr>
      </w:pPr>
      <w:r w:rsidRPr="00F331E8">
        <w:rPr>
          <w:rFonts w:asciiTheme="minorHAnsi" w:hAnsiTheme="minorHAnsi" w:cs="Times New Roman"/>
          <w:b/>
          <w:color w:val="FF0000"/>
          <w:u w:val="single"/>
          <w:lang w:val="hr-HR"/>
        </w:rPr>
        <w:t>S obzirom na navedeno, prijavitelj se mora obvezati da će</w:t>
      </w:r>
      <w:r w:rsidR="001977F6" w:rsidRPr="00F331E8">
        <w:rPr>
          <w:rFonts w:asciiTheme="minorHAnsi" w:hAnsiTheme="minorHAnsi" w:cs="Times New Roman"/>
          <w:b/>
          <w:color w:val="FF0000"/>
          <w:u w:val="single"/>
          <w:lang w:val="hr-HR"/>
        </w:rPr>
        <w:t xml:space="preserve"> odvojeno voditi ekonomske i neekonomske djelatnosti, njihove troškove, financiranje i prihode nakon završetka provedbe projekta do roka za amortizaciju nabavljene opreme, kako bi se djelotvorno izbjeglo unakrsno subvenc</w:t>
      </w:r>
      <w:r w:rsidRPr="00F331E8">
        <w:rPr>
          <w:rFonts w:asciiTheme="minorHAnsi" w:hAnsiTheme="minorHAnsi" w:cs="Times New Roman"/>
          <w:b/>
          <w:color w:val="FF0000"/>
          <w:u w:val="single"/>
          <w:lang w:val="hr-HR"/>
        </w:rPr>
        <w:t>ioniranje ekonomske djelatnosti</w:t>
      </w:r>
      <w:r w:rsidR="001977F6" w:rsidRPr="00F331E8">
        <w:rPr>
          <w:rFonts w:asciiTheme="minorHAnsi" w:hAnsiTheme="minorHAnsi" w:cs="Times New Roman"/>
          <w:b/>
          <w:color w:val="FF0000"/>
          <w:u w:val="single"/>
          <w:lang w:val="hr-HR"/>
        </w:rPr>
        <w:t xml:space="preserve"> </w:t>
      </w:r>
      <w:r w:rsidRPr="00F331E8">
        <w:rPr>
          <w:rFonts w:asciiTheme="minorHAnsi" w:hAnsiTheme="minorHAnsi" w:cs="Times New Roman"/>
          <w:b/>
          <w:color w:val="FF0000"/>
          <w:u w:val="single"/>
          <w:lang w:val="hr-HR"/>
        </w:rPr>
        <w:t xml:space="preserve">(Izjava prijavitelja, Obrazac </w:t>
      </w:r>
      <w:r w:rsidR="007A12B7">
        <w:rPr>
          <w:rFonts w:asciiTheme="minorHAnsi" w:hAnsiTheme="minorHAnsi" w:cs="Times New Roman"/>
          <w:b/>
          <w:color w:val="FF0000"/>
          <w:u w:val="single"/>
          <w:lang w:val="hr-HR"/>
        </w:rPr>
        <w:t>1</w:t>
      </w:r>
      <w:r w:rsidRPr="007A12B7">
        <w:rPr>
          <w:rFonts w:asciiTheme="minorHAnsi" w:hAnsiTheme="minorHAnsi" w:cs="Times New Roman"/>
          <w:b/>
          <w:color w:val="FF0000"/>
          <w:u w:val="single"/>
          <w:lang w:val="hr-HR"/>
        </w:rPr>
        <w:t>.</w:t>
      </w:r>
      <w:r w:rsidRPr="00F331E8">
        <w:rPr>
          <w:rFonts w:asciiTheme="minorHAnsi" w:hAnsiTheme="minorHAnsi" w:cs="Times New Roman"/>
          <w:b/>
          <w:color w:val="FF0000"/>
          <w:u w:val="single"/>
          <w:lang w:val="hr-HR"/>
        </w:rPr>
        <w:t>)</w:t>
      </w:r>
    </w:p>
    <w:p w14:paraId="34DDCE3B" w14:textId="77777777" w:rsidR="003B32F5" w:rsidRDefault="003B32F5" w:rsidP="00F214EF">
      <w:pPr>
        <w:pStyle w:val="ListParagraph"/>
        <w:spacing w:after="0" w:line="240" w:lineRule="auto"/>
        <w:ind w:left="576"/>
        <w:jc w:val="both"/>
        <w:rPr>
          <w:rFonts w:asciiTheme="minorHAnsi" w:hAnsiTheme="minorHAnsi" w:cs="Times New Roman"/>
          <w:lang w:val="hr-HR"/>
        </w:rPr>
      </w:pPr>
    </w:p>
    <w:p w14:paraId="6435AC7C" w14:textId="77777777" w:rsidR="00A66942" w:rsidRDefault="00A66942" w:rsidP="00F214EF">
      <w:pPr>
        <w:pStyle w:val="ListParagraph"/>
        <w:spacing w:after="0" w:line="240" w:lineRule="auto"/>
        <w:ind w:left="576"/>
        <w:jc w:val="both"/>
        <w:rPr>
          <w:rFonts w:asciiTheme="minorHAnsi" w:hAnsiTheme="minorHAnsi" w:cs="Times New Roman"/>
          <w:lang w:val="hr-HR"/>
        </w:rPr>
      </w:pPr>
    </w:p>
    <w:p w14:paraId="790F450C" w14:textId="77777777" w:rsidR="00A84DEA" w:rsidRDefault="00A84DEA" w:rsidP="00F214EF">
      <w:pPr>
        <w:pStyle w:val="ListParagraph"/>
        <w:spacing w:after="0" w:line="240" w:lineRule="auto"/>
        <w:ind w:left="576"/>
        <w:jc w:val="both"/>
        <w:rPr>
          <w:rFonts w:asciiTheme="minorHAnsi" w:hAnsiTheme="minorHAnsi" w:cs="Times New Roman"/>
          <w:lang w:val="hr-HR"/>
        </w:rPr>
      </w:pPr>
    </w:p>
    <w:p w14:paraId="316DE6BA" w14:textId="77777777" w:rsidR="00906E56" w:rsidRDefault="00906E56" w:rsidP="00F214EF">
      <w:pPr>
        <w:pStyle w:val="ListParagraph"/>
        <w:spacing w:after="0" w:line="240" w:lineRule="auto"/>
        <w:ind w:left="576"/>
        <w:jc w:val="both"/>
        <w:rPr>
          <w:rFonts w:asciiTheme="minorHAnsi" w:hAnsiTheme="minorHAnsi" w:cs="Times New Roman"/>
          <w:lang w:val="hr-HR"/>
        </w:rPr>
      </w:pPr>
    </w:p>
    <w:p w14:paraId="1BB5858F" w14:textId="27BFB417" w:rsidR="003B32F5" w:rsidRPr="00F331E8" w:rsidRDefault="00F331E8" w:rsidP="00F331E8">
      <w:pPr>
        <w:pStyle w:val="ListParagraph"/>
        <w:spacing w:after="0" w:line="240" w:lineRule="auto"/>
        <w:ind w:left="0"/>
        <w:jc w:val="center"/>
        <w:rPr>
          <w:rFonts w:asciiTheme="minorHAnsi" w:hAnsiTheme="minorHAnsi" w:cs="Times New Roman"/>
          <w:b/>
          <w:lang w:val="hr-HR"/>
        </w:rPr>
      </w:pPr>
      <w:r w:rsidRPr="00F331E8">
        <w:rPr>
          <w:rFonts w:asciiTheme="minorHAnsi" w:hAnsiTheme="minorHAnsi" w:cs="Times New Roman"/>
          <w:b/>
          <w:lang w:val="hr-HR"/>
        </w:rPr>
        <w:t>POMOĆNE DJELATNOSTI</w:t>
      </w:r>
    </w:p>
    <w:p w14:paraId="1DD17593" w14:textId="77777777" w:rsidR="003B32F5" w:rsidRPr="00F331E8" w:rsidRDefault="003B32F5" w:rsidP="00F331E8">
      <w:pPr>
        <w:pStyle w:val="ListParagraph"/>
        <w:spacing w:after="0" w:line="240" w:lineRule="auto"/>
        <w:ind w:left="576"/>
        <w:jc w:val="center"/>
        <w:rPr>
          <w:rFonts w:asciiTheme="minorHAnsi" w:hAnsiTheme="minorHAnsi" w:cs="Times New Roman"/>
          <w:b/>
          <w:lang w:val="hr-HR"/>
        </w:rPr>
      </w:pPr>
    </w:p>
    <w:p w14:paraId="3F18165E" w14:textId="6EDCEF3A" w:rsidR="00A66942" w:rsidRPr="00A66942" w:rsidRDefault="00A66942" w:rsidP="00773C26">
      <w:pPr>
        <w:pStyle w:val="ListParagraph"/>
        <w:spacing w:after="0" w:line="240" w:lineRule="auto"/>
        <w:ind w:left="0"/>
        <w:jc w:val="both"/>
        <w:rPr>
          <w:rFonts w:asciiTheme="minorHAnsi" w:hAnsiTheme="minorHAnsi" w:cs="Times New Roman"/>
          <w:lang w:val="hr-HR"/>
        </w:rPr>
      </w:pPr>
      <w:r w:rsidRPr="00A66942">
        <w:rPr>
          <w:rFonts w:asciiTheme="minorHAnsi" w:hAnsiTheme="minorHAnsi" w:cs="Times New Roman"/>
          <w:lang w:val="hr-HR"/>
        </w:rPr>
        <w:t xml:space="preserve">Ako određena </w:t>
      </w:r>
      <w:r>
        <w:rPr>
          <w:rFonts w:asciiTheme="minorHAnsi" w:hAnsiTheme="minorHAnsi" w:cs="Times New Roman"/>
          <w:lang w:val="hr-HR"/>
        </w:rPr>
        <w:t>istraživačka</w:t>
      </w:r>
      <w:r w:rsidRPr="00A66942">
        <w:rPr>
          <w:rFonts w:asciiTheme="minorHAnsi" w:hAnsiTheme="minorHAnsi" w:cs="Times New Roman"/>
          <w:lang w:val="hr-HR"/>
        </w:rPr>
        <w:t xml:space="preserve"> organizacija provodi gotovo isključivo neekonomske djelatnosti, njezino financiranje može biti u potpunosti isključeno iz područja primjene pravila o državnim potporama pod uvjetom da je: </w:t>
      </w:r>
    </w:p>
    <w:p w14:paraId="4C90EBC2" w14:textId="0EC51668" w:rsidR="00A66942" w:rsidRPr="00A66942" w:rsidRDefault="00A66942" w:rsidP="00A66942">
      <w:pPr>
        <w:pStyle w:val="ListParagraph"/>
        <w:spacing w:after="0" w:line="240" w:lineRule="auto"/>
        <w:jc w:val="both"/>
        <w:rPr>
          <w:rFonts w:asciiTheme="minorHAnsi" w:hAnsiTheme="minorHAnsi" w:cs="Times New Roman"/>
          <w:lang w:val="hr-HR"/>
        </w:rPr>
      </w:pPr>
      <w:r w:rsidRPr="00A66942">
        <w:rPr>
          <w:rFonts w:asciiTheme="minorHAnsi" w:hAnsiTheme="minorHAnsi" w:cs="Times New Roman"/>
          <w:lang w:val="hr-HR"/>
        </w:rPr>
        <w:t>a)</w:t>
      </w:r>
      <w:r w:rsidRPr="00A66942">
        <w:rPr>
          <w:rFonts w:asciiTheme="minorHAnsi" w:hAnsiTheme="minorHAnsi" w:cs="Times New Roman"/>
          <w:lang w:val="hr-HR"/>
        </w:rPr>
        <w:tab/>
        <w:t>ekonomska djelatnost isključivo pomoćna djelatnost, odnosno odgovara djelatnosti koja je</w:t>
      </w:r>
      <w:r>
        <w:rPr>
          <w:rFonts w:asciiTheme="minorHAnsi" w:hAnsiTheme="minorHAnsi" w:cs="Times New Roman"/>
          <w:lang w:val="hr-HR"/>
        </w:rPr>
        <w:t xml:space="preserve"> </w:t>
      </w:r>
      <w:r w:rsidRPr="00A66942">
        <w:rPr>
          <w:rFonts w:asciiTheme="minorHAnsi" w:hAnsiTheme="minorHAnsi" w:cs="Times New Roman"/>
          <w:lang w:val="hr-HR"/>
        </w:rPr>
        <w:t xml:space="preserve">izravno povezana s radom istraživačke organizacije i neophodna za taj rad ili neodvojivo povezana s njihovom glavnom neekonomskom upotrebom, i </w:t>
      </w:r>
    </w:p>
    <w:p w14:paraId="6EB158E0" w14:textId="77777777" w:rsidR="00A66942" w:rsidRPr="00A66942" w:rsidRDefault="00A66942" w:rsidP="00A66942">
      <w:pPr>
        <w:pStyle w:val="ListParagraph"/>
        <w:spacing w:after="0" w:line="240" w:lineRule="auto"/>
        <w:ind w:left="0" w:firstLine="720"/>
        <w:jc w:val="both"/>
        <w:rPr>
          <w:rFonts w:asciiTheme="minorHAnsi" w:hAnsiTheme="minorHAnsi" w:cs="Times New Roman"/>
          <w:lang w:val="hr-HR"/>
        </w:rPr>
      </w:pPr>
      <w:r w:rsidRPr="00A66942">
        <w:rPr>
          <w:rFonts w:asciiTheme="minorHAnsi" w:hAnsiTheme="minorHAnsi" w:cs="Times New Roman"/>
          <w:lang w:val="hr-HR"/>
        </w:rPr>
        <w:t>b)</w:t>
      </w:r>
      <w:r w:rsidRPr="00A66942">
        <w:rPr>
          <w:rFonts w:asciiTheme="minorHAnsi" w:hAnsiTheme="minorHAnsi" w:cs="Times New Roman"/>
          <w:lang w:val="hr-HR"/>
        </w:rPr>
        <w:tab/>
        <w:t xml:space="preserve">opseg joj je ograničen. </w:t>
      </w:r>
    </w:p>
    <w:p w14:paraId="07984BD7" w14:textId="293B5727" w:rsidR="003B32F5" w:rsidRDefault="00A66942" w:rsidP="00A66942">
      <w:pPr>
        <w:pStyle w:val="ListParagraph"/>
        <w:spacing w:after="0" w:line="240" w:lineRule="auto"/>
        <w:jc w:val="both"/>
        <w:rPr>
          <w:rFonts w:asciiTheme="minorHAnsi" w:hAnsiTheme="minorHAnsi" w:cs="Times New Roman"/>
          <w:lang w:val="hr-HR"/>
        </w:rPr>
      </w:pPr>
      <w:r w:rsidRPr="00A66942">
        <w:rPr>
          <w:rFonts w:asciiTheme="minorHAnsi" w:hAnsiTheme="minorHAnsi" w:cs="Times New Roman"/>
          <w:lang w:val="hr-HR"/>
        </w:rPr>
        <w:t>To je slučaj ako ekonomske djelatnosti troše potpuno jednake inpute (primjerice materijal, oprema, radna snaga i fiksni kapital) kao i neekonomske djelatnosti, a kapaciteti koji se svake godine dodjeljuju tim ekonomskim djelatnostima ne premašuju 20% ukupnih godišnjih kapaciteta predmetnog subjekta</w:t>
      </w:r>
      <w:r>
        <w:rPr>
          <w:rStyle w:val="FootnoteReference"/>
          <w:rFonts w:asciiTheme="minorHAnsi" w:hAnsiTheme="minorHAnsi" w:cs="Times New Roman"/>
          <w:lang w:val="hr-HR"/>
        </w:rPr>
        <w:footnoteReference w:id="5"/>
      </w:r>
      <w:r w:rsidRPr="00A66942">
        <w:rPr>
          <w:rFonts w:asciiTheme="minorHAnsi" w:hAnsiTheme="minorHAnsi" w:cs="Times New Roman"/>
          <w:lang w:val="hr-HR"/>
        </w:rPr>
        <w:t>.</w:t>
      </w:r>
    </w:p>
    <w:p w14:paraId="6C3BDC27" w14:textId="77777777" w:rsidR="00CC1F30" w:rsidRDefault="00CC1F30" w:rsidP="00DF1CE0">
      <w:pPr>
        <w:rPr>
          <w:lang w:val="hr-HR"/>
        </w:rPr>
      </w:pPr>
    </w:p>
    <w:p w14:paraId="59D8DCBC" w14:textId="77777777" w:rsidR="00A84DEA" w:rsidRDefault="00A84DEA" w:rsidP="00DF1CE0">
      <w:pPr>
        <w:rPr>
          <w:lang w:val="hr-HR"/>
        </w:rPr>
      </w:pPr>
    </w:p>
    <w:p w14:paraId="6F991068" w14:textId="77777777" w:rsidR="00A84DEA" w:rsidRDefault="00A84DEA" w:rsidP="00DF1CE0">
      <w:pPr>
        <w:rPr>
          <w:lang w:val="hr-HR"/>
        </w:rPr>
      </w:pPr>
      <w:bookmarkStart w:id="0" w:name="_GoBack"/>
      <w:bookmarkEnd w:id="0"/>
    </w:p>
    <w:p w14:paraId="2A00478F" w14:textId="77777777" w:rsidR="001236F6" w:rsidRDefault="001236F6" w:rsidP="00773C26">
      <w:pPr>
        <w:pStyle w:val="ListParagraph"/>
        <w:spacing w:after="0" w:line="240" w:lineRule="auto"/>
        <w:ind w:left="0"/>
        <w:jc w:val="center"/>
        <w:rPr>
          <w:rFonts w:asciiTheme="minorHAnsi" w:hAnsiTheme="minorHAnsi" w:cs="Times New Roman"/>
          <w:b/>
          <w:lang w:val="hr-HR"/>
        </w:rPr>
      </w:pPr>
    </w:p>
    <w:p w14:paraId="0C594CC1" w14:textId="58E22D47" w:rsidR="00773C26" w:rsidRPr="00773C26" w:rsidRDefault="00773C26" w:rsidP="00773C26">
      <w:pPr>
        <w:pStyle w:val="ListParagraph"/>
        <w:spacing w:after="0" w:line="240" w:lineRule="auto"/>
        <w:ind w:left="0"/>
        <w:jc w:val="center"/>
        <w:rPr>
          <w:rFonts w:asciiTheme="minorHAnsi" w:hAnsiTheme="minorHAnsi" w:cs="Times New Roman"/>
          <w:b/>
          <w:lang w:val="hr-HR"/>
        </w:rPr>
      </w:pPr>
      <w:r w:rsidRPr="00773C26">
        <w:rPr>
          <w:rFonts w:asciiTheme="minorHAnsi" w:hAnsiTheme="minorHAnsi" w:cs="Times New Roman"/>
          <w:b/>
          <w:lang w:val="hr-HR"/>
        </w:rPr>
        <w:t>IZVJEŠTAVANJE, KONTROLE I POVRATI</w:t>
      </w:r>
    </w:p>
    <w:p w14:paraId="0CAB86F9" w14:textId="77777777" w:rsidR="00773C26" w:rsidRDefault="00773C26" w:rsidP="00DF1CE0">
      <w:pPr>
        <w:rPr>
          <w:lang w:val="hr-HR"/>
        </w:rPr>
      </w:pPr>
    </w:p>
    <w:p w14:paraId="7B6884D1" w14:textId="03D0041D" w:rsidR="00773C26" w:rsidRPr="00773C26" w:rsidRDefault="00773C26" w:rsidP="00773C26">
      <w:pPr>
        <w:spacing w:after="0" w:line="240" w:lineRule="auto"/>
        <w:jc w:val="both"/>
        <w:rPr>
          <w:rFonts w:asciiTheme="minorHAnsi" w:hAnsiTheme="minorHAnsi" w:cs="Times New Roman"/>
          <w:lang w:val="hr-HR"/>
        </w:rPr>
      </w:pPr>
      <w:r w:rsidRPr="00773C26">
        <w:rPr>
          <w:rFonts w:asciiTheme="minorHAnsi" w:hAnsiTheme="minorHAnsi" w:cs="Times New Roman"/>
          <w:lang w:val="hr-HR"/>
        </w:rPr>
        <w:t xml:space="preserve">Vezano za pomoćne djelatnosti, prijavitelj/korisnik će morati dostavljati </w:t>
      </w:r>
      <w:r w:rsidRPr="00773C26">
        <w:rPr>
          <w:rFonts w:asciiTheme="minorHAnsi" w:hAnsiTheme="minorHAnsi" w:cs="Times New Roman"/>
          <w:b/>
          <w:lang w:val="hr-HR"/>
        </w:rPr>
        <w:t>godišnja izvješća</w:t>
      </w:r>
      <w:r w:rsidRPr="00773C26">
        <w:rPr>
          <w:rFonts w:asciiTheme="minorHAnsi" w:hAnsiTheme="minorHAnsi" w:cs="Times New Roman"/>
          <w:lang w:val="hr-HR"/>
        </w:rPr>
        <w:t xml:space="preserve"> s opisom koliko je radnih sati predmetnog subjekta opremljenog u okviru projekta (npr. istraživačkog centra, laboratorija, ustrojstvene jedinice) u vidu korištenja znanstveno-istraživačke opreme, utrošeno na neekonomske i pomoćne ekonomske djelatnosti</w:t>
      </w:r>
      <w:r w:rsidR="00906E56">
        <w:rPr>
          <w:rFonts w:asciiTheme="minorHAnsi" w:hAnsiTheme="minorHAnsi" w:cs="Times New Roman"/>
          <w:lang w:val="hr-HR"/>
        </w:rPr>
        <w:t xml:space="preserve"> </w:t>
      </w:r>
      <w:r w:rsidR="00906E56" w:rsidRPr="00773C26">
        <w:rPr>
          <w:rFonts w:asciiTheme="minorHAnsi" w:hAnsiTheme="minorHAnsi" w:cs="Times New Roman"/>
          <w:lang w:val="hr-HR"/>
        </w:rPr>
        <w:t>(točka 9.2. članka 9. Ugovora o dodjeli bespovratnih sredstava za projekte koji se financiraju iz EU fondova u financijskom razdoblju 2014.-2020.).</w:t>
      </w:r>
      <w:r w:rsidRPr="00773C26">
        <w:rPr>
          <w:rFonts w:asciiTheme="minorHAnsi" w:hAnsiTheme="minorHAnsi" w:cs="Times New Roman"/>
          <w:lang w:val="hr-HR"/>
        </w:rPr>
        <w:t xml:space="preserve"> </w:t>
      </w:r>
      <w:r w:rsidR="00906E56">
        <w:rPr>
          <w:rFonts w:asciiTheme="minorHAnsi" w:hAnsiTheme="minorHAnsi" w:cs="Times New Roman"/>
          <w:lang w:val="hr-HR"/>
        </w:rPr>
        <w:t>Uz i</w:t>
      </w:r>
      <w:r w:rsidRPr="00773C26">
        <w:rPr>
          <w:rFonts w:asciiTheme="minorHAnsi" w:hAnsiTheme="minorHAnsi" w:cs="Times New Roman"/>
          <w:lang w:val="hr-HR"/>
        </w:rPr>
        <w:t xml:space="preserve">zvješće Prijavitelj će morati dostaviti </w:t>
      </w:r>
      <w:r w:rsidRPr="00773C26">
        <w:rPr>
          <w:rFonts w:asciiTheme="minorHAnsi" w:hAnsiTheme="minorHAnsi" w:cs="Times New Roman"/>
          <w:b/>
          <w:lang w:val="hr-HR"/>
        </w:rPr>
        <w:t>očevidnik</w:t>
      </w:r>
      <w:r w:rsidRPr="00773C26">
        <w:rPr>
          <w:rFonts w:asciiTheme="minorHAnsi" w:hAnsiTheme="minorHAnsi" w:cs="Times New Roman"/>
          <w:lang w:val="hr-HR"/>
        </w:rPr>
        <w:t xml:space="preserve"> korištenja predmetnog subjekta na kojem će biti iskazan broj radnih sati koji se na godišnjoj razini koriste za neekonomske i ekonomske djelatnosti. Izvještajno razdoblje počinje teći danom završetka provedbe projekta i traje do isteka roka za amortizaciju.</w:t>
      </w:r>
    </w:p>
    <w:p w14:paraId="4E2CF45C" w14:textId="6407C373" w:rsidR="00980E00" w:rsidRPr="00773C26" w:rsidRDefault="00773C26" w:rsidP="00D634AE">
      <w:pPr>
        <w:spacing w:after="0" w:line="240" w:lineRule="auto"/>
        <w:jc w:val="both"/>
        <w:rPr>
          <w:rFonts w:asciiTheme="minorHAnsi" w:hAnsiTheme="minorHAnsi" w:cs="Times New Roman"/>
          <w:lang w:val="hr-HR"/>
        </w:rPr>
      </w:pPr>
      <w:r w:rsidRPr="00773C26">
        <w:rPr>
          <w:rFonts w:asciiTheme="minorHAnsi" w:hAnsiTheme="minorHAnsi" w:cs="Times New Roman"/>
          <w:lang w:val="hr-HR"/>
        </w:rPr>
        <w:t xml:space="preserve">Ukoliko dođe do toga da prijavitelj više od 20% kapaciteta predmetnog subjekta (npr. istraživačkog centra, laboratorija, ustrojstvene jedinice) godišnje iskoristi za ekonomske aktivnosti, </w:t>
      </w:r>
      <w:r w:rsidRPr="00773C26">
        <w:rPr>
          <w:rFonts w:asciiTheme="minorHAnsi" w:hAnsiTheme="minorHAnsi" w:cs="Times New Roman"/>
          <w:b/>
          <w:lang w:val="hr-HR"/>
        </w:rPr>
        <w:t>mora doći do povrata dijela sredstava</w:t>
      </w:r>
      <w:r w:rsidRPr="00773C26">
        <w:rPr>
          <w:rFonts w:asciiTheme="minorHAnsi" w:hAnsiTheme="minorHAnsi" w:cs="Times New Roman"/>
          <w:lang w:val="hr-HR"/>
        </w:rPr>
        <w:t xml:space="preserve"> u iznosu koji je sukladan omjeru tih ekonomskih aktivnosti.</w:t>
      </w:r>
    </w:p>
    <w:p w14:paraId="01E2E378" w14:textId="77777777" w:rsidR="00CC1F30" w:rsidRPr="00773C26" w:rsidRDefault="00CC1F30" w:rsidP="00773C26">
      <w:pPr>
        <w:spacing w:after="0" w:line="240" w:lineRule="auto"/>
        <w:jc w:val="both"/>
        <w:rPr>
          <w:rFonts w:asciiTheme="minorHAnsi" w:hAnsiTheme="minorHAnsi" w:cs="Times New Roman"/>
          <w:lang w:val="hr-HR"/>
        </w:rPr>
      </w:pPr>
    </w:p>
    <w:p w14:paraId="6288870A" w14:textId="4A7EF5B5" w:rsidR="00BD0154" w:rsidRPr="00773C26" w:rsidRDefault="00773C26" w:rsidP="00773C26">
      <w:pPr>
        <w:spacing w:after="0" w:line="240" w:lineRule="auto"/>
        <w:jc w:val="both"/>
        <w:rPr>
          <w:rFonts w:asciiTheme="minorHAnsi" w:hAnsiTheme="minorHAnsi" w:cs="Times New Roman"/>
          <w:lang w:val="hr-HR"/>
        </w:rPr>
      </w:pPr>
      <w:r w:rsidRPr="00773C26">
        <w:rPr>
          <w:rFonts w:asciiTheme="minorHAnsi" w:hAnsiTheme="minorHAnsi" w:cs="Times New Roman"/>
          <w:lang w:val="hr-HR"/>
        </w:rPr>
        <w:t xml:space="preserve">U slučaju da se prijavitelj bavi i ekonomskim i neekonomskim djelatnostima, mora </w:t>
      </w:r>
      <w:r w:rsidRPr="00D634AE">
        <w:rPr>
          <w:rFonts w:asciiTheme="minorHAnsi" w:hAnsiTheme="minorHAnsi" w:cs="Times New Roman"/>
          <w:b/>
          <w:lang w:val="hr-HR"/>
        </w:rPr>
        <w:t>odvojeno voditi dvije vrste djelatnosti</w:t>
      </w:r>
      <w:r w:rsidRPr="00773C26">
        <w:rPr>
          <w:rFonts w:asciiTheme="minorHAnsi" w:hAnsiTheme="minorHAnsi" w:cs="Times New Roman"/>
          <w:lang w:val="hr-HR"/>
        </w:rPr>
        <w:t xml:space="preserve">, njihove troškove, financiranje i prihode, te dostaviti godišnje financijske izvještaje iz kojih je to vidljivo. Navedena izvješća se dostavljaju uz i u roku propisanom za </w:t>
      </w:r>
      <w:r w:rsidR="00D634AE">
        <w:rPr>
          <w:rFonts w:asciiTheme="minorHAnsi" w:hAnsiTheme="minorHAnsi" w:cs="Times New Roman"/>
          <w:lang w:val="hr-HR"/>
        </w:rPr>
        <w:t>godišnja i</w:t>
      </w:r>
      <w:r w:rsidR="00D634AE" w:rsidRPr="00773C26">
        <w:rPr>
          <w:rFonts w:asciiTheme="minorHAnsi" w:hAnsiTheme="minorHAnsi" w:cs="Times New Roman"/>
          <w:lang w:val="hr-HR"/>
        </w:rPr>
        <w:t xml:space="preserve">zvješća </w:t>
      </w:r>
      <w:r w:rsidRPr="00773C26">
        <w:rPr>
          <w:rFonts w:asciiTheme="minorHAnsi" w:hAnsiTheme="minorHAnsi" w:cs="Times New Roman"/>
          <w:lang w:val="hr-HR"/>
        </w:rPr>
        <w:t>o korištenju kapaciteta.</w:t>
      </w:r>
    </w:p>
    <w:p w14:paraId="13CE675E" w14:textId="77777777" w:rsidR="00A66942" w:rsidRPr="00D634AE" w:rsidRDefault="00A66942" w:rsidP="00D634AE">
      <w:pPr>
        <w:spacing w:after="0" w:line="240" w:lineRule="auto"/>
        <w:jc w:val="both"/>
        <w:rPr>
          <w:rFonts w:asciiTheme="minorHAnsi" w:hAnsiTheme="minorHAnsi" w:cs="Times New Roman"/>
          <w:lang w:val="hr-HR"/>
        </w:rPr>
      </w:pPr>
    </w:p>
    <w:p w14:paraId="46C27C1F" w14:textId="284423C8" w:rsidR="00641F26" w:rsidRPr="00D634AE" w:rsidRDefault="00641F26" w:rsidP="00D634AE">
      <w:pPr>
        <w:spacing w:after="0" w:line="240" w:lineRule="auto"/>
        <w:jc w:val="both"/>
        <w:rPr>
          <w:rFonts w:asciiTheme="minorHAnsi" w:hAnsiTheme="minorHAnsi" w:cs="Times New Roman"/>
          <w:lang w:val="hr-HR"/>
        </w:rPr>
      </w:pPr>
      <w:r w:rsidRPr="00D634AE">
        <w:rPr>
          <w:rFonts w:asciiTheme="minorHAnsi" w:hAnsiTheme="minorHAnsi" w:cs="Times New Roman"/>
          <w:lang w:val="hr-HR"/>
        </w:rPr>
        <w:t>Nepoštivanj</w:t>
      </w:r>
      <w:r w:rsidR="00177039" w:rsidRPr="00D634AE">
        <w:rPr>
          <w:rFonts w:asciiTheme="minorHAnsi" w:hAnsiTheme="minorHAnsi" w:cs="Times New Roman"/>
          <w:lang w:val="hr-HR"/>
        </w:rPr>
        <w:t>e</w:t>
      </w:r>
      <w:r w:rsidRPr="00D634AE">
        <w:rPr>
          <w:rFonts w:asciiTheme="minorHAnsi" w:hAnsiTheme="minorHAnsi" w:cs="Times New Roman"/>
          <w:lang w:val="hr-HR"/>
        </w:rPr>
        <w:t xml:space="preserve"> pravila o državnim potporama tijekom i nakon provedbe projekta dovodi do materijalne i</w:t>
      </w:r>
      <w:r w:rsidR="009D73E7" w:rsidRPr="00D634AE">
        <w:rPr>
          <w:rFonts w:asciiTheme="minorHAnsi" w:hAnsiTheme="minorHAnsi" w:cs="Times New Roman"/>
          <w:lang w:val="hr-HR"/>
        </w:rPr>
        <w:t xml:space="preserve"> kaznene odgovornosti korisnika</w:t>
      </w:r>
      <w:r w:rsidRPr="00D634AE">
        <w:rPr>
          <w:rFonts w:asciiTheme="minorHAnsi" w:hAnsiTheme="minorHAnsi" w:cs="Times New Roman"/>
          <w:lang w:val="hr-HR"/>
        </w:rPr>
        <w:t xml:space="preserve"> te će biti razlogom postupanja nadležnih tijela. </w:t>
      </w:r>
    </w:p>
    <w:p w14:paraId="671FB77F" w14:textId="77777777" w:rsidR="00C923BC" w:rsidRPr="00BB1395" w:rsidRDefault="00C923BC" w:rsidP="00DA73AF">
      <w:pPr>
        <w:pStyle w:val="ListParagraph"/>
        <w:jc w:val="both"/>
        <w:rPr>
          <w:rFonts w:asciiTheme="minorHAnsi" w:hAnsiTheme="minorHAnsi" w:cs="Times New Roman"/>
          <w:lang w:val="hr-HR"/>
        </w:rPr>
      </w:pPr>
    </w:p>
    <w:p w14:paraId="6F4CABAB" w14:textId="3FE4F85C" w:rsidR="00FD46E6" w:rsidRPr="00177039" w:rsidRDefault="00FD46E6" w:rsidP="00C51DF1">
      <w:pPr>
        <w:spacing w:before="120" w:after="120"/>
        <w:jc w:val="both"/>
        <w:rPr>
          <w:rFonts w:asciiTheme="minorHAnsi" w:hAnsiTheme="minorHAnsi" w:cs="Times New Roman"/>
          <w:lang w:val="hr-HR"/>
        </w:rPr>
      </w:pPr>
    </w:p>
    <w:sectPr w:rsidR="00FD46E6" w:rsidRPr="0017703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4CD87" w14:textId="77777777" w:rsidR="005942B8" w:rsidRDefault="005942B8" w:rsidP="00A65695">
      <w:pPr>
        <w:spacing w:after="0" w:line="240" w:lineRule="auto"/>
      </w:pPr>
      <w:r>
        <w:separator/>
      </w:r>
    </w:p>
  </w:endnote>
  <w:endnote w:type="continuationSeparator" w:id="0">
    <w:p w14:paraId="47CA7F04" w14:textId="77777777" w:rsidR="005942B8" w:rsidRDefault="005942B8" w:rsidP="00A65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796214"/>
      <w:docPartObj>
        <w:docPartGallery w:val="Page Numbers (Bottom of Page)"/>
        <w:docPartUnique/>
      </w:docPartObj>
    </w:sdtPr>
    <w:sdtEndPr/>
    <w:sdtContent>
      <w:p w14:paraId="77BCFB49" w14:textId="22C02F32" w:rsidR="00A65695" w:rsidRDefault="00A65695">
        <w:pPr>
          <w:pStyle w:val="Footer"/>
          <w:jc w:val="right"/>
        </w:pPr>
        <w:r>
          <w:fldChar w:fldCharType="begin"/>
        </w:r>
        <w:r>
          <w:instrText>PAGE   \* MERGEFORMAT</w:instrText>
        </w:r>
        <w:r>
          <w:fldChar w:fldCharType="separate"/>
        </w:r>
        <w:r w:rsidR="00A84DEA" w:rsidRPr="00A84DEA">
          <w:rPr>
            <w:noProof/>
            <w:lang w:val="pl-PL"/>
          </w:rPr>
          <w:t>4</w:t>
        </w:r>
        <w:r>
          <w:fldChar w:fldCharType="end"/>
        </w:r>
      </w:p>
    </w:sdtContent>
  </w:sdt>
  <w:p w14:paraId="28012651" w14:textId="77777777" w:rsidR="00A65695" w:rsidRDefault="00A656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862AD" w14:textId="77777777" w:rsidR="005942B8" w:rsidRDefault="005942B8" w:rsidP="00A65695">
      <w:pPr>
        <w:spacing w:after="0" w:line="240" w:lineRule="auto"/>
      </w:pPr>
      <w:r>
        <w:separator/>
      </w:r>
    </w:p>
  </w:footnote>
  <w:footnote w:type="continuationSeparator" w:id="0">
    <w:p w14:paraId="1D321E15" w14:textId="77777777" w:rsidR="005942B8" w:rsidRDefault="005942B8" w:rsidP="00A65695">
      <w:pPr>
        <w:spacing w:after="0" w:line="240" w:lineRule="auto"/>
      </w:pPr>
      <w:r>
        <w:continuationSeparator/>
      </w:r>
    </w:p>
  </w:footnote>
  <w:footnote w:id="1">
    <w:p w14:paraId="12B3775B" w14:textId="77777777" w:rsidR="00EC094D" w:rsidRPr="00524420" w:rsidRDefault="00EC094D" w:rsidP="00EC094D">
      <w:pPr>
        <w:pStyle w:val="FootnoteText"/>
        <w:jc w:val="both"/>
        <w:rPr>
          <w:rFonts w:asciiTheme="minorHAnsi" w:hAnsiTheme="minorHAnsi"/>
          <w:sz w:val="16"/>
          <w:szCs w:val="16"/>
          <w:lang w:val="hr-HR"/>
        </w:rPr>
      </w:pPr>
      <w:r w:rsidRPr="00BB1395">
        <w:rPr>
          <w:rStyle w:val="FootnoteReference"/>
          <w:rFonts w:asciiTheme="minorHAnsi" w:hAnsiTheme="minorHAnsi"/>
          <w:sz w:val="16"/>
          <w:szCs w:val="16"/>
          <w:lang w:val="hr-HR"/>
        </w:rPr>
        <w:footnoteRef/>
      </w:r>
      <w:r w:rsidRPr="00BB1395">
        <w:rPr>
          <w:rFonts w:asciiTheme="minorHAnsi" w:hAnsiTheme="minorHAnsi"/>
          <w:sz w:val="16"/>
          <w:szCs w:val="16"/>
          <w:lang w:val="hr-HR"/>
        </w:rPr>
        <w:t xml:space="preserve"> Prvi stavak članka 107. Ugovora o funkcioniranju Europske unije određuje elemente državne potpore navodeći da „svaka potpora koju dodijeli država članica ili koja se dodjeljuje putem državnih sredstava u bilo kojem obliku kojim se narušava ili prijeti da će narušiti tržišno natjecanje stavljanjem određenih poduzetnika ili proizvodnje određene robe u povoljniji položaj, nespojiva je s unutarnjim tržištem u mjeri u kojoj utječe na trgovinu među državama članicama", Ugovor o funkcioniranju Europske unije (UFEU, konsolidirana verzija, SL C 115/47, 9.5.2008).</w:t>
      </w:r>
    </w:p>
  </w:footnote>
  <w:footnote w:id="2">
    <w:p w14:paraId="11936A91" w14:textId="02C2A6B3" w:rsidR="00FD2801" w:rsidRPr="00BB1395" w:rsidRDefault="00FD2801" w:rsidP="00FD2801">
      <w:pPr>
        <w:pStyle w:val="FootnoteText"/>
        <w:jc w:val="both"/>
        <w:rPr>
          <w:rFonts w:asciiTheme="minorHAnsi" w:hAnsiTheme="minorHAnsi"/>
          <w:sz w:val="16"/>
          <w:szCs w:val="16"/>
          <w:lang w:val="hr-HR"/>
        </w:rPr>
      </w:pPr>
      <w:r w:rsidRPr="008713EB">
        <w:rPr>
          <w:rStyle w:val="FootnoteReference"/>
          <w:rFonts w:asciiTheme="minorHAnsi" w:hAnsiTheme="minorHAnsi"/>
          <w:sz w:val="16"/>
          <w:szCs w:val="16"/>
          <w:lang w:val="hr-HR"/>
        </w:rPr>
        <w:footnoteRef/>
      </w:r>
      <w:hyperlink r:id="rId1" w:history="1">
        <w:r w:rsidRPr="00BB1395">
          <w:rPr>
            <w:rStyle w:val="Hyperlink"/>
            <w:rFonts w:asciiTheme="minorHAnsi" w:hAnsiTheme="minorHAnsi"/>
            <w:sz w:val="16"/>
            <w:szCs w:val="16"/>
            <w:lang w:val="hr-HR"/>
          </w:rPr>
          <w:t>http://eur-lex.europa.eu/legal-content/HR/TXT/PDF/?uri=CELEX:52014XC0627(01)&amp;from=HR</w:t>
        </w:r>
      </w:hyperlink>
    </w:p>
    <w:p w14:paraId="5F6BF911" w14:textId="74A9E88C" w:rsidR="00FD2801" w:rsidRPr="00BB1395" w:rsidRDefault="00FD2801" w:rsidP="00FD2801">
      <w:pPr>
        <w:pStyle w:val="FootnoteText"/>
        <w:jc w:val="both"/>
        <w:rPr>
          <w:rFonts w:asciiTheme="minorHAnsi" w:hAnsiTheme="minorHAnsi"/>
          <w:sz w:val="16"/>
          <w:szCs w:val="16"/>
          <w:lang w:val="hr-HR"/>
        </w:rPr>
      </w:pPr>
    </w:p>
  </w:footnote>
  <w:footnote w:id="3">
    <w:p w14:paraId="78A4D36D" w14:textId="721B86C6" w:rsidR="004156B6" w:rsidRPr="006B0C26" w:rsidRDefault="004156B6" w:rsidP="004156B6">
      <w:pPr>
        <w:pStyle w:val="FootnoteText"/>
        <w:jc w:val="both"/>
        <w:rPr>
          <w:rFonts w:asciiTheme="minorHAnsi" w:hAnsiTheme="minorHAnsi"/>
          <w:sz w:val="16"/>
          <w:szCs w:val="16"/>
          <w:lang w:val="hr-HR"/>
        </w:rPr>
      </w:pPr>
      <w:r w:rsidRPr="006B0C26">
        <w:rPr>
          <w:rStyle w:val="FootnoteReference"/>
          <w:rFonts w:asciiTheme="minorHAnsi" w:hAnsiTheme="minorHAnsi"/>
          <w:sz w:val="16"/>
          <w:szCs w:val="16"/>
        </w:rPr>
        <w:footnoteRef/>
      </w:r>
      <w:r w:rsidRPr="006B0C26">
        <w:rPr>
          <w:rFonts w:asciiTheme="minorHAnsi" w:hAnsiTheme="minorHAnsi"/>
          <w:sz w:val="16"/>
          <w:szCs w:val="16"/>
          <w:lang w:val="hr-HR"/>
        </w:rPr>
        <w:t xml:space="preserve"> Potrebno je napomenuti da ovo ne obuhvaća izobrazbu radne snage koja, kako je definirano u pravilima za državne potpore za usavršavanje, ne predstavlja neekonomsku primarnu djelatnost/aktivnost istraživačkih organizacija. Vidi čl. 31 Uredbe Komisije(EU) br. 651/2014</w:t>
      </w:r>
      <w:r>
        <w:rPr>
          <w:rFonts w:asciiTheme="minorHAnsi" w:hAnsiTheme="minorHAnsi"/>
          <w:sz w:val="16"/>
          <w:szCs w:val="16"/>
          <w:lang w:val="hr-HR"/>
        </w:rPr>
        <w:t xml:space="preserve"> </w:t>
      </w:r>
      <w:r w:rsidRPr="006B0C26">
        <w:rPr>
          <w:rFonts w:asciiTheme="minorHAnsi" w:hAnsiTheme="minorHAnsi"/>
          <w:sz w:val="16"/>
          <w:szCs w:val="16"/>
          <w:lang w:val="hr-HR"/>
        </w:rPr>
        <w:t>od 17. lipnja 2014.</w:t>
      </w:r>
      <w:r>
        <w:rPr>
          <w:rFonts w:asciiTheme="minorHAnsi" w:hAnsiTheme="minorHAnsi"/>
          <w:sz w:val="16"/>
          <w:szCs w:val="16"/>
          <w:lang w:val="hr-HR"/>
        </w:rPr>
        <w:t xml:space="preserve"> </w:t>
      </w:r>
      <w:r w:rsidRPr="006B0C26">
        <w:rPr>
          <w:rFonts w:asciiTheme="minorHAnsi" w:hAnsiTheme="minorHAnsi"/>
          <w:sz w:val="16"/>
          <w:szCs w:val="16"/>
          <w:lang w:val="hr-HR"/>
        </w:rPr>
        <w:t>u kojem se navode određene kategorije potpora koje su spojive s unutarnjim tržištem u primjeni članaka 107. i 108. Ugovora (OJ L 187, 26.</w:t>
      </w:r>
      <w:r>
        <w:rPr>
          <w:rFonts w:asciiTheme="minorHAnsi" w:hAnsiTheme="minorHAnsi"/>
          <w:sz w:val="16"/>
          <w:szCs w:val="16"/>
          <w:lang w:val="hr-HR"/>
        </w:rPr>
        <w:t xml:space="preserve"> </w:t>
      </w:r>
      <w:r w:rsidRPr="006B0C26">
        <w:rPr>
          <w:rFonts w:asciiTheme="minorHAnsi" w:hAnsiTheme="minorHAnsi"/>
          <w:sz w:val="16"/>
          <w:szCs w:val="16"/>
          <w:lang w:val="hr-HR"/>
        </w:rPr>
        <w:t>6.</w:t>
      </w:r>
      <w:r>
        <w:rPr>
          <w:rFonts w:asciiTheme="minorHAnsi" w:hAnsiTheme="minorHAnsi"/>
          <w:sz w:val="16"/>
          <w:szCs w:val="16"/>
          <w:lang w:val="hr-HR"/>
        </w:rPr>
        <w:t xml:space="preserve"> </w:t>
      </w:r>
      <w:r w:rsidRPr="006B0C26">
        <w:rPr>
          <w:rFonts w:asciiTheme="minorHAnsi" w:hAnsiTheme="minorHAnsi"/>
          <w:sz w:val="16"/>
          <w:szCs w:val="16"/>
          <w:lang w:val="hr-HR"/>
        </w:rPr>
        <w:t>2014,</w:t>
      </w:r>
      <w:r>
        <w:rPr>
          <w:rFonts w:asciiTheme="minorHAnsi" w:hAnsiTheme="minorHAnsi"/>
          <w:sz w:val="16"/>
          <w:szCs w:val="16"/>
          <w:lang w:val="hr-HR"/>
        </w:rPr>
        <w:t xml:space="preserve"> </w:t>
      </w:r>
      <w:r w:rsidRPr="006B0C26">
        <w:rPr>
          <w:rFonts w:asciiTheme="minorHAnsi" w:hAnsiTheme="minorHAnsi"/>
          <w:sz w:val="16"/>
          <w:szCs w:val="16"/>
          <w:lang w:val="hr-HR"/>
        </w:rPr>
        <w:t>str. 1).</w:t>
      </w:r>
    </w:p>
  </w:footnote>
  <w:footnote w:id="4">
    <w:p w14:paraId="665001E5" w14:textId="77777777" w:rsidR="004156B6" w:rsidRPr="007D64F2" w:rsidRDefault="004156B6" w:rsidP="004156B6">
      <w:pPr>
        <w:pStyle w:val="FootnoteText"/>
        <w:jc w:val="both"/>
        <w:rPr>
          <w:rFonts w:asciiTheme="minorHAnsi" w:hAnsiTheme="minorHAnsi"/>
          <w:sz w:val="16"/>
          <w:szCs w:val="16"/>
          <w:lang w:val="hr-HR"/>
        </w:rPr>
      </w:pPr>
      <w:r w:rsidRPr="006B0C26">
        <w:rPr>
          <w:rStyle w:val="FootnoteReference"/>
          <w:rFonts w:asciiTheme="minorHAnsi" w:hAnsiTheme="minorHAnsi"/>
          <w:sz w:val="16"/>
          <w:szCs w:val="16"/>
          <w:lang w:val="hr-HR"/>
        </w:rPr>
        <w:footnoteRef/>
      </w:r>
      <w:r w:rsidRPr="006B0C26">
        <w:rPr>
          <w:rFonts w:asciiTheme="minorHAnsi" w:hAnsiTheme="minorHAnsi"/>
          <w:sz w:val="16"/>
          <w:szCs w:val="16"/>
          <w:lang w:val="hr-HR"/>
        </w:rPr>
        <w:t xml:space="preserve"> Prema Okviru Zajednice, prijenos znanja znači bilo koji proces čiji je cilj stjecanje, prikupljanje i dijeljenje eksplicitnog i prešutnog znanja, uključujući vještine i sposobnosti u ekonomskim i neekonomskim djelatnostima/aktivnostima kao što su istraživačka suradnja, konzalting, licenciranje, osnivanje novih poduzeća, objavljivanje i mobilnost istraživača i drugog osoblja uključenog u te aktivnosti. Uz znanstveno i tehnološko </w:t>
      </w:r>
      <w:r w:rsidRPr="007D64F2">
        <w:rPr>
          <w:rFonts w:asciiTheme="minorHAnsi" w:hAnsiTheme="minorHAnsi"/>
          <w:sz w:val="16"/>
          <w:szCs w:val="16"/>
          <w:lang w:val="hr-HR"/>
        </w:rPr>
        <w:t>znanje, prijenos znanja uključuje i druge oblike znanja, primjerice znanje o uporabi standarda i propisa koji ih sadržavaju te o uvjetima u stvarnim radnim okruženjima i metodama za inovaciju organizacije poslovanja te upravljanje znanjem povezanim s utvrđivanjem, stjecanjem, zaštitom, obranom i iskorištavanjem nematerijalne imovine.</w:t>
      </w:r>
    </w:p>
  </w:footnote>
  <w:footnote w:id="5">
    <w:p w14:paraId="6B8C5F7A" w14:textId="0E3C0C1B" w:rsidR="00A66942" w:rsidRPr="00A66942" w:rsidRDefault="00A66942" w:rsidP="00A66942">
      <w:pPr>
        <w:pStyle w:val="FootnoteText"/>
        <w:jc w:val="both"/>
        <w:rPr>
          <w:rFonts w:asciiTheme="minorHAnsi" w:hAnsiTheme="minorHAnsi"/>
          <w:sz w:val="16"/>
          <w:szCs w:val="16"/>
          <w:lang w:val="hr-HR"/>
        </w:rPr>
      </w:pPr>
      <w:r w:rsidRPr="00A66942">
        <w:rPr>
          <w:rFonts w:asciiTheme="minorHAnsi" w:hAnsiTheme="minorHAnsi"/>
          <w:sz w:val="16"/>
          <w:szCs w:val="16"/>
        </w:rPr>
        <w:footnoteRef/>
      </w:r>
      <w:r w:rsidRPr="00A66942">
        <w:rPr>
          <w:rFonts w:asciiTheme="minorHAnsi" w:hAnsiTheme="minorHAnsi"/>
          <w:sz w:val="16"/>
          <w:szCs w:val="16"/>
          <w:lang w:val="hr-HR"/>
        </w:rPr>
        <w:t xml:space="preserve">   Predmetni subjekt se odnosi na npr. istraživački centar, laboratorij, zavod, ustrojstvenu jedinicu </w:t>
      </w:r>
      <w:r>
        <w:rPr>
          <w:rFonts w:asciiTheme="minorHAnsi" w:hAnsiTheme="minorHAnsi"/>
          <w:sz w:val="16"/>
          <w:szCs w:val="16"/>
          <w:lang w:val="hr-HR"/>
        </w:rPr>
        <w:t>za koju</w:t>
      </w:r>
      <w:r w:rsidRPr="00A66942">
        <w:rPr>
          <w:rFonts w:asciiTheme="minorHAnsi" w:hAnsiTheme="minorHAnsi"/>
          <w:sz w:val="16"/>
          <w:szCs w:val="16"/>
          <w:lang w:val="hr-HR"/>
        </w:rPr>
        <w:t xml:space="preserve"> se oprema kupuje. </w:t>
      </w:r>
    </w:p>
    <w:p w14:paraId="648B40B8" w14:textId="1FF3BA10" w:rsidR="00A66942" w:rsidRPr="00A66942" w:rsidRDefault="00A66942" w:rsidP="00A66942">
      <w:pPr>
        <w:pStyle w:val="FootnoteText"/>
        <w:jc w:val="both"/>
        <w:rPr>
          <w:lang w:val="hr-HR"/>
        </w:rPr>
      </w:pPr>
      <w:r w:rsidRPr="00A66942">
        <w:rPr>
          <w:rFonts w:asciiTheme="minorHAnsi" w:hAnsiTheme="minorHAnsi"/>
          <w:sz w:val="16"/>
          <w:szCs w:val="16"/>
          <w:lang w:val="hr-HR"/>
        </w:rPr>
        <w:t>Ukoliko sama oprema može biti zasebno shvaćena kao predmetni subjekt tj. da svrha rada te opreme ne ovisi o drugoj opremi tj, nije sastavni dio veće cjeline onda bi se oprema mogla smatrati predmetnim subjektom za izračun kapaciteta. U suprotnom ukoliko će oprema koja se planira nabaviti biti dio cjeline (tj. da ovisi o radu druge opreme ili će se za svrhu istraživanja koje se provodi koristi kao dio cjeline) onda se ta cjelina uzima kao predmetni subjekt.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B6D01" w14:textId="78C96496" w:rsidR="001236F6" w:rsidRDefault="001236F6" w:rsidP="001236F6">
    <w:pPr>
      <w:pStyle w:val="Header"/>
      <w:rPr>
        <w:rFonts w:ascii="Calibri" w:hAnsi="Calibri"/>
      </w:rPr>
    </w:pPr>
    <w:r>
      <w:rPr>
        <w:noProof/>
        <w:lang w:val="hr-HR" w:eastAsia="hr-HR"/>
      </w:rPr>
      <w:drawing>
        <wp:inline distT="0" distB="0" distL="0" distR="0" wp14:anchorId="008114E6" wp14:editId="22476DD4">
          <wp:extent cx="5756910" cy="78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87400"/>
                  </a:xfrm>
                  <a:prstGeom prst="rect">
                    <a:avLst/>
                  </a:prstGeom>
                  <a:noFill/>
                  <a:ln>
                    <a:noFill/>
                  </a:ln>
                </pic:spPr>
              </pic:pic>
            </a:graphicData>
          </a:graphic>
        </wp:inline>
      </w:drawing>
    </w:r>
  </w:p>
  <w:p w14:paraId="0FE92F56" w14:textId="01672FCE" w:rsidR="00841455" w:rsidRPr="001236F6" w:rsidRDefault="001236F6" w:rsidP="001236F6">
    <w:pPr>
      <w:jc w:val="center"/>
      <w:rPr>
        <w:i/>
      </w:rPr>
    </w:pPr>
    <w:r>
      <w:rPr>
        <w:i/>
      </w:rPr>
      <w:t>Ovaj poziv se financira iz Europskog fonda za regionalni razvoj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0B8D"/>
    <w:multiLevelType w:val="hybridMultilevel"/>
    <w:tmpl w:val="965CEDD2"/>
    <w:lvl w:ilvl="0" w:tplc="041A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314590"/>
    <w:multiLevelType w:val="multilevel"/>
    <w:tmpl w:val="F24CE9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5447D2"/>
    <w:multiLevelType w:val="hybridMultilevel"/>
    <w:tmpl w:val="CB4A640C"/>
    <w:lvl w:ilvl="0" w:tplc="84646194">
      <w:start w:val="1"/>
      <w:numFmt w:val="bullet"/>
      <w:lvlText w:val="-"/>
      <w:lvlJc w:val="left"/>
      <w:pPr>
        <w:ind w:left="1080" w:hanging="360"/>
      </w:pPr>
      <w:rPr>
        <w:rFonts w:ascii="Corbel" w:eastAsiaTheme="minorHAnsi" w:hAnsi="Corbel"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11C02020"/>
    <w:multiLevelType w:val="hybridMultilevel"/>
    <w:tmpl w:val="520C3012"/>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15:restartNumberingAfterBreak="0">
    <w:nsid w:val="1C53660A"/>
    <w:multiLevelType w:val="hybridMultilevel"/>
    <w:tmpl w:val="BFF82826"/>
    <w:lvl w:ilvl="0" w:tplc="041A000F">
      <w:start w:val="1"/>
      <w:numFmt w:val="decimal"/>
      <w:lvlText w:val="%1."/>
      <w:lvlJc w:val="left"/>
      <w:pPr>
        <w:ind w:left="1077" w:hanging="72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5" w15:restartNumberingAfterBreak="0">
    <w:nsid w:val="2F922736"/>
    <w:multiLevelType w:val="multilevel"/>
    <w:tmpl w:val="B950B78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9CE580C"/>
    <w:multiLevelType w:val="hybridMultilevel"/>
    <w:tmpl w:val="8454312E"/>
    <w:lvl w:ilvl="0" w:tplc="1884D2F2">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B80658D"/>
    <w:multiLevelType w:val="hybridMultilevel"/>
    <w:tmpl w:val="4484CF70"/>
    <w:lvl w:ilvl="0" w:tplc="44C810A0">
      <w:start w:val="1"/>
      <w:numFmt w:val="lowerLetter"/>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8" w15:restartNumberingAfterBreak="0">
    <w:nsid w:val="42905416"/>
    <w:multiLevelType w:val="multilevel"/>
    <w:tmpl w:val="0FB2A1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7BD4E79"/>
    <w:multiLevelType w:val="multilevel"/>
    <w:tmpl w:val="7AD4B1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C471E12"/>
    <w:multiLevelType w:val="multilevel"/>
    <w:tmpl w:val="3E7ED6D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B15F89"/>
    <w:multiLevelType w:val="hybridMultilevel"/>
    <w:tmpl w:val="82383C56"/>
    <w:lvl w:ilvl="0" w:tplc="0415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02503B"/>
    <w:multiLevelType w:val="multilevel"/>
    <w:tmpl w:val="7C681118"/>
    <w:lvl w:ilvl="0">
      <w:start w:val="1"/>
      <w:numFmt w:val="decimal"/>
      <w:lvlText w:val="%1."/>
      <w:lvlJc w:val="left"/>
      <w:pPr>
        <w:ind w:left="720" w:hanging="360"/>
      </w:pPr>
      <w:rPr>
        <w:rFonts w:ascii="Corbel" w:eastAsiaTheme="minorHAnsi" w:hAnsi="Corbel" w:cstheme="minorBidi"/>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1"/>
  </w:num>
  <w:num w:numId="3">
    <w:abstractNumId w:val="12"/>
  </w:num>
  <w:num w:numId="4">
    <w:abstractNumId w:val="2"/>
  </w:num>
  <w:num w:numId="5">
    <w:abstractNumId w:val="6"/>
  </w:num>
  <w:num w:numId="6">
    <w:abstractNumId w:val="7"/>
  </w:num>
  <w:num w:numId="7">
    <w:abstractNumId w:val="4"/>
  </w:num>
  <w:num w:numId="8">
    <w:abstractNumId w:val="0"/>
  </w:num>
  <w:num w:numId="9">
    <w:abstractNumId w:val="10"/>
  </w:num>
  <w:num w:numId="10">
    <w:abstractNumId w:val="8"/>
  </w:num>
  <w:num w:numId="11">
    <w:abstractNumId w:val="1"/>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C7"/>
    <w:rsid w:val="00001F25"/>
    <w:rsid w:val="00004647"/>
    <w:rsid w:val="0000496E"/>
    <w:rsid w:val="000158FE"/>
    <w:rsid w:val="0002340C"/>
    <w:rsid w:val="000253AD"/>
    <w:rsid w:val="00030E89"/>
    <w:rsid w:val="00032730"/>
    <w:rsid w:val="000402DC"/>
    <w:rsid w:val="00043276"/>
    <w:rsid w:val="00050D9D"/>
    <w:rsid w:val="0005665F"/>
    <w:rsid w:val="00056F80"/>
    <w:rsid w:val="00057CE9"/>
    <w:rsid w:val="00071B83"/>
    <w:rsid w:val="00075EEB"/>
    <w:rsid w:val="00080BB9"/>
    <w:rsid w:val="00084F09"/>
    <w:rsid w:val="00090674"/>
    <w:rsid w:val="0009260B"/>
    <w:rsid w:val="000C1ABB"/>
    <w:rsid w:val="000C31AF"/>
    <w:rsid w:val="000C328A"/>
    <w:rsid w:val="000D0FF8"/>
    <w:rsid w:val="000D35B2"/>
    <w:rsid w:val="000D4A93"/>
    <w:rsid w:val="000D7E74"/>
    <w:rsid w:val="000E7FDD"/>
    <w:rsid w:val="000F2263"/>
    <w:rsid w:val="000F4C94"/>
    <w:rsid w:val="0010262D"/>
    <w:rsid w:val="0010371B"/>
    <w:rsid w:val="001116B7"/>
    <w:rsid w:val="001162C6"/>
    <w:rsid w:val="001236F6"/>
    <w:rsid w:val="00130C80"/>
    <w:rsid w:val="00131E9F"/>
    <w:rsid w:val="001528C3"/>
    <w:rsid w:val="00154201"/>
    <w:rsid w:val="00155434"/>
    <w:rsid w:val="00160F83"/>
    <w:rsid w:val="00161404"/>
    <w:rsid w:val="00163276"/>
    <w:rsid w:val="001669E8"/>
    <w:rsid w:val="001707DC"/>
    <w:rsid w:val="001715D6"/>
    <w:rsid w:val="00177039"/>
    <w:rsid w:val="0017716D"/>
    <w:rsid w:val="00191394"/>
    <w:rsid w:val="00196796"/>
    <w:rsid w:val="001977F6"/>
    <w:rsid w:val="001A18CE"/>
    <w:rsid w:val="001B059C"/>
    <w:rsid w:val="001B0D8B"/>
    <w:rsid w:val="001B6325"/>
    <w:rsid w:val="001B70AC"/>
    <w:rsid w:val="001C3B5C"/>
    <w:rsid w:val="001C4206"/>
    <w:rsid w:val="001D2A5A"/>
    <w:rsid w:val="001D5661"/>
    <w:rsid w:val="001D60BD"/>
    <w:rsid w:val="001D656E"/>
    <w:rsid w:val="001E7365"/>
    <w:rsid w:val="001F0808"/>
    <w:rsid w:val="001F1CBD"/>
    <w:rsid w:val="001F26EE"/>
    <w:rsid w:val="001F2C9E"/>
    <w:rsid w:val="001F3D9A"/>
    <w:rsid w:val="00204451"/>
    <w:rsid w:val="00206BF6"/>
    <w:rsid w:val="002178A3"/>
    <w:rsid w:val="00221A02"/>
    <w:rsid w:val="00224C9F"/>
    <w:rsid w:val="00225EF0"/>
    <w:rsid w:val="0023739D"/>
    <w:rsid w:val="00241579"/>
    <w:rsid w:val="00252D90"/>
    <w:rsid w:val="0026308E"/>
    <w:rsid w:val="002639EE"/>
    <w:rsid w:val="0026407F"/>
    <w:rsid w:val="00280091"/>
    <w:rsid w:val="00294ACD"/>
    <w:rsid w:val="00297057"/>
    <w:rsid w:val="002A6D07"/>
    <w:rsid w:val="002C208F"/>
    <w:rsid w:val="002C61B8"/>
    <w:rsid w:val="002C7D0A"/>
    <w:rsid w:val="002D2BD3"/>
    <w:rsid w:val="002D4D49"/>
    <w:rsid w:val="002E3F46"/>
    <w:rsid w:val="002E5C7B"/>
    <w:rsid w:val="002E5DA0"/>
    <w:rsid w:val="002F7506"/>
    <w:rsid w:val="002F767F"/>
    <w:rsid w:val="00301B1A"/>
    <w:rsid w:val="00306D9A"/>
    <w:rsid w:val="00311C63"/>
    <w:rsid w:val="00312EC9"/>
    <w:rsid w:val="00316B8B"/>
    <w:rsid w:val="00317738"/>
    <w:rsid w:val="00322222"/>
    <w:rsid w:val="00333164"/>
    <w:rsid w:val="00336D92"/>
    <w:rsid w:val="0033708D"/>
    <w:rsid w:val="00345C7C"/>
    <w:rsid w:val="00350A83"/>
    <w:rsid w:val="00355396"/>
    <w:rsid w:val="00356D9E"/>
    <w:rsid w:val="0036074E"/>
    <w:rsid w:val="003618C9"/>
    <w:rsid w:val="00363629"/>
    <w:rsid w:val="003640BF"/>
    <w:rsid w:val="00370BC8"/>
    <w:rsid w:val="0037468A"/>
    <w:rsid w:val="00376EC8"/>
    <w:rsid w:val="003779A2"/>
    <w:rsid w:val="00391F31"/>
    <w:rsid w:val="0039346D"/>
    <w:rsid w:val="00395831"/>
    <w:rsid w:val="003A20A3"/>
    <w:rsid w:val="003A76AA"/>
    <w:rsid w:val="003B32F5"/>
    <w:rsid w:val="003B5B66"/>
    <w:rsid w:val="003B79C8"/>
    <w:rsid w:val="003C27B8"/>
    <w:rsid w:val="003C3396"/>
    <w:rsid w:val="003C38B0"/>
    <w:rsid w:val="003C3970"/>
    <w:rsid w:val="003C6FD5"/>
    <w:rsid w:val="003D33C8"/>
    <w:rsid w:val="003D54E9"/>
    <w:rsid w:val="003E37D5"/>
    <w:rsid w:val="003F1B7A"/>
    <w:rsid w:val="003F337B"/>
    <w:rsid w:val="00402847"/>
    <w:rsid w:val="004156B6"/>
    <w:rsid w:val="004237A3"/>
    <w:rsid w:val="0042693E"/>
    <w:rsid w:val="00426BF5"/>
    <w:rsid w:val="00437A8C"/>
    <w:rsid w:val="00440997"/>
    <w:rsid w:val="00440BC7"/>
    <w:rsid w:val="004438E2"/>
    <w:rsid w:val="00450660"/>
    <w:rsid w:val="0045382F"/>
    <w:rsid w:val="004554A6"/>
    <w:rsid w:val="00455EFD"/>
    <w:rsid w:val="00457A94"/>
    <w:rsid w:val="004671F7"/>
    <w:rsid w:val="00474D97"/>
    <w:rsid w:val="00475A0F"/>
    <w:rsid w:val="00484F46"/>
    <w:rsid w:val="004864ED"/>
    <w:rsid w:val="00486AD9"/>
    <w:rsid w:val="00490D26"/>
    <w:rsid w:val="00493D63"/>
    <w:rsid w:val="00495916"/>
    <w:rsid w:val="00495C0C"/>
    <w:rsid w:val="004970A6"/>
    <w:rsid w:val="004A5483"/>
    <w:rsid w:val="004A6C50"/>
    <w:rsid w:val="004B0BD3"/>
    <w:rsid w:val="004B146B"/>
    <w:rsid w:val="004B5410"/>
    <w:rsid w:val="004B59AE"/>
    <w:rsid w:val="004C0649"/>
    <w:rsid w:val="004C2599"/>
    <w:rsid w:val="004C3FE4"/>
    <w:rsid w:val="004C4354"/>
    <w:rsid w:val="004C5161"/>
    <w:rsid w:val="004D0680"/>
    <w:rsid w:val="004E162B"/>
    <w:rsid w:val="004F1D9B"/>
    <w:rsid w:val="004F3C62"/>
    <w:rsid w:val="00500C5A"/>
    <w:rsid w:val="005039EC"/>
    <w:rsid w:val="00513C80"/>
    <w:rsid w:val="00517929"/>
    <w:rsid w:val="00524420"/>
    <w:rsid w:val="00524D9B"/>
    <w:rsid w:val="00527E1B"/>
    <w:rsid w:val="00535949"/>
    <w:rsid w:val="005466CC"/>
    <w:rsid w:val="00550ED6"/>
    <w:rsid w:val="005520BF"/>
    <w:rsid w:val="00553226"/>
    <w:rsid w:val="005634A9"/>
    <w:rsid w:val="00565828"/>
    <w:rsid w:val="0057171D"/>
    <w:rsid w:val="00571E92"/>
    <w:rsid w:val="005736ED"/>
    <w:rsid w:val="00573844"/>
    <w:rsid w:val="00585E17"/>
    <w:rsid w:val="00586820"/>
    <w:rsid w:val="00593F60"/>
    <w:rsid w:val="005942B8"/>
    <w:rsid w:val="00596905"/>
    <w:rsid w:val="005A0C5C"/>
    <w:rsid w:val="005A1FEB"/>
    <w:rsid w:val="005A55DE"/>
    <w:rsid w:val="005B4BB0"/>
    <w:rsid w:val="005B6A11"/>
    <w:rsid w:val="005B6CDC"/>
    <w:rsid w:val="005B779A"/>
    <w:rsid w:val="005C1D0C"/>
    <w:rsid w:val="005C22DB"/>
    <w:rsid w:val="005C2A25"/>
    <w:rsid w:val="005C4413"/>
    <w:rsid w:val="005D500E"/>
    <w:rsid w:val="005D57F5"/>
    <w:rsid w:val="005E15BC"/>
    <w:rsid w:val="005E1DDA"/>
    <w:rsid w:val="005E559D"/>
    <w:rsid w:val="005F7010"/>
    <w:rsid w:val="00606D33"/>
    <w:rsid w:val="00606DDC"/>
    <w:rsid w:val="00612926"/>
    <w:rsid w:val="00614C94"/>
    <w:rsid w:val="006154E9"/>
    <w:rsid w:val="00627FCA"/>
    <w:rsid w:val="00641F26"/>
    <w:rsid w:val="0065049B"/>
    <w:rsid w:val="006504DF"/>
    <w:rsid w:val="00655A1A"/>
    <w:rsid w:val="00656231"/>
    <w:rsid w:val="006569E7"/>
    <w:rsid w:val="00656E2F"/>
    <w:rsid w:val="00661066"/>
    <w:rsid w:val="00663C1B"/>
    <w:rsid w:val="006726D4"/>
    <w:rsid w:val="00674D56"/>
    <w:rsid w:val="00685873"/>
    <w:rsid w:val="006947A8"/>
    <w:rsid w:val="006A3A62"/>
    <w:rsid w:val="006B0C26"/>
    <w:rsid w:val="006B2EC4"/>
    <w:rsid w:val="006B3514"/>
    <w:rsid w:val="006B4007"/>
    <w:rsid w:val="006C364E"/>
    <w:rsid w:val="006D1386"/>
    <w:rsid w:val="006D43D7"/>
    <w:rsid w:val="006D4978"/>
    <w:rsid w:val="006E3718"/>
    <w:rsid w:val="006E5CC2"/>
    <w:rsid w:val="006E6CB2"/>
    <w:rsid w:val="006F11DC"/>
    <w:rsid w:val="006F1EAA"/>
    <w:rsid w:val="006F28BA"/>
    <w:rsid w:val="006F322A"/>
    <w:rsid w:val="006F3724"/>
    <w:rsid w:val="006F377C"/>
    <w:rsid w:val="006F60A2"/>
    <w:rsid w:val="007028F0"/>
    <w:rsid w:val="00702F8A"/>
    <w:rsid w:val="007148B3"/>
    <w:rsid w:val="00717842"/>
    <w:rsid w:val="0072087F"/>
    <w:rsid w:val="00721A04"/>
    <w:rsid w:val="00726509"/>
    <w:rsid w:val="00731557"/>
    <w:rsid w:val="00732CFA"/>
    <w:rsid w:val="00732F42"/>
    <w:rsid w:val="0073697C"/>
    <w:rsid w:val="00761EC8"/>
    <w:rsid w:val="00762E19"/>
    <w:rsid w:val="00764071"/>
    <w:rsid w:val="007644B6"/>
    <w:rsid w:val="0076551C"/>
    <w:rsid w:val="00770EFD"/>
    <w:rsid w:val="00773C26"/>
    <w:rsid w:val="007765B7"/>
    <w:rsid w:val="00787903"/>
    <w:rsid w:val="007917C8"/>
    <w:rsid w:val="007A12B7"/>
    <w:rsid w:val="007A5EF8"/>
    <w:rsid w:val="007B1376"/>
    <w:rsid w:val="007B1949"/>
    <w:rsid w:val="007B2DAC"/>
    <w:rsid w:val="007C6D1A"/>
    <w:rsid w:val="007D64F2"/>
    <w:rsid w:val="007E3F26"/>
    <w:rsid w:val="007F7FAA"/>
    <w:rsid w:val="00805C40"/>
    <w:rsid w:val="00822D5E"/>
    <w:rsid w:val="00841455"/>
    <w:rsid w:val="00841612"/>
    <w:rsid w:val="00846A7A"/>
    <w:rsid w:val="00854B87"/>
    <w:rsid w:val="0085796A"/>
    <w:rsid w:val="008643DF"/>
    <w:rsid w:val="00866823"/>
    <w:rsid w:val="00870D69"/>
    <w:rsid w:val="008713EB"/>
    <w:rsid w:val="0087729C"/>
    <w:rsid w:val="0088367C"/>
    <w:rsid w:val="00895724"/>
    <w:rsid w:val="008960CD"/>
    <w:rsid w:val="008A1F7B"/>
    <w:rsid w:val="008B1666"/>
    <w:rsid w:val="008B1F45"/>
    <w:rsid w:val="008B7271"/>
    <w:rsid w:val="008C1A8A"/>
    <w:rsid w:val="008C42D9"/>
    <w:rsid w:val="008C6B07"/>
    <w:rsid w:val="008E3E66"/>
    <w:rsid w:val="008E5DCA"/>
    <w:rsid w:val="008F72E5"/>
    <w:rsid w:val="00901FD0"/>
    <w:rsid w:val="009054AC"/>
    <w:rsid w:val="00906E56"/>
    <w:rsid w:val="009162D7"/>
    <w:rsid w:val="00917CED"/>
    <w:rsid w:val="009222F3"/>
    <w:rsid w:val="009224B4"/>
    <w:rsid w:val="0092309F"/>
    <w:rsid w:val="009267D2"/>
    <w:rsid w:val="0093679C"/>
    <w:rsid w:val="009376BF"/>
    <w:rsid w:val="00941920"/>
    <w:rsid w:val="00945B9E"/>
    <w:rsid w:val="00950110"/>
    <w:rsid w:val="00950B61"/>
    <w:rsid w:val="009641F2"/>
    <w:rsid w:val="00965557"/>
    <w:rsid w:val="00976541"/>
    <w:rsid w:val="00980E00"/>
    <w:rsid w:val="009840F5"/>
    <w:rsid w:val="00993F31"/>
    <w:rsid w:val="009A19EC"/>
    <w:rsid w:val="009A34C7"/>
    <w:rsid w:val="009B00D6"/>
    <w:rsid w:val="009B0BB6"/>
    <w:rsid w:val="009B7595"/>
    <w:rsid w:val="009C367A"/>
    <w:rsid w:val="009C6356"/>
    <w:rsid w:val="009D094B"/>
    <w:rsid w:val="009D1E57"/>
    <w:rsid w:val="009D428F"/>
    <w:rsid w:val="009D46C3"/>
    <w:rsid w:val="009D48D4"/>
    <w:rsid w:val="009D4978"/>
    <w:rsid w:val="009D4B90"/>
    <w:rsid w:val="009D5D01"/>
    <w:rsid w:val="009D6984"/>
    <w:rsid w:val="009D73E7"/>
    <w:rsid w:val="009E0D2F"/>
    <w:rsid w:val="009E5089"/>
    <w:rsid w:val="009F040B"/>
    <w:rsid w:val="009F32F9"/>
    <w:rsid w:val="009F5B25"/>
    <w:rsid w:val="009F6A85"/>
    <w:rsid w:val="009F702C"/>
    <w:rsid w:val="00A01552"/>
    <w:rsid w:val="00A030D4"/>
    <w:rsid w:val="00A20DC3"/>
    <w:rsid w:val="00A2358E"/>
    <w:rsid w:val="00A25C59"/>
    <w:rsid w:val="00A36623"/>
    <w:rsid w:val="00A45075"/>
    <w:rsid w:val="00A515DC"/>
    <w:rsid w:val="00A6380A"/>
    <w:rsid w:val="00A65695"/>
    <w:rsid w:val="00A66942"/>
    <w:rsid w:val="00A75D02"/>
    <w:rsid w:val="00A84775"/>
    <w:rsid w:val="00A84DEA"/>
    <w:rsid w:val="00A855E1"/>
    <w:rsid w:val="00A90AA1"/>
    <w:rsid w:val="00A92168"/>
    <w:rsid w:val="00AA3769"/>
    <w:rsid w:val="00AB0FE0"/>
    <w:rsid w:val="00AB3ACE"/>
    <w:rsid w:val="00AB64E7"/>
    <w:rsid w:val="00AC0571"/>
    <w:rsid w:val="00AD28D4"/>
    <w:rsid w:val="00AD4F01"/>
    <w:rsid w:val="00AD532C"/>
    <w:rsid w:val="00AD6271"/>
    <w:rsid w:val="00AE59A9"/>
    <w:rsid w:val="00B06619"/>
    <w:rsid w:val="00B14222"/>
    <w:rsid w:val="00B21F1A"/>
    <w:rsid w:val="00B22D73"/>
    <w:rsid w:val="00B47EB2"/>
    <w:rsid w:val="00B61012"/>
    <w:rsid w:val="00B65BB0"/>
    <w:rsid w:val="00B72BCE"/>
    <w:rsid w:val="00B873B9"/>
    <w:rsid w:val="00B907CC"/>
    <w:rsid w:val="00B95D3D"/>
    <w:rsid w:val="00BA11CD"/>
    <w:rsid w:val="00BA4282"/>
    <w:rsid w:val="00BA4BAA"/>
    <w:rsid w:val="00BB1395"/>
    <w:rsid w:val="00BC4576"/>
    <w:rsid w:val="00BD0154"/>
    <w:rsid w:val="00BD1E6D"/>
    <w:rsid w:val="00BD2392"/>
    <w:rsid w:val="00BE2CF8"/>
    <w:rsid w:val="00BF19BA"/>
    <w:rsid w:val="00BF2718"/>
    <w:rsid w:val="00BF5328"/>
    <w:rsid w:val="00BF5637"/>
    <w:rsid w:val="00BF5D0E"/>
    <w:rsid w:val="00BF6823"/>
    <w:rsid w:val="00C044A5"/>
    <w:rsid w:val="00C05B34"/>
    <w:rsid w:val="00C1365B"/>
    <w:rsid w:val="00C15DFC"/>
    <w:rsid w:val="00C25260"/>
    <w:rsid w:val="00C305A0"/>
    <w:rsid w:val="00C306F6"/>
    <w:rsid w:val="00C35659"/>
    <w:rsid w:val="00C42B30"/>
    <w:rsid w:val="00C4776D"/>
    <w:rsid w:val="00C51DF1"/>
    <w:rsid w:val="00C53015"/>
    <w:rsid w:val="00C557A9"/>
    <w:rsid w:val="00C56264"/>
    <w:rsid w:val="00C6129B"/>
    <w:rsid w:val="00C61C81"/>
    <w:rsid w:val="00C70E90"/>
    <w:rsid w:val="00C748CE"/>
    <w:rsid w:val="00C805B3"/>
    <w:rsid w:val="00C84C1A"/>
    <w:rsid w:val="00C8615F"/>
    <w:rsid w:val="00C9203F"/>
    <w:rsid w:val="00C923BC"/>
    <w:rsid w:val="00C927F5"/>
    <w:rsid w:val="00CA62EB"/>
    <w:rsid w:val="00CC1F30"/>
    <w:rsid w:val="00CC594A"/>
    <w:rsid w:val="00CD2FD1"/>
    <w:rsid w:val="00CD4121"/>
    <w:rsid w:val="00CD6A8A"/>
    <w:rsid w:val="00CD7E3B"/>
    <w:rsid w:val="00CE192C"/>
    <w:rsid w:val="00CE311C"/>
    <w:rsid w:val="00CE3234"/>
    <w:rsid w:val="00CE3243"/>
    <w:rsid w:val="00CE6299"/>
    <w:rsid w:val="00CE64CC"/>
    <w:rsid w:val="00D12F2F"/>
    <w:rsid w:val="00D1480C"/>
    <w:rsid w:val="00D16EFD"/>
    <w:rsid w:val="00D20D55"/>
    <w:rsid w:val="00D20E15"/>
    <w:rsid w:val="00D20F69"/>
    <w:rsid w:val="00D25AC1"/>
    <w:rsid w:val="00D26D4A"/>
    <w:rsid w:val="00D27F76"/>
    <w:rsid w:val="00D5017C"/>
    <w:rsid w:val="00D556BD"/>
    <w:rsid w:val="00D56D68"/>
    <w:rsid w:val="00D62B6D"/>
    <w:rsid w:val="00D634AE"/>
    <w:rsid w:val="00D64EDF"/>
    <w:rsid w:val="00D662E0"/>
    <w:rsid w:val="00D8060D"/>
    <w:rsid w:val="00D80C56"/>
    <w:rsid w:val="00D81879"/>
    <w:rsid w:val="00D84E3D"/>
    <w:rsid w:val="00DA1171"/>
    <w:rsid w:val="00DA3E0A"/>
    <w:rsid w:val="00DA73AF"/>
    <w:rsid w:val="00DB3D96"/>
    <w:rsid w:val="00DC7E63"/>
    <w:rsid w:val="00DD2165"/>
    <w:rsid w:val="00DD2A18"/>
    <w:rsid w:val="00DD5008"/>
    <w:rsid w:val="00DD5579"/>
    <w:rsid w:val="00DD706F"/>
    <w:rsid w:val="00DE40FF"/>
    <w:rsid w:val="00DF1CE0"/>
    <w:rsid w:val="00DF235F"/>
    <w:rsid w:val="00E07331"/>
    <w:rsid w:val="00E07A50"/>
    <w:rsid w:val="00E10817"/>
    <w:rsid w:val="00E15A21"/>
    <w:rsid w:val="00E172B4"/>
    <w:rsid w:val="00E20292"/>
    <w:rsid w:val="00E23784"/>
    <w:rsid w:val="00E24845"/>
    <w:rsid w:val="00E248B1"/>
    <w:rsid w:val="00E25FEB"/>
    <w:rsid w:val="00E264FA"/>
    <w:rsid w:val="00E276C5"/>
    <w:rsid w:val="00E41513"/>
    <w:rsid w:val="00E45C34"/>
    <w:rsid w:val="00E50B36"/>
    <w:rsid w:val="00E550BB"/>
    <w:rsid w:val="00E56C59"/>
    <w:rsid w:val="00E6011D"/>
    <w:rsid w:val="00E72C24"/>
    <w:rsid w:val="00E96DE1"/>
    <w:rsid w:val="00E9758D"/>
    <w:rsid w:val="00EA1D46"/>
    <w:rsid w:val="00EA2B27"/>
    <w:rsid w:val="00EA79EB"/>
    <w:rsid w:val="00EB5FAA"/>
    <w:rsid w:val="00EB6BCF"/>
    <w:rsid w:val="00EC094D"/>
    <w:rsid w:val="00EC37FA"/>
    <w:rsid w:val="00ED52CF"/>
    <w:rsid w:val="00ED67C0"/>
    <w:rsid w:val="00EE00C7"/>
    <w:rsid w:val="00EE00CD"/>
    <w:rsid w:val="00EE1F16"/>
    <w:rsid w:val="00EF45D4"/>
    <w:rsid w:val="00EF7B77"/>
    <w:rsid w:val="00F008A6"/>
    <w:rsid w:val="00F02EEF"/>
    <w:rsid w:val="00F06414"/>
    <w:rsid w:val="00F121D1"/>
    <w:rsid w:val="00F17FBF"/>
    <w:rsid w:val="00F2676D"/>
    <w:rsid w:val="00F30DF8"/>
    <w:rsid w:val="00F30FE7"/>
    <w:rsid w:val="00F331E8"/>
    <w:rsid w:val="00F33D66"/>
    <w:rsid w:val="00F4603A"/>
    <w:rsid w:val="00F551FA"/>
    <w:rsid w:val="00F61BF5"/>
    <w:rsid w:val="00F7083E"/>
    <w:rsid w:val="00F70F26"/>
    <w:rsid w:val="00F71813"/>
    <w:rsid w:val="00F71B37"/>
    <w:rsid w:val="00F73252"/>
    <w:rsid w:val="00F82784"/>
    <w:rsid w:val="00F8490F"/>
    <w:rsid w:val="00F95398"/>
    <w:rsid w:val="00F96224"/>
    <w:rsid w:val="00FA57A6"/>
    <w:rsid w:val="00FA76B1"/>
    <w:rsid w:val="00FB11D5"/>
    <w:rsid w:val="00FB1D46"/>
    <w:rsid w:val="00FC1140"/>
    <w:rsid w:val="00FD2801"/>
    <w:rsid w:val="00FD46E6"/>
    <w:rsid w:val="00FD5991"/>
    <w:rsid w:val="00FD5D26"/>
    <w:rsid w:val="00FD7AC6"/>
    <w:rsid w:val="00FE01A1"/>
    <w:rsid w:val="00FE677E"/>
    <w:rsid w:val="00FF2AE8"/>
    <w:rsid w:val="00FF4F0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53608E"/>
  <w15:docId w15:val="{308B3A23-BA1C-41AB-ADB9-82250A42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40F5"/>
    <w:rPr>
      <w:rFonts w:ascii="Corbel" w:hAnsi="Corbel"/>
    </w:rPr>
  </w:style>
  <w:style w:type="paragraph" w:styleId="Heading1">
    <w:name w:val="heading 1"/>
    <w:basedOn w:val="Normal"/>
    <w:next w:val="Normal"/>
    <w:link w:val="Heading1Char"/>
    <w:uiPriority w:val="9"/>
    <w:qFormat/>
    <w:rsid w:val="008C6B07"/>
    <w:pPr>
      <w:keepNext/>
      <w:keepLines/>
      <w:numPr>
        <w:numId w:val="1"/>
      </w:numPr>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9F32F9"/>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8C6B07"/>
    <w:pPr>
      <w:keepNext/>
      <w:keepLines/>
      <w:numPr>
        <w:ilvl w:val="2"/>
        <w:numId w:val="1"/>
      </w:numPr>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0BB"/>
    <w:rPr>
      <w:rFonts w:ascii="Corbel" w:eastAsiaTheme="majorEastAsia" w:hAnsi="Corbel" w:cstheme="majorBidi"/>
      <w:b/>
      <w:bCs/>
      <w:sz w:val="28"/>
      <w:szCs w:val="28"/>
    </w:rPr>
  </w:style>
  <w:style w:type="character" w:customStyle="1" w:styleId="Heading2Char">
    <w:name w:val="Heading 2 Char"/>
    <w:basedOn w:val="DefaultParagraphFont"/>
    <w:link w:val="Heading2"/>
    <w:uiPriority w:val="9"/>
    <w:rsid w:val="009F32F9"/>
    <w:rPr>
      <w:rFonts w:ascii="Corbel" w:eastAsiaTheme="majorEastAsia" w:hAnsi="Corbel" w:cstheme="majorBidi"/>
      <w:b/>
      <w:bCs/>
      <w:sz w:val="26"/>
      <w:szCs w:val="26"/>
    </w:rPr>
  </w:style>
  <w:style w:type="character" w:customStyle="1" w:styleId="Heading3Char">
    <w:name w:val="Heading 3 Char"/>
    <w:basedOn w:val="DefaultParagraphFont"/>
    <w:link w:val="Heading3"/>
    <w:uiPriority w:val="9"/>
    <w:rsid w:val="008C6B07"/>
    <w:rPr>
      <w:rFonts w:ascii="Corbel" w:eastAsiaTheme="majorEastAsia" w:hAnsi="Corbel" w:cstheme="majorBidi"/>
      <w:b/>
      <w:bCs/>
    </w:rPr>
  </w:style>
  <w:style w:type="paragraph" w:styleId="ListParagraph">
    <w:name w:val="List Paragraph"/>
    <w:basedOn w:val="Normal"/>
    <w:uiPriority w:val="34"/>
    <w:qFormat/>
    <w:rsid w:val="00333164"/>
    <w:pPr>
      <w:ind w:left="720"/>
      <w:contextualSpacing/>
    </w:pPr>
  </w:style>
  <w:style w:type="paragraph" w:styleId="Header">
    <w:name w:val="header"/>
    <w:basedOn w:val="Normal"/>
    <w:link w:val="HeaderChar"/>
    <w:uiPriority w:val="99"/>
    <w:unhideWhenUsed/>
    <w:rsid w:val="00A656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5695"/>
    <w:rPr>
      <w:rFonts w:ascii="Corbel" w:hAnsi="Corbel"/>
    </w:rPr>
  </w:style>
  <w:style w:type="paragraph" w:styleId="Footer">
    <w:name w:val="footer"/>
    <w:basedOn w:val="Normal"/>
    <w:link w:val="FooterChar"/>
    <w:uiPriority w:val="99"/>
    <w:unhideWhenUsed/>
    <w:rsid w:val="00A656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5695"/>
    <w:rPr>
      <w:rFonts w:ascii="Corbel" w:hAnsi="Corbel"/>
    </w:rPr>
  </w:style>
  <w:style w:type="paragraph" w:styleId="FootnoteText">
    <w:name w:val="footnote text"/>
    <w:basedOn w:val="Normal"/>
    <w:link w:val="FootnoteTextChar"/>
    <w:uiPriority w:val="99"/>
    <w:semiHidden/>
    <w:unhideWhenUsed/>
    <w:rsid w:val="009D42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428F"/>
    <w:rPr>
      <w:rFonts w:ascii="Corbel" w:hAnsi="Corbel"/>
      <w:sz w:val="20"/>
      <w:szCs w:val="20"/>
    </w:rPr>
  </w:style>
  <w:style w:type="character" w:styleId="FootnoteReference">
    <w:name w:val="footnote reference"/>
    <w:aliases w:val=" BVI fnr,BVI fnr, BVI fnr Car Car,BVI fnr Car, BVI fnr Car Car Car Car, BVI fnr Car Car Car Car Char,BVI fnr Car Car,BVI fnr Car Car Car Car,BVI fnr Car Car Car Car Char,ftref,stylish,BVI fnr Car Char1 Char,BVI fnr Car Car Char1 Char"/>
    <w:basedOn w:val="DefaultParagraphFont"/>
    <w:uiPriority w:val="99"/>
    <w:unhideWhenUsed/>
    <w:qFormat/>
    <w:rsid w:val="009D428F"/>
    <w:rPr>
      <w:vertAlign w:val="superscript"/>
    </w:rPr>
  </w:style>
  <w:style w:type="table" w:styleId="TableGrid">
    <w:name w:val="Table Grid"/>
    <w:basedOn w:val="TableNormal"/>
    <w:uiPriority w:val="59"/>
    <w:rsid w:val="009D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5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C0C"/>
    <w:rPr>
      <w:rFonts w:ascii="Tahoma" w:hAnsi="Tahoma" w:cs="Tahoma"/>
      <w:sz w:val="16"/>
      <w:szCs w:val="16"/>
    </w:rPr>
  </w:style>
  <w:style w:type="character" w:styleId="Hyperlink">
    <w:name w:val="Hyperlink"/>
    <w:basedOn w:val="DefaultParagraphFont"/>
    <w:uiPriority w:val="99"/>
    <w:unhideWhenUsed/>
    <w:rsid w:val="00CE311C"/>
    <w:rPr>
      <w:color w:val="0000FF" w:themeColor="hyperlink"/>
      <w:u w:val="single"/>
    </w:rPr>
  </w:style>
  <w:style w:type="character" w:styleId="CommentReference">
    <w:name w:val="annotation reference"/>
    <w:basedOn w:val="DefaultParagraphFont"/>
    <w:uiPriority w:val="99"/>
    <w:semiHidden/>
    <w:unhideWhenUsed/>
    <w:rsid w:val="00941920"/>
    <w:rPr>
      <w:sz w:val="16"/>
      <w:szCs w:val="16"/>
    </w:rPr>
  </w:style>
  <w:style w:type="paragraph" w:styleId="CommentText">
    <w:name w:val="annotation text"/>
    <w:basedOn w:val="Normal"/>
    <w:link w:val="CommentTextChar"/>
    <w:uiPriority w:val="99"/>
    <w:unhideWhenUsed/>
    <w:rsid w:val="00941920"/>
    <w:pPr>
      <w:spacing w:line="240" w:lineRule="auto"/>
    </w:pPr>
    <w:rPr>
      <w:sz w:val="20"/>
      <w:szCs w:val="20"/>
    </w:rPr>
  </w:style>
  <w:style w:type="character" w:customStyle="1" w:styleId="CommentTextChar">
    <w:name w:val="Comment Text Char"/>
    <w:basedOn w:val="DefaultParagraphFont"/>
    <w:link w:val="CommentText"/>
    <w:uiPriority w:val="99"/>
    <w:rsid w:val="00941920"/>
    <w:rPr>
      <w:rFonts w:ascii="Corbel" w:hAnsi="Corbel"/>
      <w:sz w:val="20"/>
      <w:szCs w:val="20"/>
    </w:rPr>
  </w:style>
  <w:style w:type="paragraph" w:styleId="CommentSubject">
    <w:name w:val="annotation subject"/>
    <w:basedOn w:val="CommentText"/>
    <w:next w:val="CommentText"/>
    <w:link w:val="CommentSubjectChar"/>
    <w:uiPriority w:val="99"/>
    <w:semiHidden/>
    <w:unhideWhenUsed/>
    <w:rsid w:val="00941920"/>
    <w:rPr>
      <w:b/>
      <w:bCs/>
    </w:rPr>
  </w:style>
  <w:style w:type="character" w:customStyle="1" w:styleId="CommentSubjectChar">
    <w:name w:val="Comment Subject Char"/>
    <w:basedOn w:val="CommentTextChar"/>
    <w:link w:val="CommentSubject"/>
    <w:uiPriority w:val="99"/>
    <w:semiHidden/>
    <w:rsid w:val="00941920"/>
    <w:rPr>
      <w:rFonts w:ascii="Corbel" w:hAnsi="Corbel"/>
      <w:b/>
      <w:bCs/>
      <w:sz w:val="20"/>
      <w:szCs w:val="20"/>
    </w:rPr>
  </w:style>
  <w:style w:type="character" w:styleId="FollowedHyperlink">
    <w:name w:val="FollowedHyperlink"/>
    <w:basedOn w:val="DefaultParagraphFont"/>
    <w:uiPriority w:val="99"/>
    <w:semiHidden/>
    <w:unhideWhenUsed/>
    <w:rsid w:val="00075EEB"/>
    <w:rPr>
      <w:color w:val="800080" w:themeColor="followedHyperlink"/>
      <w:u w:val="single"/>
    </w:rPr>
  </w:style>
  <w:style w:type="paragraph" w:customStyle="1" w:styleId="Default">
    <w:name w:val="Default"/>
    <w:rsid w:val="004156B6"/>
    <w:pPr>
      <w:autoSpaceDE w:val="0"/>
      <w:autoSpaceDN w:val="0"/>
      <w:adjustRightInd w:val="0"/>
      <w:spacing w:after="0" w:line="240" w:lineRule="auto"/>
    </w:pPr>
    <w:rPr>
      <w:rFonts w:ascii="EUAlbertina" w:hAnsi="EUAlbertina" w:cs="EUAlbertina"/>
      <w:color w:val="000000"/>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176">
      <w:bodyDiv w:val="1"/>
      <w:marLeft w:val="0"/>
      <w:marRight w:val="0"/>
      <w:marTop w:val="0"/>
      <w:marBottom w:val="0"/>
      <w:divBdr>
        <w:top w:val="none" w:sz="0" w:space="0" w:color="auto"/>
        <w:left w:val="none" w:sz="0" w:space="0" w:color="auto"/>
        <w:bottom w:val="none" w:sz="0" w:space="0" w:color="auto"/>
        <w:right w:val="none" w:sz="0" w:space="0" w:color="auto"/>
      </w:divBdr>
    </w:div>
    <w:div w:id="34740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HR/TXT/PDF/?uri=CELEX:52014XC0627(01)&amp;from=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825D5-D108-466A-AFC6-FAEA98117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4</Pages>
  <Words>1185</Words>
  <Characters>6759</Characters>
  <Application>Microsoft Office Word</Application>
  <DocSecurity>0</DocSecurity>
  <Lines>56</Lines>
  <Paragraphs>15</Paragraphs>
  <ScaleCrop>false</ScaleCrop>
  <HeadingPairs>
    <vt:vector size="6" baseType="variant">
      <vt:variant>
        <vt:lpstr>Title</vt:lpstr>
      </vt:variant>
      <vt:variant>
        <vt:i4>1</vt:i4>
      </vt:variant>
      <vt:variant>
        <vt:lpstr>Naslov</vt:lpstr>
      </vt:variant>
      <vt:variant>
        <vt:i4>1</vt:i4>
      </vt:variant>
      <vt:variant>
        <vt:lpstr>Tytuł</vt:lpstr>
      </vt:variant>
      <vt:variant>
        <vt:i4>1</vt:i4>
      </vt:variant>
    </vt:vector>
  </HeadingPairs>
  <TitlesOfParts>
    <vt:vector size="3" baseType="lpstr">
      <vt:lpstr/>
      <vt:lpstr/>
      <vt:lpstr/>
    </vt:vector>
  </TitlesOfParts>
  <Company>MZOŠ</Company>
  <LinksUpToDate>false</LinksUpToDate>
  <CharactersWithSpaces>7929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Mikolaj Stasiak</dc:creator>
  <cp:keywords/>
  <dc:description/>
  <cp:lastModifiedBy>mse</cp:lastModifiedBy>
  <cp:revision>26</cp:revision>
  <cp:lastPrinted>2019-12-18T12:48:00Z</cp:lastPrinted>
  <dcterms:created xsi:type="dcterms:W3CDTF">2017-12-28T12:46:00Z</dcterms:created>
  <dcterms:modified xsi:type="dcterms:W3CDTF">2020-02-11T12:26:00Z</dcterms:modified>
</cp:coreProperties>
</file>