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0C1" w:rsidRPr="009950C1" w:rsidRDefault="009950C1" w:rsidP="00066992">
      <w:pPr>
        <w:jc w:val="center"/>
        <w:rPr>
          <w:rFonts w:asciiTheme="majorHAnsi" w:hAnsiTheme="majorHAnsi" w:cs="Times New Roman"/>
          <w:b/>
          <w:sz w:val="32"/>
          <w:szCs w:val="32"/>
        </w:rPr>
      </w:pPr>
      <w:bookmarkStart w:id="0" w:name="_GoBack"/>
      <w:bookmarkEnd w:id="0"/>
      <w:r w:rsidRPr="009950C1">
        <w:rPr>
          <w:rFonts w:asciiTheme="majorHAnsi" w:hAnsiTheme="majorHAnsi" w:cs="Times New Roman"/>
          <w:b/>
          <w:sz w:val="32"/>
          <w:szCs w:val="32"/>
        </w:rPr>
        <w:t xml:space="preserve">Dodatak II </w:t>
      </w:r>
    </w:p>
    <w:p w:rsidR="009950C1" w:rsidRDefault="00F132B8" w:rsidP="009950C1">
      <w:pPr>
        <w:spacing w:line="240" w:lineRule="auto"/>
        <w:jc w:val="center"/>
        <w:rPr>
          <w:rFonts w:asciiTheme="majorHAnsi" w:eastAsia="Times New Roman" w:hAnsiTheme="majorHAnsi" w:cs="Times New Roman"/>
          <w:b/>
          <w:sz w:val="28"/>
          <w:szCs w:val="28"/>
        </w:rPr>
      </w:pPr>
      <w:r>
        <w:rPr>
          <w:rFonts w:asciiTheme="majorHAnsi" w:eastAsia="Times New Roman" w:hAnsiTheme="majorHAnsi" w:cs="Times New Roman"/>
          <w:b/>
          <w:sz w:val="28"/>
          <w:szCs w:val="28"/>
        </w:rPr>
        <w:t>T</w:t>
      </w:r>
      <w:r w:rsidR="009950C1" w:rsidRPr="009950C1">
        <w:rPr>
          <w:rFonts w:asciiTheme="majorHAnsi" w:eastAsia="Times New Roman" w:hAnsiTheme="majorHAnsi" w:cs="Times New Roman"/>
          <w:b/>
          <w:sz w:val="28"/>
          <w:szCs w:val="28"/>
        </w:rPr>
        <w:t>ehničk</w:t>
      </w:r>
      <w:r>
        <w:rPr>
          <w:rFonts w:asciiTheme="majorHAnsi" w:eastAsia="Times New Roman" w:hAnsiTheme="majorHAnsi" w:cs="Times New Roman"/>
          <w:b/>
          <w:sz w:val="28"/>
          <w:szCs w:val="28"/>
        </w:rPr>
        <w:t>e</w:t>
      </w:r>
      <w:r w:rsidRPr="00F132B8">
        <w:rPr>
          <w:rFonts w:asciiTheme="majorHAnsi" w:eastAsia="Times New Roman" w:hAnsiTheme="majorHAnsi" w:cs="Times New Roman"/>
          <w:b/>
          <w:sz w:val="28"/>
          <w:szCs w:val="28"/>
        </w:rPr>
        <w:t xml:space="preserve">specifikacije  </w:t>
      </w:r>
      <w:r>
        <w:rPr>
          <w:rFonts w:asciiTheme="majorHAnsi" w:eastAsia="Times New Roman" w:hAnsiTheme="majorHAnsi" w:cs="Times New Roman"/>
          <w:b/>
          <w:sz w:val="28"/>
          <w:szCs w:val="28"/>
        </w:rPr>
        <w:t>-</w:t>
      </w:r>
      <w:r w:rsidR="004E4E45" w:rsidRPr="009950C1">
        <w:rPr>
          <w:rFonts w:asciiTheme="majorHAnsi" w:eastAsia="Times New Roman" w:hAnsiTheme="majorHAnsi" w:cs="Times New Roman"/>
          <w:b/>
          <w:sz w:val="28"/>
          <w:szCs w:val="28"/>
        </w:rPr>
        <w:t>troškovnik</w:t>
      </w:r>
    </w:p>
    <w:p w:rsidR="009950C1" w:rsidRPr="009950C1" w:rsidRDefault="009950C1" w:rsidP="00F132B8">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heme="majorHAnsi" w:eastAsia="Times New Roman" w:hAnsiTheme="majorHAnsi" w:cs="Times New Roman"/>
          <w:sz w:val="24"/>
          <w:szCs w:val="24"/>
        </w:rPr>
      </w:pPr>
      <w:r w:rsidRPr="009950C1">
        <w:rPr>
          <w:rFonts w:asciiTheme="majorHAnsi" w:eastAsia="Times New Roman" w:hAnsiTheme="majorHAnsi" w:cs="Times New Roman"/>
          <w:b/>
          <w:sz w:val="24"/>
          <w:szCs w:val="24"/>
        </w:rPr>
        <w:t>Predmet nabave</w:t>
      </w:r>
      <w:r w:rsidRPr="009950C1">
        <w:rPr>
          <w:rFonts w:asciiTheme="majorHAnsi" w:eastAsia="Times New Roman" w:hAnsiTheme="majorHAnsi" w:cs="Times New Roman"/>
          <w:sz w:val="24"/>
          <w:szCs w:val="24"/>
        </w:rPr>
        <w:t xml:space="preserve">: </w:t>
      </w:r>
      <w:r w:rsidRPr="0039687C">
        <w:rPr>
          <w:rFonts w:asciiTheme="majorHAnsi" w:eastAsia="Times New Roman" w:hAnsiTheme="majorHAnsi" w:cs="Times New Roman"/>
          <w:sz w:val="24"/>
          <w:szCs w:val="24"/>
        </w:rPr>
        <w:t xml:space="preserve">Nabava </w:t>
      </w:r>
      <w:r w:rsidR="007E692B">
        <w:rPr>
          <w:rFonts w:asciiTheme="majorHAnsi" w:eastAsia="Times New Roman" w:hAnsiTheme="majorHAnsi" w:cs="Times New Roman"/>
          <w:sz w:val="24"/>
          <w:szCs w:val="24"/>
        </w:rPr>
        <w:t>ERP sustava</w:t>
      </w:r>
    </w:p>
    <w:p w:rsidR="009950C1" w:rsidRPr="009950C1" w:rsidRDefault="009950C1" w:rsidP="00F132B8">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heme="majorHAnsi" w:eastAsia="Times New Roman" w:hAnsiTheme="majorHAnsi" w:cs="Times New Roman"/>
          <w:b/>
          <w:sz w:val="24"/>
          <w:szCs w:val="24"/>
        </w:rPr>
      </w:pPr>
      <w:r w:rsidRPr="009950C1">
        <w:rPr>
          <w:rFonts w:asciiTheme="majorHAnsi" w:eastAsia="Times New Roman" w:hAnsiTheme="majorHAnsi" w:cs="Times New Roman"/>
          <w:b/>
          <w:sz w:val="24"/>
          <w:szCs w:val="24"/>
        </w:rPr>
        <w:t>Evidencijski broj nabave:</w:t>
      </w:r>
      <w:r w:rsidR="00DC1B86">
        <w:rPr>
          <w:rFonts w:asciiTheme="majorHAnsi" w:eastAsia="Times New Roman" w:hAnsiTheme="majorHAnsi" w:cs="Times New Roman"/>
          <w:sz w:val="24"/>
          <w:szCs w:val="24"/>
        </w:rPr>
        <w:t>A1</w:t>
      </w:r>
      <w:r w:rsidR="00771566">
        <w:rPr>
          <w:rFonts w:asciiTheme="majorHAnsi" w:eastAsia="Times New Roman" w:hAnsiTheme="majorHAnsi" w:cs="Times New Roman"/>
          <w:sz w:val="24"/>
          <w:szCs w:val="24"/>
        </w:rPr>
        <w:t>.</w:t>
      </w:r>
      <w:r w:rsidR="007E692B">
        <w:rPr>
          <w:rFonts w:asciiTheme="majorHAnsi" w:eastAsia="Times New Roman" w:hAnsiTheme="majorHAnsi" w:cs="Times New Roman"/>
          <w:sz w:val="24"/>
          <w:szCs w:val="24"/>
        </w:rPr>
        <w:t>1</w:t>
      </w:r>
    </w:p>
    <w:p w:rsidR="009950C1" w:rsidRPr="009950C1" w:rsidRDefault="009950C1" w:rsidP="009950C1">
      <w:pPr>
        <w:spacing w:line="240" w:lineRule="auto"/>
        <w:jc w:val="both"/>
        <w:rPr>
          <w:rFonts w:asciiTheme="majorHAnsi" w:eastAsia="Times New Roman" w:hAnsiTheme="majorHAnsi" w:cs="Times New Roman"/>
          <w:sz w:val="24"/>
          <w:szCs w:val="24"/>
        </w:rPr>
      </w:pPr>
      <w:r w:rsidRPr="009950C1">
        <w:rPr>
          <w:rFonts w:asciiTheme="majorHAnsi" w:eastAsia="Times New Roman" w:hAnsiTheme="majorHAnsi" w:cs="Times New Roman"/>
          <w:sz w:val="24"/>
          <w:szCs w:val="24"/>
        </w:rPr>
        <w:t>Naziv  ponuditelja:_______________________________________________________________________</w:t>
      </w:r>
      <w:r w:rsidR="004E4E45">
        <w:rPr>
          <w:rFonts w:asciiTheme="majorHAnsi" w:eastAsia="Times New Roman" w:hAnsiTheme="majorHAnsi" w:cs="Times New Roman"/>
          <w:sz w:val="24"/>
          <w:szCs w:val="24"/>
        </w:rPr>
        <w:t>_____</w:t>
      </w:r>
    </w:p>
    <w:p w:rsidR="009950C1" w:rsidRPr="009950C1" w:rsidRDefault="009950C1" w:rsidP="009950C1">
      <w:pPr>
        <w:spacing w:line="240" w:lineRule="auto"/>
        <w:jc w:val="both"/>
        <w:rPr>
          <w:rFonts w:asciiTheme="majorHAnsi" w:eastAsia="Times New Roman" w:hAnsiTheme="majorHAnsi" w:cs="Times New Roman"/>
          <w:sz w:val="24"/>
          <w:szCs w:val="24"/>
        </w:rPr>
      </w:pPr>
      <w:r w:rsidRPr="009950C1">
        <w:rPr>
          <w:rFonts w:asciiTheme="majorHAnsi" w:eastAsia="Times New Roman" w:hAnsiTheme="majorHAnsi" w:cs="Times New Roman"/>
          <w:sz w:val="24"/>
          <w:szCs w:val="24"/>
        </w:rPr>
        <w:t>Adresa  (poslovno sjedište):_________________________________________________________________</w:t>
      </w:r>
    </w:p>
    <w:p w:rsidR="009950C1" w:rsidRPr="009950C1" w:rsidRDefault="009950C1" w:rsidP="009950C1">
      <w:pPr>
        <w:spacing w:line="240" w:lineRule="auto"/>
        <w:jc w:val="both"/>
        <w:rPr>
          <w:rFonts w:asciiTheme="majorHAnsi" w:eastAsia="Times New Roman" w:hAnsiTheme="majorHAnsi" w:cs="Times New Roman"/>
          <w:sz w:val="24"/>
          <w:szCs w:val="24"/>
        </w:rPr>
      </w:pPr>
      <w:r w:rsidRPr="009950C1">
        <w:rPr>
          <w:rFonts w:asciiTheme="majorHAnsi" w:eastAsia="Times New Roman" w:hAnsiTheme="majorHAnsi" w:cs="Times New Roman"/>
          <w:sz w:val="24"/>
          <w:szCs w:val="24"/>
        </w:rPr>
        <w:t>OIB:___________________________________________________________________________________</w:t>
      </w:r>
      <w:r w:rsidR="004E4E45">
        <w:rPr>
          <w:rFonts w:asciiTheme="majorHAnsi" w:eastAsia="Times New Roman" w:hAnsiTheme="majorHAnsi" w:cs="Times New Roman"/>
          <w:sz w:val="24"/>
          <w:szCs w:val="24"/>
        </w:rPr>
        <w:t>_________</w:t>
      </w:r>
    </w:p>
    <w:p w:rsidR="007E692B" w:rsidRDefault="009950C1" w:rsidP="00282E8D">
      <w:pPr>
        <w:rPr>
          <w:rFonts w:asciiTheme="majorHAnsi" w:eastAsia="Times New Roman" w:hAnsiTheme="majorHAnsi" w:cs="Times New Roman"/>
          <w:sz w:val="20"/>
          <w:szCs w:val="20"/>
        </w:rPr>
      </w:pPr>
      <w:r w:rsidRPr="00CC7950">
        <w:rPr>
          <w:rFonts w:asciiTheme="majorHAnsi" w:eastAsia="Times New Roman" w:hAnsiTheme="majorHAnsi" w:cs="Times New Roman"/>
          <w:sz w:val="20"/>
          <w:szCs w:val="20"/>
        </w:rPr>
        <w:t>Ponuditelj nudi cijene Predmeta nabave putem ovog Troškovnika te je obavezan nuditi, odnosno ispuniti sve stavke Troškovnika. Nije prihvatljivo precrtavanje ili korigiranje zadane stavke Troškovnika.</w:t>
      </w:r>
    </w:p>
    <w:tbl>
      <w:tblPr>
        <w:tblStyle w:val="TableGrid"/>
        <w:tblW w:w="9210" w:type="dxa"/>
        <w:tblLook w:val="04A0" w:firstRow="1" w:lastRow="0" w:firstColumn="1" w:lastColumn="0" w:noHBand="0" w:noVBand="1"/>
      </w:tblPr>
      <w:tblGrid>
        <w:gridCol w:w="562"/>
        <w:gridCol w:w="7230"/>
        <w:gridCol w:w="1418"/>
      </w:tblGrid>
      <w:tr w:rsidR="007E692B" w:rsidRPr="00647A4B" w:rsidTr="00CE4CDD">
        <w:tc>
          <w:tcPr>
            <w:tcW w:w="562" w:type="dxa"/>
            <w:shd w:val="clear" w:color="auto" w:fill="D9D9D9" w:themeFill="background1" w:themeFillShade="D9"/>
          </w:tcPr>
          <w:p w:rsidR="007E692B" w:rsidRPr="00647A4B" w:rsidRDefault="007E692B" w:rsidP="00CE4CDD">
            <w:pPr>
              <w:jc w:val="center"/>
              <w:rPr>
                <w:rFonts w:ascii="Calibri" w:hAnsi="Calibri" w:cs="Calibri"/>
                <w:b/>
              </w:rPr>
            </w:pPr>
            <w:r w:rsidRPr="00647A4B">
              <w:rPr>
                <w:rFonts w:ascii="Calibri" w:hAnsi="Calibri" w:cs="Calibri"/>
                <w:b/>
              </w:rPr>
              <w:t>Br.</w:t>
            </w:r>
          </w:p>
        </w:tc>
        <w:tc>
          <w:tcPr>
            <w:tcW w:w="7230" w:type="dxa"/>
            <w:shd w:val="clear" w:color="auto" w:fill="D9D9D9" w:themeFill="background1" w:themeFillShade="D9"/>
          </w:tcPr>
          <w:p w:rsidR="007E692B" w:rsidRPr="00647A4B" w:rsidRDefault="007E692B" w:rsidP="00CE4CDD">
            <w:pPr>
              <w:jc w:val="center"/>
              <w:rPr>
                <w:rFonts w:ascii="Calibri" w:hAnsi="Calibri" w:cs="Calibri"/>
                <w:b/>
              </w:rPr>
            </w:pPr>
            <w:r w:rsidRPr="00647A4B">
              <w:rPr>
                <w:rFonts w:ascii="Calibri" w:hAnsi="Calibri" w:cs="Calibri"/>
                <w:b/>
              </w:rPr>
              <w:t>Predmet nabave</w:t>
            </w:r>
          </w:p>
        </w:tc>
        <w:tc>
          <w:tcPr>
            <w:tcW w:w="1418" w:type="dxa"/>
            <w:shd w:val="clear" w:color="auto" w:fill="D9D9D9" w:themeFill="background1" w:themeFillShade="D9"/>
          </w:tcPr>
          <w:p w:rsidR="007E692B" w:rsidRPr="00647A4B" w:rsidRDefault="007E692B" w:rsidP="00CE4CDD">
            <w:pPr>
              <w:jc w:val="center"/>
              <w:rPr>
                <w:rFonts w:ascii="Calibri" w:hAnsi="Calibri" w:cs="Calibri"/>
                <w:b/>
              </w:rPr>
            </w:pPr>
            <w:r w:rsidRPr="00647A4B">
              <w:rPr>
                <w:rFonts w:ascii="Calibri" w:hAnsi="Calibri" w:cs="Calibri"/>
                <w:b/>
              </w:rPr>
              <w:t>DA/NE/Opis</w:t>
            </w:r>
          </w:p>
        </w:tc>
      </w:tr>
      <w:tr w:rsidR="007E692B" w:rsidRPr="00647A4B" w:rsidTr="00CE4CDD">
        <w:tc>
          <w:tcPr>
            <w:tcW w:w="562" w:type="dxa"/>
          </w:tcPr>
          <w:p w:rsidR="007E692B" w:rsidRPr="00647A4B" w:rsidRDefault="007E692B" w:rsidP="00CE4CDD">
            <w:pPr>
              <w:jc w:val="center"/>
              <w:rPr>
                <w:rFonts w:ascii="Calibri" w:hAnsi="Calibri" w:cs="Calibri"/>
              </w:rPr>
            </w:pPr>
            <w:r w:rsidRPr="00647A4B">
              <w:rPr>
                <w:rFonts w:ascii="Calibri" w:hAnsi="Calibri" w:cs="Calibri"/>
              </w:rPr>
              <w:t>1.</w:t>
            </w:r>
          </w:p>
        </w:tc>
        <w:tc>
          <w:tcPr>
            <w:tcW w:w="7230" w:type="dxa"/>
            <w:vAlign w:val="center"/>
          </w:tcPr>
          <w:p w:rsidR="007E692B" w:rsidRDefault="007E692B" w:rsidP="00CE4CDD">
            <w:pPr>
              <w:pStyle w:val="Default"/>
              <w:rPr>
                <w:rFonts w:asciiTheme="minorHAnsi" w:eastAsia="MS Minngs" w:hAnsiTheme="minorHAnsi" w:cstheme="minorHAnsi"/>
                <w:sz w:val="22"/>
                <w:szCs w:val="22"/>
                <w:lang w:eastAsia="en-US"/>
              </w:rPr>
            </w:pPr>
            <w:r>
              <w:rPr>
                <w:rFonts w:asciiTheme="minorHAnsi" w:eastAsia="MS Minngs" w:hAnsiTheme="minorHAnsi" w:cstheme="minorHAnsi"/>
                <w:sz w:val="22"/>
                <w:szCs w:val="22"/>
                <w:lang w:eastAsia="en-US"/>
              </w:rPr>
              <w:t>Kompletan ERP sustav slijedećih karakteristika:</w:t>
            </w:r>
          </w:p>
          <w:p w:rsidR="007E692B" w:rsidRPr="00133B9E" w:rsidRDefault="007E692B" w:rsidP="00CE4CDD">
            <w:pPr>
              <w:pStyle w:val="Default"/>
              <w:rPr>
                <w:rFonts w:asciiTheme="minorHAnsi" w:eastAsia="MS Minngs" w:hAnsiTheme="minorHAnsi" w:cstheme="minorHAnsi"/>
                <w:sz w:val="22"/>
                <w:szCs w:val="22"/>
                <w:lang w:eastAsia="en-US"/>
              </w:rPr>
            </w:pPr>
            <w:r w:rsidRPr="00133B9E">
              <w:rPr>
                <w:rFonts w:asciiTheme="minorHAnsi" w:eastAsia="MS Minngs" w:hAnsiTheme="minorHAnsi" w:cstheme="minorHAnsi"/>
                <w:sz w:val="22"/>
                <w:szCs w:val="22"/>
                <w:lang w:eastAsia="en-US"/>
              </w:rPr>
              <w:t>Ponuditelj treba isporučiti rješenje poslovno informacijskog ERP sustava, koje mora sadržavati sljedeće podsustave/funkcionalnosti:</w:t>
            </w:r>
          </w:p>
          <w:p w:rsidR="007E692B" w:rsidRDefault="007E692B" w:rsidP="00CE4CDD">
            <w:pPr>
              <w:numPr>
                <w:ilvl w:val="0"/>
                <w:numId w:val="2"/>
              </w:numPr>
              <w:rPr>
                <w:rFonts w:eastAsia="MS Minngs" w:cstheme="minorHAnsi"/>
              </w:rPr>
            </w:pPr>
            <w:r w:rsidRPr="00133B9E">
              <w:rPr>
                <w:rFonts w:eastAsia="MS Minngs" w:cstheme="minorHAnsi"/>
              </w:rPr>
              <w:t xml:space="preserve">Financijsko </w:t>
            </w:r>
            <w:r>
              <w:rPr>
                <w:rFonts w:eastAsia="MS Minngs" w:cstheme="minorHAnsi"/>
              </w:rPr>
              <w:t>knjigovodstvo</w:t>
            </w:r>
            <w:r w:rsidRPr="00133B9E">
              <w:rPr>
                <w:rFonts w:eastAsia="MS Minngs" w:cstheme="minorHAnsi"/>
              </w:rPr>
              <w:t xml:space="preserve"> – podsustav/ funkcionalnost mora omogućavati evidenciju i obradu financijskih dokumenata unutar poduzeća. </w:t>
            </w:r>
          </w:p>
          <w:p w:rsidR="007E692B" w:rsidRPr="00133B9E" w:rsidRDefault="007E692B" w:rsidP="00CE4CDD">
            <w:pPr>
              <w:numPr>
                <w:ilvl w:val="0"/>
                <w:numId w:val="2"/>
              </w:numPr>
              <w:rPr>
                <w:rFonts w:eastAsia="MS Minngs" w:cstheme="minorHAnsi"/>
              </w:rPr>
            </w:pPr>
            <w:r>
              <w:rPr>
                <w:rFonts w:eastAsia="MS Minngs" w:cstheme="minorHAnsi"/>
              </w:rPr>
              <w:t>Servis – podsustav/funkcionalnost mora omogućavati izradu i praćenje servisnih radnih naloga za predmete servisiranja vezane za šifrarnik artikala ili uređaje vezane za određene partnere.  Mora omogućavati izradu naloga koji obuhvaćaju podatke o zaprimanju upita, određivanje tipa i statusa naloga i dodjeljivanje serviseru. Obrada naloga mora obuhvaćati unos podataka o ugrađenim dijelovima i izvršenim uslugama. Odrađeni nalozi se moraju automatski fakturirati po nekoliko odabranih kriterija (status naloga, period). Unutar podsustava moraju se omogućiti izvješća koja obuhvaćaju rekapitulaciju naloga po zadanom parametru, kartice uređaja te omogućiti analize naloga po partneru, korisniku, serviseru, periodu i načinu dolaska klijenta.</w:t>
            </w:r>
          </w:p>
          <w:p w:rsidR="007E692B" w:rsidRPr="00133B9E" w:rsidRDefault="007E692B" w:rsidP="00CE4CDD">
            <w:pPr>
              <w:pStyle w:val="Default"/>
              <w:numPr>
                <w:ilvl w:val="0"/>
                <w:numId w:val="2"/>
              </w:numPr>
              <w:rPr>
                <w:rFonts w:asciiTheme="minorHAnsi" w:eastAsia="MS Minngs" w:hAnsiTheme="minorHAnsi" w:cstheme="minorHAnsi"/>
                <w:sz w:val="22"/>
                <w:szCs w:val="22"/>
                <w:lang w:eastAsia="en-US"/>
              </w:rPr>
            </w:pPr>
            <w:r w:rsidRPr="00133B9E">
              <w:rPr>
                <w:rFonts w:asciiTheme="minorHAnsi" w:eastAsia="MS Minngs" w:hAnsiTheme="minorHAnsi" w:cstheme="minorHAnsi"/>
                <w:sz w:val="22"/>
                <w:szCs w:val="22"/>
                <w:lang w:eastAsia="en-US"/>
              </w:rPr>
              <w:t>Obračun PDV-a – podsustav/ funkcionalnost mora omogućavati praćenje poreznih evidencija u skladu s važećim zakonodavstvom te formiranje Knjige izdanih računa i primljenih avansa za domaća izdavanja i EU. Mora biti omogućen izvoz u sustav ePorezne.</w:t>
            </w:r>
          </w:p>
          <w:p w:rsidR="007E692B" w:rsidRPr="00133B9E" w:rsidRDefault="007E692B" w:rsidP="00CE4CDD">
            <w:pPr>
              <w:pStyle w:val="Default"/>
              <w:numPr>
                <w:ilvl w:val="0"/>
                <w:numId w:val="2"/>
              </w:numPr>
              <w:rPr>
                <w:rFonts w:asciiTheme="minorHAnsi" w:eastAsia="MS Minngs" w:hAnsiTheme="minorHAnsi" w:cstheme="minorHAnsi"/>
                <w:sz w:val="22"/>
                <w:szCs w:val="22"/>
                <w:lang w:eastAsia="en-US"/>
              </w:rPr>
            </w:pPr>
            <w:r w:rsidRPr="004032B9">
              <w:rPr>
                <w:rFonts w:asciiTheme="minorHAnsi" w:eastAsia="MS Minngs" w:hAnsiTheme="minorHAnsi" w:cstheme="minorHAnsi"/>
                <w:sz w:val="22"/>
                <w:szCs w:val="22"/>
                <w:lang w:eastAsia="en-US"/>
              </w:rPr>
              <w:t>Robno/Materijalno poslovanje –</w:t>
            </w:r>
            <w:r w:rsidRPr="00133B9E">
              <w:rPr>
                <w:rFonts w:asciiTheme="minorHAnsi" w:eastAsia="MS Minngs" w:hAnsiTheme="minorHAnsi" w:cstheme="minorHAnsi"/>
                <w:sz w:val="22"/>
                <w:szCs w:val="22"/>
                <w:lang w:eastAsia="en-US"/>
              </w:rPr>
              <w:t xml:space="preserve"> podsustav treba unaprijediti poslovne procese nabave, prodaje, robnog poslovanja, proizvodnje i vođenja skladišta.</w:t>
            </w:r>
          </w:p>
          <w:p w:rsidR="007E692B" w:rsidRPr="00133B9E" w:rsidRDefault="007E692B" w:rsidP="00CE4CDD">
            <w:pPr>
              <w:pStyle w:val="Default"/>
              <w:numPr>
                <w:ilvl w:val="0"/>
                <w:numId w:val="2"/>
              </w:numPr>
              <w:rPr>
                <w:rFonts w:asciiTheme="minorHAnsi" w:eastAsia="MS Minngs" w:hAnsiTheme="minorHAnsi" w:cstheme="minorHAnsi"/>
                <w:sz w:val="22"/>
                <w:szCs w:val="22"/>
                <w:lang w:eastAsia="en-US"/>
              </w:rPr>
            </w:pPr>
            <w:r>
              <w:rPr>
                <w:rFonts w:asciiTheme="minorHAnsi" w:eastAsia="MS Minngs" w:hAnsiTheme="minorHAnsi" w:cstheme="minorHAnsi"/>
                <w:sz w:val="22"/>
                <w:szCs w:val="22"/>
                <w:lang w:eastAsia="en-US"/>
              </w:rPr>
              <w:t>O</w:t>
            </w:r>
            <w:r w:rsidRPr="00133B9E">
              <w:rPr>
                <w:rFonts w:asciiTheme="minorHAnsi" w:eastAsia="MS Minngs" w:hAnsiTheme="minorHAnsi" w:cstheme="minorHAnsi"/>
                <w:sz w:val="22"/>
                <w:szCs w:val="22"/>
                <w:lang w:eastAsia="en-US"/>
              </w:rPr>
              <w:t xml:space="preserve">bračun plaće </w:t>
            </w:r>
          </w:p>
          <w:p w:rsidR="007E692B" w:rsidRPr="00133B9E" w:rsidRDefault="007E692B" w:rsidP="00CE4CDD">
            <w:pPr>
              <w:ind w:left="720"/>
              <w:rPr>
                <w:rFonts w:eastAsia="MS Minngs" w:cstheme="minorHAnsi"/>
              </w:rPr>
            </w:pPr>
            <w:r w:rsidRPr="00133B9E">
              <w:rPr>
                <w:rFonts w:eastAsia="MS Minngs" w:cstheme="minorHAnsi"/>
              </w:rPr>
              <w:t xml:space="preserve">Podsustav/ funkcionalnost obračun plaće mora sadržavati sljedeće funkcionalne cjeline: Obračun plaća. Funkcionalna cjelina Obračun plaća mora imati mogućnost obračuna redovitih plaća, ugovora o djelu, autorskih honorara te rada vježbenika, učenika i studenata. </w:t>
            </w:r>
            <w:r w:rsidRPr="00133B9E">
              <w:rPr>
                <w:rFonts w:eastAsia="MS Minngs" w:cstheme="minorHAnsi"/>
              </w:rPr>
              <w:lastRenderedPageBreak/>
              <w:t xml:space="preserve">Funkcionalna cjelina Obračun plaća mora omogućavati automatsko knjiženje obračuna u glavnu knjigu. Funkcionalna cjelina Obračun plaća mora imati mogućnost kreiranja JOPPD obrasca </w:t>
            </w:r>
            <w:r>
              <w:rPr>
                <w:rFonts w:eastAsia="MS Minngs" w:cstheme="minorHAnsi"/>
              </w:rPr>
              <w:t>.</w:t>
            </w:r>
          </w:p>
          <w:p w:rsidR="007E692B" w:rsidRPr="00133B9E" w:rsidRDefault="007E692B" w:rsidP="00CE4CDD">
            <w:pPr>
              <w:pStyle w:val="Default"/>
              <w:numPr>
                <w:ilvl w:val="0"/>
                <w:numId w:val="2"/>
              </w:numPr>
              <w:rPr>
                <w:rFonts w:asciiTheme="minorHAnsi" w:eastAsia="MS Minngs" w:hAnsiTheme="minorHAnsi" w:cstheme="minorHAnsi"/>
                <w:sz w:val="22"/>
                <w:szCs w:val="22"/>
                <w:lang w:eastAsia="en-US"/>
              </w:rPr>
            </w:pPr>
            <w:r w:rsidRPr="00133B9E">
              <w:rPr>
                <w:rFonts w:asciiTheme="minorHAnsi" w:eastAsia="MS Minngs" w:hAnsiTheme="minorHAnsi" w:cstheme="minorHAnsi"/>
                <w:sz w:val="22"/>
                <w:szCs w:val="22"/>
                <w:lang w:eastAsia="en-US"/>
              </w:rPr>
              <w:t xml:space="preserve">Putni nalozi- Podsustav/ funkcionalnost moraomogućavati praćenje putovanja (također kružnih), na kojima su nastali troškovi u više valuta. </w:t>
            </w:r>
          </w:p>
          <w:p w:rsidR="007E692B" w:rsidRPr="00133B9E" w:rsidRDefault="007E692B" w:rsidP="00CE4CDD">
            <w:pPr>
              <w:pStyle w:val="Default"/>
              <w:numPr>
                <w:ilvl w:val="0"/>
                <w:numId w:val="2"/>
              </w:numPr>
              <w:rPr>
                <w:rFonts w:asciiTheme="minorHAnsi" w:eastAsia="MS Minngs" w:hAnsiTheme="minorHAnsi" w:cstheme="minorHAnsi"/>
                <w:sz w:val="22"/>
                <w:szCs w:val="22"/>
                <w:lang w:eastAsia="en-US"/>
              </w:rPr>
            </w:pPr>
            <w:r w:rsidRPr="00133B9E">
              <w:rPr>
                <w:rFonts w:asciiTheme="minorHAnsi" w:eastAsia="MS Minngs" w:hAnsiTheme="minorHAnsi" w:cstheme="minorHAnsi"/>
                <w:sz w:val="22"/>
                <w:szCs w:val="22"/>
                <w:lang w:eastAsia="en-US"/>
              </w:rPr>
              <w:t>Obračun kamata – Podsustav/ funkcionalnost mora imati mogućnost automatskog knjiženja kamata u financijsko poslovanje.</w:t>
            </w:r>
          </w:p>
          <w:p w:rsidR="007E692B" w:rsidRDefault="007E692B" w:rsidP="00CE4CDD">
            <w:pPr>
              <w:pStyle w:val="Default"/>
              <w:numPr>
                <w:ilvl w:val="0"/>
                <w:numId w:val="2"/>
              </w:numPr>
              <w:rPr>
                <w:rFonts w:asciiTheme="minorHAnsi" w:eastAsia="MS Minngs" w:hAnsiTheme="minorHAnsi" w:cstheme="minorHAnsi"/>
                <w:sz w:val="22"/>
                <w:szCs w:val="22"/>
                <w:lang w:eastAsia="en-US"/>
              </w:rPr>
            </w:pPr>
            <w:r w:rsidRPr="00133B9E">
              <w:rPr>
                <w:rFonts w:asciiTheme="minorHAnsi" w:eastAsia="MS Minngs" w:hAnsiTheme="minorHAnsi" w:cstheme="minorHAnsi"/>
                <w:sz w:val="22"/>
                <w:szCs w:val="22"/>
                <w:lang w:eastAsia="en-US"/>
              </w:rPr>
              <w:t>Fakturiranje</w:t>
            </w:r>
            <w:r>
              <w:rPr>
                <w:rFonts w:asciiTheme="minorHAnsi" w:eastAsia="MS Minngs" w:hAnsiTheme="minorHAnsi" w:cstheme="minorHAnsi"/>
                <w:sz w:val="22"/>
                <w:szCs w:val="22"/>
                <w:lang w:eastAsia="en-US"/>
              </w:rPr>
              <w:t>/Veleprodaja</w:t>
            </w:r>
            <w:r w:rsidRPr="00133B9E">
              <w:rPr>
                <w:rFonts w:asciiTheme="minorHAnsi" w:eastAsia="MS Minngs" w:hAnsiTheme="minorHAnsi" w:cstheme="minorHAnsi"/>
                <w:sz w:val="22"/>
                <w:szCs w:val="22"/>
                <w:lang w:eastAsia="en-US"/>
              </w:rPr>
              <w:t xml:space="preserve"> –Podsustav/ funkcionalnost mora omogućavati da se fakture automatski prenose u knjige Izdanih računa i u financijsko knjigovodstvo.</w:t>
            </w:r>
          </w:p>
          <w:p w:rsidR="007E692B" w:rsidRPr="00B02AA8" w:rsidRDefault="007E692B" w:rsidP="00CE4CDD">
            <w:pPr>
              <w:pStyle w:val="Default"/>
              <w:numPr>
                <w:ilvl w:val="0"/>
                <w:numId w:val="2"/>
              </w:numPr>
              <w:rPr>
                <w:rFonts w:asciiTheme="minorHAnsi" w:eastAsia="MS Minngs" w:hAnsiTheme="minorHAnsi" w:cstheme="minorHAnsi"/>
                <w:sz w:val="22"/>
                <w:szCs w:val="22"/>
                <w:lang w:eastAsia="en-US"/>
              </w:rPr>
            </w:pPr>
            <w:r>
              <w:rPr>
                <w:rFonts w:asciiTheme="minorHAnsi" w:eastAsia="MS Minngs" w:hAnsiTheme="minorHAnsi" w:cstheme="minorHAnsi"/>
                <w:sz w:val="22"/>
                <w:szCs w:val="22"/>
                <w:lang w:eastAsia="en-US"/>
              </w:rPr>
              <w:t>API – Web servisi – moraju podržavati opcije: pregled, dodavanje i izmjena artikala, Pregled aktualnih cijena i prodajnih akcija artikala, pregled, dodavanje i izmjena partnera, Pregled stanja zalihe po skladištima i/ili ukupno, pregled aktivnih vrsta plaćanja. Dodavanje naloga prodaje, pregled i dodavanje maloprodajnih računa, Obračune po vrstama plaćanja i po artiklima. Unutar ove funkcionalnosti mora biti ukljućena dokumentacija, instalacija na korisnikov server, implementacija, podrška i mogućnost B2B.</w:t>
            </w:r>
          </w:p>
          <w:p w:rsidR="007E692B" w:rsidRDefault="007E692B" w:rsidP="00CE4CDD">
            <w:pPr>
              <w:pStyle w:val="Default"/>
              <w:numPr>
                <w:ilvl w:val="0"/>
                <w:numId w:val="2"/>
              </w:numPr>
              <w:rPr>
                <w:rFonts w:asciiTheme="minorHAnsi" w:eastAsia="MS Minngs" w:hAnsiTheme="minorHAnsi" w:cstheme="minorHAnsi"/>
                <w:sz w:val="22"/>
                <w:szCs w:val="22"/>
                <w:lang w:eastAsia="en-US"/>
              </w:rPr>
            </w:pPr>
            <w:r w:rsidRPr="00133B9E">
              <w:rPr>
                <w:rFonts w:asciiTheme="minorHAnsi" w:eastAsia="MS Minngs" w:hAnsiTheme="minorHAnsi" w:cstheme="minorHAnsi"/>
                <w:sz w:val="22"/>
                <w:szCs w:val="22"/>
                <w:lang w:eastAsia="en-US"/>
              </w:rPr>
              <w:t xml:space="preserve">Poslovna </w:t>
            </w:r>
            <w:r>
              <w:rPr>
                <w:rFonts w:asciiTheme="minorHAnsi" w:eastAsia="MS Minngs" w:hAnsiTheme="minorHAnsi" w:cstheme="minorHAnsi"/>
                <w:sz w:val="22"/>
                <w:szCs w:val="22"/>
                <w:lang w:eastAsia="en-US"/>
              </w:rPr>
              <w:t>Analiza</w:t>
            </w:r>
            <w:r w:rsidRPr="00133B9E">
              <w:rPr>
                <w:rFonts w:asciiTheme="minorHAnsi" w:eastAsia="MS Minngs" w:hAnsiTheme="minorHAnsi" w:cstheme="minorHAnsi"/>
                <w:sz w:val="22"/>
                <w:szCs w:val="22"/>
                <w:lang w:eastAsia="en-US"/>
              </w:rPr>
              <w:t xml:space="preserve">- podsustav moraomogućavati izvještaje, analize, </w:t>
            </w:r>
            <w:r>
              <w:rPr>
                <w:rFonts w:asciiTheme="minorHAnsi" w:eastAsia="MS Minngs" w:hAnsiTheme="minorHAnsi" w:cstheme="minorHAnsi"/>
                <w:sz w:val="22"/>
                <w:szCs w:val="22"/>
                <w:lang w:eastAsia="en-US"/>
              </w:rPr>
              <w:t>promet po proizvodima i grupama proizvoda, promet po partnerima i grupama partnera, promet po agentima, suradnicima i korisnicima, promet po regijama, promet po vremenskim jedinicama, OLAP analiza stanja zalihe, sve analize moraju nuditi mogućnost uvida u veleprodajni/maloprodajni promet zajedno ili pojedinačno.</w:t>
            </w:r>
          </w:p>
          <w:p w:rsidR="007E692B" w:rsidRPr="00D601EA" w:rsidRDefault="007E692B" w:rsidP="00CE4CDD">
            <w:pPr>
              <w:pStyle w:val="ListParagraph"/>
              <w:numPr>
                <w:ilvl w:val="0"/>
                <w:numId w:val="2"/>
              </w:numPr>
              <w:rPr>
                <w:rFonts w:eastAsia="MS Minngs" w:cstheme="minorHAnsi"/>
                <w:color w:val="000000"/>
              </w:rPr>
            </w:pPr>
            <w:r w:rsidRPr="001C19FA">
              <w:rPr>
                <w:rFonts w:eastAsia="MS Minngs" w:cstheme="minorHAnsi"/>
              </w:rPr>
              <w:t>Praćenje i izvještavanje lokacija</w:t>
            </w:r>
            <w:r w:rsidRPr="00C11CF6">
              <w:rPr>
                <w:rFonts w:eastAsia="MS Minngs" w:cstheme="minorHAnsi"/>
                <w:b/>
                <w:color w:val="FF0000"/>
              </w:rPr>
              <w:t xml:space="preserve"> -</w:t>
            </w:r>
            <w:r w:rsidRPr="00D601EA">
              <w:rPr>
                <w:rFonts w:eastAsia="MS Minngs" w:cstheme="minorHAnsi"/>
              </w:rPr>
              <w:t xml:space="preserve">funkcionalnost mora omogućavati da se vodi kompletan proces od ugovaranja do novih kampanja i lokacija, sve do postavljanja na lokaciju. Podsustav mora omogućiti otvaranje radnih naloga putem pametnih mobilnih </w:t>
            </w:r>
            <w:r w:rsidRPr="00D601EA">
              <w:rPr>
                <w:rFonts w:eastAsia="MS Minngs" w:cstheme="minorHAnsi"/>
                <w:color w:val="000000"/>
              </w:rPr>
              <w:t xml:space="preserve">telefona s kartografskim pregledom aktivnih lokacija kao i pregled u obliku liste nad svim nalozima koji su dodjeljeni sa opcijom da se nalozi preuzmu i obrađuju. Podsustav mora omogućiti zaposlenicima koji preuzmu radni nalog uvid u lokaciju (grad, adresa, vrsta objekta/lokacije, odjel, ime odgovorne osobe), vrstu površine za postavljanje, rok, napomena. Nakon završetka posla od strane zaposlenika, zaposlenik mora imati mogućnost fotografiranja lokacije putem kamere pametnog mobilnog telefona te bilježenja geolokacijske oznake. Podsustav mora imati mogućnost da administratori imaju pregled svih trenutnih aktivnosti kao što su: nalozi u obradi, nalozi na čekanju, struktura kampanja po geografskim lokacijama, filtriranje po kategorijama lokacija. Podsustav mora imati mogućnost označavanja/markiranja lokacija na karti, koje ovisno o boji predstavljaju lokacije na kojima je izvršena radnja ili nije. Podsustav mora omogućiti da zaposlenik klikom na označene lokacije ima uvid u detalje odrađenog naloga te u detalje same lokacije, uključujući i fotografiju kao potvrdu obavljene instalacije. Podsustav mora omogućiti administratorima kreiranje novih i zatvaranje postojećih računa za zaposlenike na instalacijama u slučaju da se radi </w:t>
            </w:r>
            <w:r w:rsidRPr="00D601EA">
              <w:rPr>
                <w:rFonts w:eastAsia="MS Minngs" w:cstheme="minorHAnsi"/>
                <w:color w:val="000000"/>
              </w:rPr>
              <w:lastRenderedPageBreak/>
              <w:t>o studentskom poslu ili povremenim radnicima kako nebi imali pristup sustavu izvan perioda potrebnog za odrađivanje naloga. Ovaj podsustav mora biti integriran s ERP sustavom te mora imati mogućnost praćenja učinkovitosti i troškova.</w:t>
            </w:r>
          </w:p>
          <w:p w:rsidR="007E692B" w:rsidRPr="00133B9E" w:rsidRDefault="007E692B" w:rsidP="00CE4CDD">
            <w:pPr>
              <w:pStyle w:val="Default"/>
              <w:ind w:left="720"/>
              <w:rPr>
                <w:rFonts w:asciiTheme="minorHAnsi" w:eastAsia="MS Minngs" w:hAnsiTheme="minorHAnsi" w:cstheme="minorHAnsi"/>
                <w:sz w:val="22"/>
                <w:szCs w:val="22"/>
                <w:lang w:eastAsia="en-US"/>
              </w:rPr>
            </w:pPr>
          </w:p>
          <w:p w:rsidR="007E692B" w:rsidRPr="00133B9E" w:rsidRDefault="007E692B" w:rsidP="00CE4CDD">
            <w:pPr>
              <w:pStyle w:val="Default"/>
              <w:rPr>
                <w:rFonts w:asciiTheme="minorHAnsi" w:eastAsia="MS Minngs" w:hAnsiTheme="minorHAnsi" w:cstheme="minorHAnsi"/>
                <w:sz w:val="22"/>
                <w:szCs w:val="22"/>
                <w:lang w:eastAsia="en-US"/>
              </w:rPr>
            </w:pPr>
          </w:p>
          <w:p w:rsidR="007E692B" w:rsidRDefault="007E692B" w:rsidP="00CE4CDD">
            <w:pPr>
              <w:pStyle w:val="Default"/>
              <w:rPr>
                <w:rFonts w:asciiTheme="minorHAnsi" w:eastAsia="MS Minngs" w:hAnsiTheme="minorHAnsi" w:cstheme="minorHAnsi"/>
                <w:sz w:val="22"/>
                <w:szCs w:val="22"/>
                <w:lang w:eastAsia="en-US"/>
              </w:rPr>
            </w:pPr>
            <w:r w:rsidRPr="00133B9E">
              <w:rPr>
                <w:rFonts w:asciiTheme="minorHAnsi" w:eastAsia="MS Minngs" w:hAnsiTheme="minorHAnsi" w:cstheme="minorHAnsi"/>
                <w:sz w:val="22"/>
                <w:szCs w:val="22"/>
                <w:lang w:eastAsia="en-US"/>
              </w:rPr>
              <w:t>Ponuditelj treba isporučiti rješenje poslovno informacijskog ERP sustava, koje mora sadržavati</w:t>
            </w:r>
            <w:r>
              <w:rPr>
                <w:rFonts w:asciiTheme="minorHAnsi" w:eastAsia="MS Minngs" w:hAnsiTheme="minorHAnsi" w:cstheme="minorHAnsi"/>
                <w:sz w:val="22"/>
                <w:szCs w:val="22"/>
                <w:lang w:eastAsia="en-US"/>
              </w:rPr>
              <w:t xml:space="preserve"> minimalno</w:t>
            </w:r>
            <w:r w:rsidRPr="00133B9E">
              <w:rPr>
                <w:rFonts w:asciiTheme="minorHAnsi" w:eastAsia="MS Minngs" w:hAnsiTheme="minorHAnsi" w:cstheme="minorHAnsi"/>
                <w:sz w:val="22"/>
                <w:szCs w:val="22"/>
                <w:lang w:eastAsia="en-US"/>
              </w:rPr>
              <w:t xml:space="preserve"> sljedeće mogućnosti:</w:t>
            </w:r>
          </w:p>
          <w:p w:rsidR="007E692B" w:rsidRPr="00133B9E" w:rsidRDefault="007E692B" w:rsidP="00CE4CDD">
            <w:pPr>
              <w:pStyle w:val="Default"/>
              <w:rPr>
                <w:rFonts w:asciiTheme="minorHAnsi" w:eastAsia="MS Minngs" w:hAnsiTheme="minorHAnsi" w:cstheme="minorHAnsi"/>
                <w:sz w:val="22"/>
                <w:szCs w:val="22"/>
                <w:lang w:eastAsia="en-US"/>
              </w:rPr>
            </w:pPr>
          </w:p>
          <w:p w:rsidR="007E692B" w:rsidRDefault="007E692B" w:rsidP="00CE4CDD">
            <w:pPr>
              <w:pStyle w:val="Default"/>
              <w:numPr>
                <w:ilvl w:val="0"/>
                <w:numId w:val="2"/>
              </w:numPr>
              <w:rPr>
                <w:rFonts w:asciiTheme="minorHAnsi" w:eastAsia="MS Minngs" w:hAnsiTheme="minorHAnsi" w:cstheme="minorHAnsi"/>
                <w:sz w:val="22"/>
                <w:szCs w:val="22"/>
                <w:lang w:eastAsia="en-US"/>
              </w:rPr>
            </w:pPr>
            <w:r w:rsidRPr="00E647BF">
              <w:rPr>
                <w:rFonts w:asciiTheme="minorHAnsi" w:eastAsia="MS Minngs" w:hAnsiTheme="minorHAnsi" w:cstheme="minorHAnsi"/>
                <w:sz w:val="22"/>
                <w:szCs w:val="22"/>
                <w:lang w:eastAsia="en-US"/>
              </w:rPr>
              <w:t xml:space="preserve">Poveznica sa standardima razmijene </w:t>
            </w:r>
            <w:r>
              <w:rPr>
                <w:rFonts w:asciiTheme="minorHAnsi" w:eastAsia="MS Minngs" w:hAnsiTheme="minorHAnsi" w:cstheme="minorHAnsi"/>
                <w:sz w:val="22"/>
                <w:szCs w:val="22"/>
                <w:lang w:eastAsia="en-US"/>
              </w:rPr>
              <w:t>elektronskih dokumenata</w:t>
            </w:r>
          </w:p>
          <w:p w:rsidR="007E692B" w:rsidRDefault="007E692B" w:rsidP="00CE4CDD">
            <w:pPr>
              <w:pStyle w:val="Default"/>
              <w:numPr>
                <w:ilvl w:val="0"/>
                <w:numId w:val="2"/>
              </w:numPr>
              <w:rPr>
                <w:rFonts w:asciiTheme="minorHAnsi" w:eastAsia="MS Minngs" w:hAnsiTheme="minorHAnsi" w:cstheme="minorHAnsi"/>
                <w:sz w:val="22"/>
                <w:szCs w:val="22"/>
                <w:lang w:eastAsia="en-US"/>
              </w:rPr>
            </w:pPr>
            <w:r>
              <w:rPr>
                <w:rFonts w:asciiTheme="minorHAnsi" w:eastAsia="MS Minngs" w:hAnsiTheme="minorHAnsi" w:cstheme="minorHAnsi"/>
                <w:sz w:val="22"/>
                <w:szCs w:val="22"/>
                <w:lang w:eastAsia="en-US"/>
              </w:rPr>
              <w:t>Kalkulacije</w:t>
            </w:r>
          </w:p>
          <w:p w:rsidR="007E692B" w:rsidRDefault="007E692B" w:rsidP="00CE4CDD">
            <w:pPr>
              <w:pStyle w:val="Default"/>
              <w:numPr>
                <w:ilvl w:val="0"/>
                <w:numId w:val="2"/>
              </w:numPr>
              <w:rPr>
                <w:rFonts w:asciiTheme="minorHAnsi" w:eastAsia="MS Minngs" w:hAnsiTheme="minorHAnsi" w:cstheme="minorHAnsi"/>
                <w:sz w:val="22"/>
                <w:szCs w:val="22"/>
                <w:lang w:eastAsia="en-US"/>
              </w:rPr>
            </w:pPr>
            <w:r>
              <w:rPr>
                <w:rFonts w:asciiTheme="minorHAnsi" w:eastAsia="MS Minngs" w:hAnsiTheme="minorHAnsi" w:cstheme="minorHAnsi"/>
                <w:sz w:val="22"/>
                <w:szCs w:val="22"/>
                <w:lang w:eastAsia="en-US"/>
              </w:rPr>
              <w:t>Knjiga Ura/Ira/Pdv</w:t>
            </w:r>
          </w:p>
          <w:p w:rsidR="007E692B" w:rsidRDefault="007E692B" w:rsidP="00CE4CDD">
            <w:pPr>
              <w:pStyle w:val="Default"/>
              <w:numPr>
                <w:ilvl w:val="0"/>
                <w:numId w:val="2"/>
              </w:numPr>
              <w:rPr>
                <w:rFonts w:asciiTheme="minorHAnsi" w:eastAsia="MS Minngs" w:hAnsiTheme="minorHAnsi" w:cstheme="minorHAnsi"/>
                <w:sz w:val="22"/>
                <w:szCs w:val="22"/>
                <w:lang w:eastAsia="en-US"/>
              </w:rPr>
            </w:pPr>
            <w:r>
              <w:rPr>
                <w:rFonts w:asciiTheme="minorHAnsi" w:eastAsia="MS Minngs" w:hAnsiTheme="minorHAnsi" w:cstheme="minorHAnsi"/>
                <w:sz w:val="22"/>
                <w:szCs w:val="22"/>
                <w:lang w:eastAsia="en-US"/>
              </w:rPr>
              <w:t>Gotovinska blagajna</w:t>
            </w:r>
          </w:p>
          <w:p w:rsidR="007E692B" w:rsidRDefault="007E692B" w:rsidP="00CE4CDD">
            <w:pPr>
              <w:pStyle w:val="Default"/>
              <w:numPr>
                <w:ilvl w:val="0"/>
                <w:numId w:val="2"/>
              </w:numPr>
              <w:rPr>
                <w:rFonts w:asciiTheme="minorHAnsi" w:eastAsia="MS Minngs" w:hAnsiTheme="minorHAnsi" w:cstheme="minorHAnsi"/>
                <w:sz w:val="22"/>
                <w:szCs w:val="22"/>
                <w:lang w:eastAsia="en-US"/>
              </w:rPr>
            </w:pPr>
            <w:r>
              <w:rPr>
                <w:rFonts w:asciiTheme="minorHAnsi" w:eastAsia="MS Minngs" w:hAnsiTheme="minorHAnsi" w:cstheme="minorHAnsi"/>
                <w:sz w:val="22"/>
                <w:szCs w:val="22"/>
                <w:lang w:eastAsia="en-US"/>
              </w:rPr>
              <w:t>Osnovna sredstva</w:t>
            </w:r>
          </w:p>
          <w:p w:rsidR="007E692B" w:rsidRDefault="007E692B" w:rsidP="00CE4CDD">
            <w:pPr>
              <w:pStyle w:val="Default"/>
              <w:numPr>
                <w:ilvl w:val="0"/>
                <w:numId w:val="2"/>
              </w:numPr>
              <w:rPr>
                <w:rFonts w:asciiTheme="minorHAnsi" w:eastAsia="MS Minngs" w:hAnsiTheme="minorHAnsi" w:cstheme="minorHAnsi"/>
                <w:sz w:val="22"/>
                <w:szCs w:val="22"/>
                <w:lang w:eastAsia="en-US"/>
              </w:rPr>
            </w:pPr>
            <w:r>
              <w:rPr>
                <w:rFonts w:asciiTheme="minorHAnsi" w:eastAsia="MS Minngs" w:hAnsiTheme="minorHAnsi" w:cstheme="minorHAnsi"/>
                <w:sz w:val="22"/>
                <w:szCs w:val="22"/>
                <w:lang w:eastAsia="en-US"/>
              </w:rPr>
              <w:t>Kasa, prodajno mjesto, knjiga popisa</w:t>
            </w:r>
          </w:p>
          <w:p w:rsidR="007E692B" w:rsidRDefault="007E692B" w:rsidP="00CE4CDD">
            <w:pPr>
              <w:pStyle w:val="Default"/>
              <w:numPr>
                <w:ilvl w:val="0"/>
                <w:numId w:val="2"/>
              </w:numPr>
              <w:rPr>
                <w:rFonts w:asciiTheme="minorHAnsi" w:eastAsia="MS Minngs" w:hAnsiTheme="minorHAnsi" w:cstheme="minorHAnsi"/>
                <w:sz w:val="22"/>
                <w:szCs w:val="22"/>
                <w:lang w:eastAsia="en-US"/>
              </w:rPr>
            </w:pPr>
            <w:r>
              <w:rPr>
                <w:rFonts w:asciiTheme="minorHAnsi" w:eastAsia="MS Minngs" w:hAnsiTheme="minorHAnsi" w:cstheme="minorHAnsi"/>
                <w:sz w:val="22"/>
                <w:szCs w:val="22"/>
                <w:lang w:eastAsia="en-US"/>
              </w:rPr>
              <w:t>Virmani</w:t>
            </w:r>
          </w:p>
          <w:p w:rsidR="007E692B" w:rsidRPr="00E647BF" w:rsidRDefault="007E692B" w:rsidP="00CE4CDD">
            <w:pPr>
              <w:pStyle w:val="Default"/>
              <w:numPr>
                <w:ilvl w:val="0"/>
                <w:numId w:val="2"/>
              </w:numPr>
              <w:rPr>
                <w:rFonts w:asciiTheme="minorHAnsi" w:eastAsia="MS Minngs" w:hAnsiTheme="minorHAnsi" w:cstheme="minorHAnsi"/>
                <w:sz w:val="22"/>
                <w:szCs w:val="22"/>
                <w:lang w:eastAsia="en-US"/>
              </w:rPr>
            </w:pPr>
            <w:r>
              <w:rPr>
                <w:rFonts w:asciiTheme="minorHAnsi" w:eastAsia="MS Minngs" w:hAnsiTheme="minorHAnsi" w:cstheme="minorHAnsi"/>
                <w:sz w:val="22"/>
                <w:szCs w:val="22"/>
                <w:lang w:eastAsia="en-US"/>
              </w:rPr>
              <w:t>Nabava</w:t>
            </w:r>
          </w:p>
          <w:p w:rsidR="007E692B" w:rsidRPr="00133B9E" w:rsidRDefault="007E692B" w:rsidP="00CE4CDD">
            <w:pPr>
              <w:pStyle w:val="Default"/>
              <w:numPr>
                <w:ilvl w:val="0"/>
                <w:numId w:val="2"/>
              </w:numPr>
              <w:rPr>
                <w:rFonts w:asciiTheme="minorHAnsi" w:eastAsia="MS Minngs" w:hAnsiTheme="minorHAnsi" w:cstheme="minorHAnsi"/>
                <w:sz w:val="22"/>
                <w:szCs w:val="22"/>
                <w:lang w:eastAsia="en-US"/>
              </w:rPr>
            </w:pPr>
            <w:r w:rsidRPr="00133B9E">
              <w:rPr>
                <w:rFonts w:asciiTheme="minorHAnsi" w:eastAsia="MS Minngs" w:hAnsiTheme="minorHAnsi" w:cstheme="minorHAnsi"/>
                <w:sz w:val="22"/>
                <w:szCs w:val="22"/>
                <w:lang w:eastAsia="en-US"/>
              </w:rPr>
              <w:t>Documentmanagemen</w:t>
            </w:r>
            <w:r>
              <w:rPr>
                <w:rFonts w:asciiTheme="minorHAnsi" w:eastAsia="MS Minngs" w:hAnsiTheme="minorHAnsi" w:cstheme="minorHAnsi"/>
                <w:sz w:val="22"/>
                <w:szCs w:val="22"/>
                <w:lang w:eastAsia="en-US"/>
              </w:rPr>
              <w:t>t</w:t>
            </w:r>
            <w:r w:rsidRPr="00133B9E">
              <w:rPr>
                <w:rFonts w:asciiTheme="minorHAnsi" w:eastAsia="MS Minngs" w:hAnsiTheme="minorHAnsi" w:cstheme="minorHAnsi"/>
                <w:sz w:val="22"/>
                <w:szCs w:val="22"/>
                <w:lang w:eastAsia="en-US"/>
              </w:rPr>
              <w:t>uključen u poslovni sustav</w:t>
            </w:r>
          </w:p>
          <w:p w:rsidR="007E692B" w:rsidRPr="00133B9E" w:rsidRDefault="007E692B" w:rsidP="00CE4CDD">
            <w:pPr>
              <w:pStyle w:val="Default"/>
              <w:numPr>
                <w:ilvl w:val="0"/>
                <w:numId w:val="2"/>
              </w:numPr>
              <w:rPr>
                <w:rFonts w:asciiTheme="minorHAnsi" w:eastAsia="MS Minngs" w:hAnsiTheme="minorHAnsi" w:cstheme="minorHAnsi"/>
                <w:sz w:val="22"/>
                <w:szCs w:val="22"/>
                <w:lang w:eastAsia="en-US"/>
              </w:rPr>
            </w:pPr>
            <w:r w:rsidRPr="00133B9E">
              <w:rPr>
                <w:rFonts w:asciiTheme="minorHAnsi" w:eastAsia="MS Minngs" w:hAnsiTheme="minorHAnsi" w:cstheme="minorHAnsi"/>
                <w:sz w:val="22"/>
                <w:szCs w:val="22"/>
                <w:lang w:eastAsia="en-US"/>
              </w:rPr>
              <w:t>Mogućnost  backupa</w:t>
            </w:r>
          </w:p>
          <w:p w:rsidR="007E692B" w:rsidRPr="00C573B8" w:rsidRDefault="007E692B" w:rsidP="00CE4CDD">
            <w:pPr>
              <w:pStyle w:val="Default"/>
              <w:numPr>
                <w:ilvl w:val="0"/>
                <w:numId w:val="2"/>
              </w:numPr>
              <w:rPr>
                <w:rFonts w:asciiTheme="minorHAnsi" w:eastAsia="MS Minngs" w:hAnsiTheme="minorHAnsi" w:cstheme="minorHAnsi"/>
                <w:sz w:val="22"/>
                <w:szCs w:val="22"/>
                <w:lang w:eastAsia="en-US"/>
              </w:rPr>
            </w:pPr>
            <w:r w:rsidRPr="00C573B8">
              <w:rPr>
                <w:rFonts w:asciiTheme="minorHAnsi" w:eastAsia="MS Minngs" w:hAnsiTheme="minorHAnsi" w:cstheme="minorHAnsi"/>
                <w:sz w:val="22"/>
                <w:szCs w:val="22"/>
                <w:lang w:eastAsia="en-US"/>
              </w:rPr>
              <w:t>Otvorenost poslovnog sustava prema drugim sustavima te mogućnost integracije sa drugim sustavima</w:t>
            </w:r>
          </w:p>
          <w:p w:rsidR="007E692B" w:rsidRPr="005814F4" w:rsidRDefault="007E692B" w:rsidP="00CE4CDD">
            <w:pPr>
              <w:pStyle w:val="Default"/>
              <w:numPr>
                <w:ilvl w:val="0"/>
                <w:numId w:val="2"/>
              </w:numPr>
              <w:rPr>
                <w:rFonts w:asciiTheme="minorHAnsi" w:eastAsia="MS Minngs" w:hAnsiTheme="minorHAnsi" w:cstheme="minorHAnsi"/>
                <w:sz w:val="22"/>
                <w:szCs w:val="22"/>
                <w:lang w:eastAsia="en-US"/>
              </w:rPr>
            </w:pPr>
            <w:r w:rsidRPr="00C573B8">
              <w:rPr>
                <w:rFonts w:asciiTheme="minorHAnsi" w:eastAsia="MS Minngs" w:hAnsiTheme="minorHAnsi" w:cstheme="minorHAnsi"/>
                <w:sz w:val="22"/>
                <w:szCs w:val="22"/>
                <w:lang w:eastAsia="en-US"/>
              </w:rPr>
              <w:t xml:space="preserve">Poslovni sustav koristi </w:t>
            </w:r>
            <w:r w:rsidRPr="005814F4">
              <w:rPr>
                <w:rFonts w:asciiTheme="minorHAnsi" w:eastAsia="MS Minngs" w:hAnsiTheme="minorHAnsi" w:cstheme="minorHAnsi"/>
                <w:sz w:val="22"/>
                <w:szCs w:val="22"/>
                <w:lang w:eastAsia="en-US"/>
              </w:rPr>
              <w:t xml:space="preserve"> SQL Server kao bazu podataka</w:t>
            </w:r>
          </w:p>
          <w:p w:rsidR="007E692B" w:rsidRPr="00133B9E" w:rsidRDefault="007E692B" w:rsidP="00CE4CDD">
            <w:pPr>
              <w:pStyle w:val="Default"/>
              <w:numPr>
                <w:ilvl w:val="0"/>
                <w:numId w:val="2"/>
              </w:numPr>
              <w:rPr>
                <w:rFonts w:asciiTheme="minorHAnsi" w:eastAsia="MS Minngs" w:hAnsiTheme="minorHAnsi" w:cstheme="minorHAnsi"/>
                <w:sz w:val="22"/>
                <w:szCs w:val="22"/>
                <w:lang w:eastAsia="en-US"/>
              </w:rPr>
            </w:pPr>
            <w:r w:rsidRPr="00133B9E">
              <w:rPr>
                <w:rFonts w:asciiTheme="minorHAnsi" w:eastAsia="MS Minngs" w:hAnsiTheme="minorHAnsi" w:cstheme="minorHAnsi"/>
                <w:sz w:val="22"/>
                <w:szCs w:val="22"/>
                <w:lang w:eastAsia="en-US"/>
              </w:rPr>
              <w:t>Mogućnost rada sa udaljenih lokacija</w:t>
            </w:r>
          </w:p>
          <w:p w:rsidR="007E692B" w:rsidRPr="00133B9E" w:rsidRDefault="007E692B" w:rsidP="00CE4CDD">
            <w:pPr>
              <w:pStyle w:val="Default"/>
              <w:numPr>
                <w:ilvl w:val="0"/>
                <w:numId w:val="2"/>
              </w:numPr>
              <w:rPr>
                <w:rFonts w:asciiTheme="minorHAnsi" w:eastAsia="MS Minngs" w:hAnsiTheme="minorHAnsi" w:cstheme="minorHAnsi"/>
                <w:sz w:val="22"/>
                <w:szCs w:val="22"/>
                <w:lang w:eastAsia="en-US"/>
              </w:rPr>
            </w:pPr>
            <w:r w:rsidRPr="00133B9E">
              <w:rPr>
                <w:rFonts w:asciiTheme="minorHAnsi" w:eastAsia="MS Minngs" w:hAnsiTheme="minorHAnsi" w:cstheme="minorHAnsi"/>
                <w:sz w:val="22"/>
                <w:szCs w:val="22"/>
                <w:lang w:eastAsia="en-US"/>
              </w:rPr>
              <w:t>Mogućnost automatizacije (dizajn i korištenje) korisnički definiranih poslovnih procesa</w:t>
            </w:r>
          </w:p>
          <w:p w:rsidR="007E692B" w:rsidRPr="00133B9E" w:rsidRDefault="007E692B" w:rsidP="00CE4CDD">
            <w:pPr>
              <w:pStyle w:val="Default"/>
              <w:numPr>
                <w:ilvl w:val="0"/>
                <w:numId w:val="2"/>
              </w:numPr>
              <w:rPr>
                <w:rFonts w:asciiTheme="minorHAnsi" w:eastAsia="MS Minngs" w:hAnsiTheme="minorHAnsi" w:cstheme="minorHAnsi"/>
                <w:sz w:val="22"/>
                <w:szCs w:val="22"/>
                <w:lang w:eastAsia="en-US"/>
              </w:rPr>
            </w:pPr>
            <w:r>
              <w:rPr>
                <w:rFonts w:asciiTheme="minorHAnsi" w:eastAsia="MS Minngs" w:hAnsiTheme="minorHAnsi" w:cstheme="minorHAnsi"/>
                <w:sz w:val="22"/>
                <w:szCs w:val="22"/>
                <w:lang w:eastAsia="en-US"/>
              </w:rPr>
              <w:t xml:space="preserve">Radni tokovi </w:t>
            </w:r>
            <w:r w:rsidRPr="00133B9E">
              <w:rPr>
                <w:rFonts w:asciiTheme="minorHAnsi" w:eastAsia="MS Minngs" w:hAnsiTheme="minorHAnsi" w:cstheme="minorHAnsi"/>
                <w:sz w:val="22"/>
                <w:szCs w:val="22"/>
                <w:lang w:eastAsia="en-US"/>
              </w:rPr>
              <w:t>(Workflow) povezanih sa poslovnim procesima i dokumentima</w:t>
            </w:r>
          </w:p>
          <w:p w:rsidR="007E692B" w:rsidRPr="00133B9E" w:rsidRDefault="007E692B" w:rsidP="00CE4CDD">
            <w:pPr>
              <w:pStyle w:val="Default"/>
              <w:numPr>
                <w:ilvl w:val="0"/>
                <w:numId w:val="2"/>
              </w:numPr>
              <w:rPr>
                <w:rFonts w:asciiTheme="minorHAnsi" w:eastAsia="MS Minngs" w:hAnsiTheme="minorHAnsi" w:cstheme="minorHAnsi"/>
                <w:sz w:val="22"/>
                <w:szCs w:val="22"/>
                <w:lang w:eastAsia="en-US"/>
              </w:rPr>
            </w:pPr>
            <w:r w:rsidRPr="00133B9E">
              <w:rPr>
                <w:rFonts w:asciiTheme="minorHAnsi" w:eastAsia="MS Minngs" w:hAnsiTheme="minorHAnsi" w:cstheme="minorHAnsi"/>
                <w:sz w:val="22"/>
                <w:szCs w:val="22"/>
                <w:lang w:eastAsia="en-US"/>
              </w:rPr>
              <w:t>Izrada zaključka godine</w:t>
            </w:r>
          </w:p>
          <w:p w:rsidR="007E692B" w:rsidRPr="00133B9E" w:rsidRDefault="007E692B" w:rsidP="00CE4CDD">
            <w:pPr>
              <w:pStyle w:val="Default"/>
              <w:numPr>
                <w:ilvl w:val="0"/>
                <w:numId w:val="2"/>
              </w:numPr>
              <w:rPr>
                <w:rFonts w:asciiTheme="minorHAnsi" w:eastAsia="MS Minngs" w:hAnsiTheme="minorHAnsi" w:cstheme="minorHAnsi"/>
                <w:sz w:val="22"/>
                <w:szCs w:val="22"/>
                <w:lang w:eastAsia="en-US"/>
              </w:rPr>
            </w:pPr>
            <w:r w:rsidRPr="00133B9E">
              <w:rPr>
                <w:rFonts w:asciiTheme="minorHAnsi" w:eastAsia="MS Minngs" w:hAnsiTheme="minorHAnsi" w:cstheme="minorHAnsi"/>
                <w:sz w:val="22"/>
                <w:szCs w:val="22"/>
                <w:lang w:eastAsia="en-US"/>
              </w:rPr>
              <w:t xml:space="preserve">Licenciranje </w:t>
            </w:r>
            <w:r>
              <w:rPr>
                <w:rFonts w:asciiTheme="minorHAnsi" w:eastAsia="MS Minngs" w:hAnsiTheme="minorHAnsi" w:cstheme="minorHAnsi"/>
                <w:sz w:val="22"/>
                <w:szCs w:val="22"/>
                <w:lang w:eastAsia="en-US"/>
              </w:rPr>
              <w:t>mora biti po računalu u mreži, potrebno je ukljućiti licence za 20 računala.</w:t>
            </w:r>
          </w:p>
          <w:p w:rsidR="007E692B" w:rsidRPr="00C573B8" w:rsidRDefault="007E692B" w:rsidP="00CE4CDD">
            <w:pPr>
              <w:pStyle w:val="Default"/>
              <w:numPr>
                <w:ilvl w:val="0"/>
                <w:numId w:val="2"/>
              </w:numPr>
              <w:rPr>
                <w:rFonts w:asciiTheme="minorHAnsi" w:eastAsia="MS Minngs" w:hAnsiTheme="minorHAnsi" w:cstheme="minorHAnsi"/>
                <w:sz w:val="22"/>
                <w:szCs w:val="22"/>
                <w:lang w:eastAsia="en-US"/>
              </w:rPr>
            </w:pPr>
            <w:r w:rsidRPr="00C573B8">
              <w:rPr>
                <w:rFonts w:asciiTheme="minorHAnsi" w:eastAsia="MS Minngs" w:hAnsiTheme="minorHAnsi" w:cstheme="minorHAnsi"/>
                <w:sz w:val="22"/>
                <w:szCs w:val="22"/>
                <w:lang w:eastAsia="en-US"/>
              </w:rPr>
              <w:t>Sučelje: Standardno Windows sučelje i načela rada (po standardima sličnim MS Office programima kako bi se postigla kompatibilnost sa postojećom IT okolinom)</w:t>
            </w:r>
          </w:p>
          <w:p w:rsidR="007E692B" w:rsidRDefault="007E692B" w:rsidP="00CE4CDD">
            <w:pPr>
              <w:pStyle w:val="Default"/>
              <w:rPr>
                <w:rFonts w:asciiTheme="minorHAnsi" w:eastAsia="MS Minngs" w:hAnsiTheme="minorHAnsi" w:cstheme="minorHAnsi"/>
                <w:sz w:val="22"/>
                <w:szCs w:val="22"/>
                <w:lang w:eastAsia="en-US"/>
              </w:rPr>
            </w:pPr>
          </w:p>
          <w:p w:rsidR="007E692B" w:rsidRPr="00C573B8" w:rsidRDefault="007E692B" w:rsidP="00CE4CDD">
            <w:pPr>
              <w:pStyle w:val="Default"/>
              <w:rPr>
                <w:rFonts w:asciiTheme="minorHAnsi" w:eastAsia="MS Minngs" w:hAnsiTheme="minorHAnsi" w:cstheme="minorHAnsi"/>
                <w:sz w:val="22"/>
                <w:szCs w:val="22"/>
                <w:lang w:eastAsia="en-US"/>
              </w:rPr>
            </w:pPr>
            <w:r>
              <w:rPr>
                <w:rFonts w:asciiTheme="minorHAnsi" w:eastAsia="MS Minngs" w:hAnsiTheme="minorHAnsi" w:cstheme="minorHAnsi"/>
                <w:sz w:val="22"/>
                <w:szCs w:val="22"/>
                <w:lang w:eastAsia="en-US"/>
              </w:rPr>
              <w:t>Količina: 1 kom</w:t>
            </w:r>
          </w:p>
          <w:p w:rsidR="007E692B" w:rsidRPr="00133B9E" w:rsidRDefault="007E692B" w:rsidP="00CE4CDD">
            <w:pPr>
              <w:widowControl w:val="0"/>
              <w:suppressAutoHyphens/>
              <w:rPr>
                <w:rFonts w:cstheme="minorHAnsi"/>
                <w:bCs/>
              </w:rPr>
            </w:pPr>
          </w:p>
        </w:tc>
        <w:tc>
          <w:tcPr>
            <w:tcW w:w="1418" w:type="dxa"/>
          </w:tcPr>
          <w:p w:rsidR="007E692B" w:rsidRPr="00647A4B" w:rsidRDefault="007E692B" w:rsidP="00CE4CDD">
            <w:pPr>
              <w:jc w:val="center"/>
              <w:rPr>
                <w:rFonts w:ascii="Calibri" w:hAnsi="Calibri" w:cs="Calibri"/>
              </w:rPr>
            </w:pPr>
          </w:p>
        </w:tc>
      </w:tr>
      <w:tr w:rsidR="007E692B" w:rsidRPr="00647A4B" w:rsidTr="00CE4CDD">
        <w:tc>
          <w:tcPr>
            <w:tcW w:w="562" w:type="dxa"/>
          </w:tcPr>
          <w:p w:rsidR="007E692B" w:rsidRPr="00647A4B" w:rsidRDefault="007E692B" w:rsidP="00CE4CDD">
            <w:pPr>
              <w:jc w:val="center"/>
              <w:rPr>
                <w:rFonts w:ascii="Calibri" w:hAnsi="Calibri" w:cs="Calibri"/>
              </w:rPr>
            </w:pPr>
          </w:p>
        </w:tc>
        <w:tc>
          <w:tcPr>
            <w:tcW w:w="7230" w:type="dxa"/>
            <w:vAlign w:val="center"/>
          </w:tcPr>
          <w:p w:rsidR="007E692B" w:rsidRPr="00F97446" w:rsidRDefault="007E692B" w:rsidP="00CE4CDD">
            <w:pPr>
              <w:pStyle w:val="Default"/>
              <w:rPr>
                <w:rFonts w:asciiTheme="minorHAnsi" w:hAnsiTheme="minorHAnsi" w:cstheme="minorHAnsi"/>
                <w:bCs/>
              </w:rPr>
            </w:pPr>
            <w:r w:rsidRPr="00F97446">
              <w:rPr>
                <w:rFonts w:asciiTheme="minorHAnsi" w:hAnsiTheme="minorHAnsi" w:cstheme="minorHAnsi"/>
                <w:bCs/>
              </w:rPr>
              <w:t>Instalacija, implementacija i podešavanje sustava:</w:t>
            </w:r>
          </w:p>
          <w:p w:rsidR="007E692B" w:rsidRPr="00133B9E" w:rsidRDefault="007E692B" w:rsidP="00CE4CDD">
            <w:pPr>
              <w:rPr>
                <w:rFonts w:eastAsia="MS Minngs" w:cstheme="minorHAnsi"/>
              </w:rPr>
            </w:pPr>
            <w:r w:rsidRPr="00133B9E">
              <w:rPr>
                <w:rFonts w:eastAsia="MS Minngs" w:cstheme="minorHAnsi"/>
              </w:rPr>
              <w:t>Ponuditelj usluga treba osigurati:</w:t>
            </w:r>
          </w:p>
          <w:p w:rsidR="007E692B" w:rsidRDefault="007E692B" w:rsidP="00CE4CDD">
            <w:pPr>
              <w:rPr>
                <w:rFonts w:eastAsia="MS Minngs" w:cstheme="minorHAnsi"/>
              </w:rPr>
            </w:pPr>
            <w:r w:rsidRPr="00133B9E">
              <w:rPr>
                <w:rFonts w:eastAsia="MS Minngs" w:cstheme="minorHAnsi"/>
              </w:rPr>
              <w:t>• Instalacija ERP sustava na klijentska računala i serve</w:t>
            </w:r>
            <w:r>
              <w:rPr>
                <w:rFonts w:eastAsia="MS Minngs" w:cstheme="minorHAnsi"/>
              </w:rPr>
              <w:t>r.</w:t>
            </w:r>
          </w:p>
          <w:p w:rsidR="007E692B" w:rsidRDefault="007E692B" w:rsidP="00CE4CDD">
            <w:pPr>
              <w:pStyle w:val="Default"/>
              <w:rPr>
                <w:rFonts w:asciiTheme="minorHAnsi" w:eastAsia="MS Minngs" w:hAnsiTheme="minorHAnsi" w:cstheme="minorHAnsi"/>
                <w:sz w:val="22"/>
                <w:szCs w:val="22"/>
                <w:lang w:eastAsia="en-US"/>
              </w:rPr>
            </w:pPr>
            <w:r w:rsidRPr="00D0654C">
              <w:rPr>
                <w:rFonts w:asciiTheme="minorHAnsi" w:eastAsia="MS Minngs" w:hAnsiTheme="minorHAnsi" w:cstheme="minorHAnsi"/>
              </w:rPr>
              <w:t xml:space="preserve">Količina: </w:t>
            </w:r>
            <w:r>
              <w:rPr>
                <w:rFonts w:asciiTheme="minorHAnsi" w:eastAsia="MS Minngs" w:hAnsiTheme="minorHAnsi" w:cstheme="minorHAnsi"/>
              </w:rPr>
              <w:t>125 čovjek sati</w:t>
            </w:r>
          </w:p>
        </w:tc>
        <w:tc>
          <w:tcPr>
            <w:tcW w:w="1418" w:type="dxa"/>
          </w:tcPr>
          <w:p w:rsidR="007E692B" w:rsidRPr="00647A4B" w:rsidRDefault="007E692B" w:rsidP="00CE4CDD">
            <w:pPr>
              <w:jc w:val="center"/>
              <w:rPr>
                <w:rFonts w:ascii="Calibri" w:hAnsi="Calibri" w:cs="Calibri"/>
              </w:rPr>
            </w:pPr>
          </w:p>
        </w:tc>
      </w:tr>
      <w:tr w:rsidR="007E692B" w:rsidRPr="00647A4B" w:rsidTr="00CE4CDD">
        <w:tc>
          <w:tcPr>
            <w:tcW w:w="562" w:type="dxa"/>
          </w:tcPr>
          <w:p w:rsidR="007E692B" w:rsidRPr="00647A4B" w:rsidRDefault="007E692B" w:rsidP="00CE4CDD">
            <w:pPr>
              <w:jc w:val="center"/>
              <w:rPr>
                <w:rFonts w:ascii="Calibri" w:hAnsi="Calibri" w:cs="Calibri"/>
              </w:rPr>
            </w:pPr>
          </w:p>
        </w:tc>
        <w:tc>
          <w:tcPr>
            <w:tcW w:w="7230" w:type="dxa"/>
            <w:vAlign w:val="center"/>
          </w:tcPr>
          <w:p w:rsidR="007E692B" w:rsidRPr="00F97446" w:rsidRDefault="007E692B" w:rsidP="00CE4CDD">
            <w:pPr>
              <w:pStyle w:val="Default"/>
              <w:rPr>
                <w:rFonts w:asciiTheme="minorHAnsi" w:hAnsiTheme="minorHAnsi" w:cstheme="minorHAnsi"/>
                <w:bCs/>
              </w:rPr>
            </w:pPr>
            <w:r w:rsidRPr="00F97446">
              <w:rPr>
                <w:rFonts w:asciiTheme="minorHAnsi" w:hAnsiTheme="minorHAnsi" w:cstheme="minorHAnsi"/>
                <w:bCs/>
              </w:rPr>
              <w:t>Učitavanje digitalnog sadržaja i unošenje podataka u novi sustav</w:t>
            </w:r>
          </w:p>
          <w:p w:rsidR="007E692B" w:rsidRPr="00133B9E" w:rsidRDefault="007E692B" w:rsidP="00CE4CDD">
            <w:pPr>
              <w:rPr>
                <w:rFonts w:eastAsia="MS Minngs" w:cstheme="minorHAnsi"/>
              </w:rPr>
            </w:pPr>
            <w:r w:rsidRPr="00133B9E">
              <w:rPr>
                <w:rFonts w:eastAsia="MS Minngs" w:cstheme="minorHAnsi"/>
              </w:rPr>
              <w:t>Ponuditelj usluga treba osigurati:</w:t>
            </w:r>
          </w:p>
          <w:p w:rsidR="007E692B" w:rsidRDefault="007E692B" w:rsidP="00CE4CDD">
            <w:pPr>
              <w:rPr>
                <w:rFonts w:eastAsia="MS Minngs" w:cstheme="minorHAnsi"/>
              </w:rPr>
            </w:pPr>
            <w:r w:rsidRPr="00133B9E">
              <w:rPr>
                <w:rFonts w:eastAsia="MS Minngs" w:cstheme="minorHAnsi"/>
              </w:rPr>
              <w:t xml:space="preserve">• Transfer matičnih podataka – učitavanje podataka iz digitalnog formata u novi ERP sustav: </w:t>
            </w:r>
            <w:r w:rsidRPr="00E647BF">
              <w:rPr>
                <w:rFonts w:eastAsia="MS Minngs" w:cstheme="minorHAnsi"/>
              </w:rPr>
              <w:t>Identitetifikator, subjekti,</w:t>
            </w:r>
            <w:r w:rsidRPr="00133B9E">
              <w:rPr>
                <w:rFonts w:eastAsia="MS Minngs" w:cstheme="minorHAnsi"/>
              </w:rPr>
              <w:t xml:space="preserve"> početno stanje, osnovna sredstva i kadrovska evidencija.</w:t>
            </w:r>
          </w:p>
          <w:p w:rsidR="007E692B" w:rsidRPr="00F97446" w:rsidRDefault="007E692B" w:rsidP="00CE4CDD">
            <w:pPr>
              <w:pStyle w:val="Default"/>
              <w:rPr>
                <w:rFonts w:asciiTheme="minorHAnsi" w:hAnsiTheme="minorHAnsi" w:cstheme="minorHAnsi"/>
                <w:bCs/>
              </w:rPr>
            </w:pPr>
            <w:r>
              <w:rPr>
                <w:rFonts w:asciiTheme="minorHAnsi" w:eastAsia="MS Minngs" w:hAnsiTheme="minorHAnsi" w:cstheme="minorHAnsi"/>
              </w:rPr>
              <w:t>Količina: 134 čovjek sati</w:t>
            </w:r>
          </w:p>
        </w:tc>
        <w:tc>
          <w:tcPr>
            <w:tcW w:w="1418" w:type="dxa"/>
          </w:tcPr>
          <w:p w:rsidR="007E692B" w:rsidRPr="00647A4B" w:rsidRDefault="007E692B" w:rsidP="00CE4CDD">
            <w:pPr>
              <w:jc w:val="center"/>
              <w:rPr>
                <w:rFonts w:ascii="Calibri" w:hAnsi="Calibri" w:cs="Calibri"/>
              </w:rPr>
            </w:pPr>
          </w:p>
        </w:tc>
      </w:tr>
      <w:tr w:rsidR="00423064" w:rsidRPr="00647A4B" w:rsidTr="00CE4CDD">
        <w:tc>
          <w:tcPr>
            <w:tcW w:w="562" w:type="dxa"/>
          </w:tcPr>
          <w:p w:rsidR="00423064" w:rsidRPr="00647A4B" w:rsidRDefault="00423064" w:rsidP="00CE4CDD">
            <w:pPr>
              <w:jc w:val="center"/>
              <w:rPr>
                <w:rFonts w:ascii="Calibri" w:hAnsi="Calibri" w:cs="Calibri"/>
              </w:rPr>
            </w:pPr>
          </w:p>
        </w:tc>
        <w:tc>
          <w:tcPr>
            <w:tcW w:w="7230" w:type="dxa"/>
            <w:vAlign w:val="center"/>
          </w:tcPr>
          <w:p w:rsidR="00423064" w:rsidRPr="00F97446" w:rsidRDefault="00423064" w:rsidP="00CE4CDD">
            <w:pPr>
              <w:pStyle w:val="Default"/>
              <w:rPr>
                <w:rFonts w:asciiTheme="minorHAnsi" w:hAnsiTheme="minorHAnsi" w:cstheme="minorHAnsi"/>
                <w:bCs/>
              </w:rPr>
            </w:pPr>
            <w:r>
              <w:rPr>
                <w:rFonts w:asciiTheme="minorHAnsi" w:hAnsiTheme="minorHAnsi" w:cstheme="minorHAnsi"/>
                <w:bCs/>
              </w:rPr>
              <w:t>Vrijeme trajanja podrške nakon implementacije (u mjesecima)</w:t>
            </w:r>
          </w:p>
        </w:tc>
        <w:tc>
          <w:tcPr>
            <w:tcW w:w="1418" w:type="dxa"/>
          </w:tcPr>
          <w:p w:rsidR="00423064" w:rsidRPr="00647A4B" w:rsidRDefault="00423064" w:rsidP="00CE4CDD">
            <w:pPr>
              <w:jc w:val="center"/>
              <w:rPr>
                <w:rFonts w:ascii="Calibri" w:hAnsi="Calibri" w:cs="Calibri"/>
              </w:rPr>
            </w:pPr>
          </w:p>
        </w:tc>
      </w:tr>
      <w:tr w:rsidR="00423064" w:rsidRPr="00647A4B" w:rsidTr="00CE4CDD">
        <w:tc>
          <w:tcPr>
            <w:tcW w:w="562" w:type="dxa"/>
          </w:tcPr>
          <w:p w:rsidR="00423064" w:rsidRPr="00647A4B" w:rsidRDefault="00423064" w:rsidP="00CE4CDD">
            <w:pPr>
              <w:jc w:val="center"/>
              <w:rPr>
                <w:rFonts w:ascii="Calibri" w:hAnsi="Calibri" w:cs="Calibri"/>
              </w:rPr>
            </w:pPr>
          </w:p>
        </w:tc>
        <w:tc>
          <w:tcPr>
            <w:tcW w:w="7230" w:type="dxa"/>
            <w:vAlign w:val="center"/>
          </w:tcPr>
          <w:p w:rsidR="00423064" w:rsidRPr="00F97446" w:rsidRDefault="00423064" w:rsidP="00CE4CDD">
            <w:pPr>
              <w:pStyle w:val="Default"/>
              <w:rPr>
                <w:rFonts w:asciiTheme="minorHAnsi" w:hAnsiTheme="minorHAnsi" w:cstheme="minorHAnsi"/>
                <w:bCs/>
              </w:rPr>
            </w:pPr>
            <w:r>
              <w:rPr>
                <w:rFonts w:asciiTheme="minorHAnsi" w:hAnsiTheme="minorHAnsi" w:cstheme="minorHAnsi"/>
                <w:bCs/>
              </w:rPr>
              <w:t>Prisutnost softvera u uporabi na tržištu (u godinama)</w:t>
            </w:r>
          </w:p>
        </w:tc>
        <w:tc>
          <w:tcPr>
            <w:tcW w:w="1418" w:type="dxa"/>
          </w:tcPr>
          <w:p w:rsidR="00423064" w:rsidRPr="00647A4B" w:rsidRDefault="00423064" w:rsidP="00CE4CDD">
            <w:pPr>
              <w:jc w:val="center"/>
              <w:rPr>
                <w:rFonts w:ascii="Calibri" w:hAnsi="Calibri" w:cs="Calibri"/>
              </w:rPr>
            </w:pPr>
          </w:p>
        </w:tc>
      </w:tr>
      <w:tr w:rsidR="00423064" w:rsidRPr="00647A4B" w:rsidTr="00CE4CDD">
        <w:tc>
          <w:tcPr>
            <w:tcW w:w="562" w:type="dxa"/>
          </w:tcPr>
          <w:p w:rsidR="00423064" w:rsidRPr="00647A4B" w:rsidRDefault="00423064" w:rsidP="00CE4CDD">
            <w:pPr>
              <w:jc w:val="center"/>
              <w:rPr>
                <w:rFonts w:ascii="Calibri" w:hAnsi="Calibri" w:cs="Calibri"/>
              </w:rPr>
            </w:pPr>
          </w:p>
        </w:tc>
        <w:tc>
          <w:tcPr>
            <w:tcW w:w="7230" w:type="dxa"/>
            <w:vAlign w:val="center"/>
          </w:tcPr>
          <w:p w:rsidR="00423064" w:rsidRPr="00F97446" w:rsidRDefault="00423064" w:rsidP="00CE4CDD">
            <w:pPr>
              <w:pStyle w:val="Default"/>
              <w:rPr>
                <w:rFonts w:asciiTheme="minorHAnsi" w:hAnsiTheme="minorHAnsi" w:cstheme="minorHAnsi"/>
                <w:bCs/>
              </w:rPr>
            </w:pPr>
            <w:r>
              <w:rPr>
                <w:rFonts w:asciiTheme="minorHAnsi" w:hAnsiTheme="minorHAnsi" w:cstheme="minorHAnsi"/>
                <w:bCs/>
              </w:rPr>
              <w:t>Rok isporuke (u danima)</w:t>
            </w:r>
          </w:p>
        </w:tc>
        <w:tc>
          <w:tcPr>
            <w:tcW w:w="1418" w:type="dxa"/>
          </w:tcPr>
          <w:p w:rsidR="00423064" w:rsidRPr="00647A4B" w:rsidRDefault="00423064" w:rsidP="00CE4CDD">
            <w:pPr>
              <w:jc w:val="center"/>
              <w:rPr>
                <w:rFonts w:ascii="Calibri" w:hAnsi="Calibri" w:cs="Calibri"/>
              </w:rPr>
            </w:pPr>
          </w:p>
        </w:tc>
      </w:tr>
    </w:tbl>
    <w:p w:rsidR="00423064" w:rsidRDefault="00423064" w:rsidP="007E692B">
      <w:pPr>
        <w:jc w:val="both"/>
        <w:rPr>
          <w:rFonts w:ascii="Calibri" w:hAnsi="Calibri" w:cs="Calibri"/>
        </w:rPr>
      </w:pPr>
    </w:p>
    <w:p w:rsidR="00282E8D" w:rsidRPr="00647A4B" w:rsidRDefault="007E692B" w:rsidP="007E692B">
      <w:pPr>
        <w:jc w:val="both"/>
        <w:rPr>
          <w:rFonts w:ascii="Calibri" w:hAnsi="Calibri" w:cs="Calibri"/>
        </w:rPr>
      </w:pPr>
      <w:r w:rsidRPr="00647A4B">
        <w:rPr>
          <w:rFonts w:ascii="Calibri" w:hAnsi="Calibri" w:cs="Calibri"/>
        </w:rPr>
        <w:t>Napominjemo kako za sve proizvođače, tipove proizvoda, standarde ili norme koji su navedeni u Pozivu ili prilozima ovog Poziva, primjenjuje se „ili jednakovrijedno“. Na sve takve i slične primjere primjenjuje se načelo jednakovrijednosti te su ponuditelji slobodni nuditi jednakovrijedna rješenja.</w:t>
      </w:r>
    </w:p>
    <w:p w:rsidR="009950C1" w:rsidRPr="009950C1" w:rsidRDefault="009950C1" w:rsidP="009950C1">
      <w:pPr>
        <w:spacing w:line="240" w:lineRule="auto"/>
        <w:jc w:val="both"/>
        <w:rPr>
          <w:rFonts w:asciiTheme="majorHAnsi" w:eastAsia="Times New Roman" w:hAnsiTheme="majorHAnsi" w:cs="Times New Roman"/>
          <w:sz w:val="24"/>
          <w:szCs w:val="24"/>
        </w:rPr>
      </w:pPr>
      <w:r w:rsidRPr="009950C1">
        <w:rPr>
          <w:rFonts w:asciiTheme="majorHAnsi" w:eastAsia="Times New Roman" w:hAnsiTheme="majorHAnsi" w:cs="Times New Roman"/>
          <w:sz w:val="24"/>
          <w:szCs w:val="24"/>
        </w:rPr>
        <w:tab/>
      </w:r>
      <w:r w:rsidRPr="009950C1">
        <w:rPr>
          <w:rFonts w:asciiTheme="majorHAnsi" w:eastAsia="Times New Roman" w:hAnsiTheme="majorHAnsi" w:cs="Times New Roman"/>
          <w:sz w:val="24"/>
          <w:szCs w:val="24"/>
        </w:rPr>
        <w:tab/>
      </w:r>
      <w:r w:rsidRPr="009950C1">
        <w:rPr>
          <w:rFonts w:asciiTheme="majorHAnsi" w:eastAsia="Times New Roman" w:hAnsiTheme="majorHAnsi" w:cs="Times New Roman"/>
          <w:sz w:val="24"/>
          <w:szCs w:val="24"/>
        </w:rPr>
        <w:tab/>
      </w:r>
      <w:r w:rsidRPr="009950C1">
        <w:rPr>
          <w:rFonts w:asciiTheme="majorHAnsi" w:eastAsia="Times New Roman" w:hAnsiTheme="majorHAnsi" w:cs="Times New Roman"/>
          <w:sz w:val="24"/>
          <w:szCs w:val="24"/>
        </w:rPr>
        <w:tab/>
      </w:r>
      <w:r w:rsidRPr="009950C1">
        <w:rPr>
          <w:rFonts w:asciiTheme="majorHAnsi" w:eastAsia="Times New Roman" w:hAnsiTheme="majorHAnsi" w:cs="Times New Roman"/>
          <w:sz w:val="24"/>
          <w:szCs w:val="24"/>
        </w:rPr>
        <w:tab/>
      </w:r>
      <w:r w:rsidRPr="009950C1">
        <w:rPr>
          <w:rFonts w:asciiTheme="majorHAnsi" w:eastAsia="Times New Roman" w:hAnsiTheme="majorHAnsi" w:cs="Times New Roman"/>
          <w:sz w:val="24"/>
          <w:szCs w:val="24"/>
        </w:rPr>
        <w:tab/>
      </w:r>
    </w:p>
    <w:p w:rsidR="009950C1" w:rsidRPr="009950C1" w:rsidRDefault="009950C1" w:rsidP="00AB5D9A">
      <w:pPr>
        <w:spacing w:before="20" w:line="240" w:lineRule="auto"/>
        <w:contextualSpacing/>
        <w:rPr>
          <w:rFonts w:asciiTheme="majorHAnsi" w:eastAsia="Times New Roman" w:hAnsiTheme="majorHAnsi" w:cs="Times New Roman"/>
          <w:sz w:val="24"/>
          <w:szCs w:val="24"/>
        </w:rPr>
      </w:pPr>
      <w:r w:rsidRPr="009950C1">
        <w:rPr>
          <w:rFonts w:asciiTheme="majorHAnsi" w:eastAsia="Times New Roman" w:hAnsiTheme="majorHAnsi" w:cs="Times New Roman"/>
          <w:sz w:val="24"/>
          <w:szCs w:val="24"/>
        </w:rPr>
        <w:t>JEDINIČNA CIJENA (BEZ PDV-a):___________________________ kn</w:t>
      </w:r>
      <w:r w:rsidRPr="009950C1">
        <w:rPr>
          <w:rFonts w:asciiTheme="majorHAnsi" w:eastAsia="Times New Roman" w:hAnsiTheme="majorHAnsi" w:cs="Times New Roman"/>
          <w:sz w:val="24"/>
          <w:szCs w:val="24"/>
        </w:rPr>
        <w:tab/>
      </w:r>
      <w:r w:rsidRPr="009950C1">
        <w:rPr>
          <w:rFonts w:asciiTheme="majorHAnsi" w:eastAsia="Times New Roman" w:hAnsiTheme="majorHAnsi" w:cs="Times New Roman"/>
          <w:sz w:val="24"/>
          <w:szCs w:val="24"/>
        </w:rPr>
        <w:tab/>
      </w:r>
      <w:r w:rsidRPr="009950C1">
        <w:rPr>
          <w:rFonts w:asciiTheme="majorHAnsi" w:eastAsia="Times New Roman" w:hAnsiTheme="majorHAnsi" w:cs="Times New Roman"/>
          <w:sz w:val="24"/>
          <w:szCs w:val="24"/>
        </w:rPr>
        <w:tab/>
      </w:r>
    </w:p>
    <w:p w:rsidR="009950C1" w:rsidRPr="009950C1" w:rsidRDefault="009950C1" w:rsidP="00AB5D9A">
      <w:pPr>
        <w:spacing w:before="20" w:line="240" w:lineRule="auto"/>
        <w:contextualSpacing/>
        <w:rPr>
          <w:rFonts w:asciiTheme="majorHAnsi" w:eastAsia="Times New Roman" w:hAnsiTheme="majorHAnsi" w:cs="Times New Roman"/>
          <w:sz w:val="24"/>
          <w:szCs w:val="24"/>
        </w:rPr>
      </w:pPr>
      <w:r w:rsidRPr="009950C1">
        <w:rPr>
          <w:rFonts w:asciiTheme="majorHAnsi" w:eastAsia="Times New Roman" w:hAnsiTheme="majorHAnsi" w:cs="Times New Roman"/>
          <w:sz w:val="24"/>
          <w:szCs w:val="24"/>
        </w:rPr>
        <w:t>+25% PDV _______________________________________________ kn</w:t>
      </w:r>
      <w:r w:rsidRPr="009950C1">
        <w:rPr>
          <w:rFonts w:asciiTheme="majorHAnsi" w:eastAsia="Times New Roman" w:hAnsiTheme="majorHAnsi" w:cs="Times New Roman"/>
          <w:sz w:val="24"/>
          <w:szCs w:val="24"/>
        </w:rPr>
        <w:tab/>
      </w:r>
    </w:p>
    <w:p w:rsidR="009950C1" w:rsidRPr="009950C1" w:rsidRDefault="009950C1" w:rsidP="00AB5D9A">
      <w:pPr>
        <w:spacing w:before="20" w:line="240" w:lineRule="auto"/>
        <w:contextualSpacing/>
        <w:rPr>
          <w:rFonts w:asciiTheme="majorHAnsi" w:eastAsia="Times New Roman" w:hAnsiTheme="majorHAnsi" w:cs="Times New Roman"/>
          <w:sz w:val="24"/>
          <w:szCs w:val="24"/>
        </w:rPr>
      </w:pPr>
      <w:r w:rsidRPr="009950C1">
        <w:rPr>
          <w:rFonts w:asciiTheme="majorHAnsi" w:eastAsia="Times New Roman" w:hAnsiTheme="majorHAnsi" w:cs="Times New Roman"/>
          <w:sz w:val="24"/>
          <w:szCs w:val="24"/>
        </w:rPr>
        <w:t>SVEUKUPNO:</w:t>
      </w:r>
      <w:r w:rsidRPr="009950C1">
        <w:rPr>
          <w:rFonts w:asciiTheme="majorHAnsi" w:eastAsia="Times New Roman" w:hAnsiTheme="majorHAnsi" w:cs="Times New Roman"/>
          <w:sz w:val="24"/>
          <w:szCs w:val="24"/>
        </w:rPr>
        <w:tab/>
        <w:t>___________________________________________ kn</w:t>
      </w:r>
      <w:r w:rsidRPr="009950C1">
        <w:rPr>
          <w:rFonts w:asciiTheme="majorHAnsi" w:eastAsia="Times New Roman" w:hAnsiTheme="majorHAnsi" w:cs="Times New Roman"/>
          <w:sz w:val="24"/>
          <w:szCs w:val="24"/>
        </w:rPr>
        <w:tab/>
      </w:r>
      <w:r w:rsidRPr="009950C1">
        <w:rPr>
          <w:rFonts w:asciiTheme="majorHAnsi" w:eastAsia="Times New Roman" w:hAnsiTheme="majorHAnsi" w:cs="Times New Roman"/>
          <w:sz w:val="24"/>
          <w:szCs w:val="24"/>
        </w:rPr>
        <w:tab/>
      </w:r>
      <w:r w:rsidRPr="009950C1">
        <w:rPr>
          <w:rFonts w:asciiTheme="majorHAnsi" w:eastAsia="Times New Roman" w:hAnsiTheme="majorHAnsi" w:cs="Times New Roman"/>
          <w:sz w:val="24"/>
          <w:szCs w:val="24"/>
        </w:rPr>
        <w:tab/>
      </w:r>
    </w:p>
    <w:p w:rsidR="009950C1" w:rsidRDefault="009950C1" w:rsidP="00AB5D9A">
      <w:pPr>
        <w:spacing w:before="20" w:line="240" w:lineRule="auto"/>
        <w:contextualSpacing/>
        <w:rPr>
          <w:rFonts w:asciiTheme="majorHAnsi" w:eastAsia="Times New Roman" w:hAnsiTheme="majorHAnsi" w:cs="Times New Roman"/>
          <w:b/>
          <w:sz w:val="24"/>
          <w:szCs w:val="24"/>
        </w:rPr>
      </w:pPr>
      <w:r w:rsidRPr="009950C1">
        <w:rPr>
          <w:rFonts w:asciiTheme="majorHAnsi" w:eastAsia="Times New Roman" w:hAnsiTheme="majorHAnsi" w:cs="Times New Roman"/>
          <w:b/>
          <w:sz w:val="24"/>
          <w:szCs w:val="24"/>
        </w:rPr>
        <w:t>_________________________________________________________ (slovima)</w:t>
      </w:r>
    </w:p>
    <w:p w:rsidR="004E4E45" w:rsidRPr="009950C1" w:rsidRDefault="004E4E45" w:rsidP="00DA2180">
      <w:pPr>
        <w:spacing w:line="240" w:lineRule="auto"/>
        <w:contextualSpacing/>
        <w:rPr>
          <w:rFonts w:asciiTheme="majorHAnsi" w:eastAsia="Times New Roman" w:hAnsiTheme="majorHAnsi" w:cs="Times New Roman"/>
          <w:b/>
          <w:sz w:val="24"/>
          <w:szCs w:val="24"/>
        </w:rPr>
      </w:pPr>
    </w:p>
    <w:p w:rsidR="00DA2180" w:rsidRPr="00DA2180" w:rsidRDefault="00DA2180" w:rsidP="00543D38">
      <w:pPr>
        <w:tabs>
          <w:tab w:val="left" w:pos="567"/>
        </w:tabs>
        <w:spacing w:after="0" w:line="259" w:lineRule="auto"/>
        <w:jc w:val="both"/>
        <w:rPr>
          <w:rFonts w:ascii="Cambria" w:eastAsia="Calibri" w:hAnsi="Cambria" w:cs="Times New Roman"/>
          <w:bCs/>
          <w:noProof/>
          <w:sz w:val="24"/>
          <w:szCs w:val="24"/>
        </w:rPr>
      </w:pPr>
      <w:r w:rsidRPr="00DA2180">
        <w:rPr>
          <w:rFonts w:ascii="Cambria" w:eastAsia="Calibri" w:hAnsi="Cambria" w:cs="Times New Roman"/>
          <w:bCs/>
          <w:noProof/>
          <w:sz w:val="24"/>
          <w:szCs w:val="24"/>
        </w:rPr>
        <w:t>U ______________, __/__/20__.</w:t>
      </w:r>
      <w:r w:rsidRPr="00DA2180">
        <w:rPr>
          <w:rFonts w:ascii="Cambria" w:eastAsia="Calibri" w:hAnsi="Cambria" w:cs="Times New Roman"/>
          <w:bCs/>
          <w:noProof/>
          <w:sz w:val="24"/>
          <w:szCs w:val="24"/>
        </w:rPr>
        <w:tab/>
      </w:r>
      <w:r w:rsidRPr="00DA2180">
        <w:rPr>
          <w:rFonts w:ascii="Cambria" w:eastAsia="Calibri" w:hAnsi="Cambria" w:cs="Times New Roman"/>
          <w:bCs/>
          <w:noProof/>
          <w:sz w:val="24"/>
          <w:szCs w:val="24"/>
        </w:rPr>
        <w:tab/>
      </w:r>
      <w:r w:rsidRPr="00DA2180">
        <w:rPr>
          <w:rFonts w:ascii="Cambria" w:eastAsia="Calibri" w:hAnsi="Cambria" w:cs="Times New Roman"/>
          <w:bCs/>
          <w:noProof/>
          <w:sz w:val="24"/>
          <w:szCs w:val="24"/>
        </w:rPr>
        <w:tab/>
      </w:r>
      <w:r w:rsidRPr="00DA2180">
        <w:rPr>
          <w:rFonts w:ascii="Cambria" w:eastAsia="Calibri" w:hAnsi="Cambria" w:cs="Times New Roman"/>
          <w:bCs/>
          <w:noProof/>
          <w:sz w:val="24"/>
          <w:szCs w:val="24"/>
        </w:rPr>
        <w:tab/>
      </w:r>
      <w:r w:rsidRPr="00DA2180">
        <w:rPr>
          <w:rFonts w:ascii="Cambria" w:eastAsia="Calibri" w:hAnsi="Cambria" w:cs="Times New Roman"/>
          <w:bCs/>
          <w:noProof/>
          <w:sz w:val="24"/>
          <w:szCs w:val="24"/>
        </w:rPr>
        <w:tab/>
      </w:r>
      <w:r w:rsidRPr="00DA2180">
        <w:rPr>
          <w:rFonts w:ascii="Cambria" w:eastAsia="Calibri" w:hAnsi="Cambria" w:cs="Times New Roman"/>
          <w:bCs/>
          <w:noProof/>
          <w:sz w:val="24"/>
          <w:szCs w:val="24"/>
        </w:rPr>
        <w:tab/>
      </w:r>
    </w:p>
    <w:p w:rsidR="00DA2180" w:rsidRDefault="00DA2180" w:rsidP="00543D38">
      <w:pPr>
        <w:tabs>
          <w:tab w:val="left" w:pos="567"/>
        </w:tabs>
        <w:spacing w:after="0" w:line="259" w:lineRule="auto"/>
        <w:jc w:val="right"/>
        <w:rPr>
          <w:rFonts w:ascii="Cambria" w:eastAsia="Calibri" w:hAnsi="Cambria" w:cs="Times New Roman"/>
          <w:bCs/>
          <w:noProof/>
          <w:sz w:val="24"/>
          <w:szCs w:val="24"/>
        </w:rPr>
      </w:pPr>
      <w:r w:rsidRPr="00DA2180">
        <w:rPr>
          <w:rFonts w:ascii="Cambria" w:eastAsia="Calibri" w:hAnsi="Cambria" w:cs="Times New Roman"/>
          <w:bCs/>
          <w:noProof/>
          <w:sz w:val="24"/>
          <w:szCs w:val="24"/>
        </w:rPr>
        <w:t>ZA PONUDITELJA:</w:t>
      </w:r>
    </w:p>
    <w:p w:rsidR="00357B5F" w:rsidRPr="00DA2180" w:rsidRDefault="00357B5F" w:rsidP="00543D38">
      <w:pPr>
        <w:tabs>
          <w:tab w:val="left" w:pos="567"/>
        </w:tabs>
        <w:spacing w:after="0" w:line="259" w:lineRule="auto"/>
        <w:jc w:val="right"/>
        <w:rPr>
          <w:rFonts w:ascii="Cambria" w:eastAsia="Calibri" w:hAnsi="Cambria" w:cs="Times New Roman"/>
          <w:bCs/>
          <w:noProof/>
          <w:sz w:val="24"/>
          <w:szCs w:val="24"/>
        </w:rPr>
      </w:pPr>
    </w:p>
    <w:p w:rsidR="00DA2180" w:rsidRPr="00DA2180" w:rsidRDefault="00DA2180" w:rsidP="00DA2180">
      <w:pPr>
        <w:tabs>
          <w:tab w:val="left" w:pos="567"/>
        </w:tabs>
        <w:spacing w:after="160" w:line="259" w:lineRule="auto"/>
        <w:jc w:val="right"/>
        <w:rPr>
          <w:rFonts w:ascii="Cambria" w:eastAsia="Calibri" w:hAnsi="Cambria" w:cs="Times New Roman"/>
          <w:bCs/>
          <w:noProof/>
          <w:sz w:val="24"/>
          <w:szCs w:val="24"/>
        </w:rPr>
      </w:pPr>
      <w:r w:rsidRPr="00DA2180">
        <w:rPr>
          <w:rFonts w:ascii="Cambria" w:eastAsia="Calibri" w:hAnsi="Cambria" w:cs="Times New Roman"/>
          <w:bCs/>
          <w:noProof/>
          <w:sz w:val="24"/>
          <w:szCs w:val="24"/>
        </w:rPr>
        <w:t>________________________________</w:t>
      </w:r>
    </w:p>
    <w:p w:rsidR="009950C1" w:rsidRPr="009950C1" w:rsidRDefault="00DA2180" w:rsidP="00543D38">
      <w:pPr>
        <w:tabs>
          <w:tab w:val="left" w:pos="567"/>
        </w:tabs>
        <w:spacing w:after="160" w:line="259" w:lineRule="auto"/>
        <w:jc w:val="right"/>
        <w:rPr>
          <w:rFonts w:asciiTheme="majorHAnsi" w:eastAsia="Times New Roman" w:hAnsiTheme="majorHAnsi" w:cs="Times New Roman"/>
          <w:sz w:val="24"/>
          <w:szCs w:val="24"/>
        </w:rPr>
      </w:pPr>
      <w:r w:rsidRPr="00DA2180">
        <w:rPr>
          <w:rFonts w:ascii="Cambria" w:eastAsia="Calibri" w:hAnsi="Cambria" w:cs="Times New Roman"/>
          <w:bCs/>
          <w:noProof/>
          <w:sz w:val="24"/>
          <w:szCs w:val="24"/>
        </w:rPr>
        <w:t>(ime, prezime i potpis osobe ovlaštene za zastupanje gospodarskog subjekta)</w:t>
      </w:r>
    </w:p>
    <w:sectPr w:rsidR="009950C1" w:rsidRPr="009950C1" w:rsidSect="004A188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650" w:rsidRDefault="00507650" w:rsidP="00EF400A">
      <w:pPr>
        <w:spacing w:after="0" w:line="240" w:lineRule="auto"/>
      </w:pPr>
      <w:r>
        <w:separator/>
      </w:r>
    </w:p>
  </w:endnote>
  <w:endnote w:type="continuationSeparator" w:id="0">
    <w:p w:rsidR="00507650" w:rsidRDefault="00507650" w:rsidP="00EF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650" w:rsidRDefault="00507650" w:rsidP="00EF400A">
      <w:pPr>
        <w:spacing w:after="0" w:line="240" w:lineRule="auto"/>
      </w:pPr>
      <w:r>
        <w:separator/>
      </w:r>
    </w:p>
  </w:footnote>
  <w:footnote w:type="continuationSeparator" w:id="0">
    <w:p w:rsidR="00507650" w:rsidRDefault="00507650" w:rsidP="00EF4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bottomFromText="155" w:vertAnchor="text"/>
      <w:tblW w:w="9569" w:type="dxa"/>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9419"/>
      <w:gridCol w:w="222"/>
      <w:gridCol w:w="222"/>
      <w:gridCol w:w="222"/>
    </w:tblGrid>
    <w:tr w:rsidR="00EF400A" w:rsidRPr="00C751A6" w:rsidTr="00EE4F6D">
      <w:trPr>
        <w:trHeight w:val="771"/>
      </w:trPr>
      <w:tc>
        <w:tcPr>
          <w:tcW w:w="2233" w:type="dxa"/>
          <w:tcMar>
            <w:top w:w="0" w:type="dxa"/>
            <w:left w:w="108" w:type="dxa"/>
            <w:bottom w:w="0" w:type="dxa"/>
            <w:right w:w="108" w:type="dxa"/>
          </w:tcMar>
          <w:hideMark/>
        </w:tcPr>
        <w:p w:rsidR="00EF400A" w:rsidRPr="00C751A6" w:rsidRDefault="00771566" w:rsidP="00EE4F6D">
          <w:pPr>
            <w:spacing w:before="120" w:after="120"/>
            <w:ind w:left="142" w:right="-108"/>
            <w:jc w:val="both"/>
            <w:rPr>
              <w:rFonts w:cs="Times New Roman"/>
              <w:lang w:eastAsia="ar-SA"/>
            </w:rPr>
          </w:pPr>
          <w:r w:rsidRPr="00771566">
            <w:rPr>
              <w:rFonts w:cs="Times New Roman"/>
              <w:noProof/>
              <w:lang w:eastAsia="hr-HR"/>
            </w:rPr>
            <w:drawing>
              <wp:inline distT="0" distB="0" distL="0" distR="0">
                <wp:extent cx="5753100" cy="107442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074420"/>
                        </a:xfrm>
                        <a:prstGeom prst="rect">
                          <a:avLst/>
                        </a:prstGeom>
                        <a:noFill/>
                        <a:ln>
                          <a:noFill/>
                        </a:ln>
                      </pic:spPr>
                    </pic:pic>
                  </a:graphicData>
                </a:graphic>
              </wp:inline>
            </w:drawing>
          </w:r>
        </w:p>
      </w:tc>
      <w:tc>
        <w:tcPr>
          <w:tcW w:w="2279" w:type="dxa"/>
          <w:tcMar>
            <w:top w:w="0" w:type="dxa"/>
            <w:left w:w="108" w:type="dxa"/>
            <w:bottom w:w="0" w:type="dxa"/>
            <w:right w:w="108" w:type="dxa"/>
          </w:tcMar>
          <w:vAlign w:val="center"/>
          <w:hideMark/>
        </w:tcPr>
        <w:p w:rsidR="00EF400A" w:rsidRPr="00C751A6" w:rsidRDefault="00EF400A" w:rsidP="00EE4F6D">
          <w:pPr>
            <w:spacing w:before="120" w:after="120"/>
            <w:jc w:val="center"/>
            <w:rPr>
              <w:rFonts w:cs="Times New Roman"/>
              <w:i/>
              <w:iCs/>
              <w:sz w:val="20"/>
              <w:szCs w:val="20"/>
              <w:lang w:eastAsia="ar-SA"/>
            </w:rPr>
          </w:pPr>
        </w:p>
      </w:tc>
      <w:tc>
        <w:tcPr>
          <w:tcW w:w="2862" w:type="dxa"/>
          <w:tcMar>
            <w:top w:w="0" w:type="dxa"/>
            <w:left w:w="108" w:type="dxa"/>
            <w:bottom w:w="0" w:type="dxa"/>
            <w:right w:w="108" w:type="dxa"/>
          </w:tcMar>
          <w:vAlign w:val="center"/>
          <w:hideMark/>
        </w:tcPr>
        <w:p w:rsidR="00EF400A" w:rsidRPr="00C751A6" w:rsidRDefault="00EF400A" w:rsidP="00EE4F6D">
          <w:pPr>
            <w:spacing w:before="120" w:after="120"/>
            <w:jc w:val="center"/>
            <w:rPr>
              <w:rFonts w:cs="Times New Roman"/>
              <w:lang w:eastAsia="ar-SA"/>
            </w:rPr>
          </w:pPr>
        </w:p>
      </w:tc>
      <w:tc>
        <w:tcPr>
          <w:tcW w:w="2195" w:type="dxa"/>
          <w:tcMar>
            <w:top w:w="0" w:type="dxa"/>
            <w:left w:w="108" w:type="dxa"/>
            <w:bottom w:w="0" w:type="dxa"/>
            <w:right w:w="108" w:type="dxa"/>
          </w:tcMar>
          <w:vAlign w:val="center"/>
          <w:hideMark/>
        </w:tcPr>
        <w:p w:rsidR="00EF400A" w:rsidRPr="00C751A6" w:rsidRDefault="00EF400A" w:rsidP="00EE4F6D">
          <w:pPr>
            <w:spacing w:before="120" w:after="120"/>
            <w:jc w:val="center"/>
            <w:rPr>
              <w:rFonts w:cs="Times New Roman"/>
              <w:lang w:eastAsia="ar-SA"/>
            </w:rPr>
          </w:pPr>
        </w:p>
      </w:tc>
    </w:tr>
  </w:tbl>
  <w:p w:rsidR="00EF400A" w:rsidRDefault="00EF4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E4407"/>
    <w:multiLevelType w:val="hybridMultilevel"/>
    <w:tmpl w:val="E41A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663EE0"/>
    <w:multiLevelType w:val="hybridMultilevel"/>
    <w:tmpl w:val="A030CA2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FC"/>
    <w:rsid w:val="000069DF"/>
    <w:rsid w:val="0002127F"/>
    <w:rsid w:val="00027CF6"/>
    <w:rsid w:val="00066992"/>
    <w:rsid w:val="000B4F16"/>
    <w:rsid w:val="001B7FAD"/>
    <w:rsid w:val="001C19FA"/>
    <w:rsid w:val="00220DA5"/>
    <w:rsid w:val="00234E6B"/>
    <w:rsid w:val="00282E8D"/>
    <w:rsid w:val="002A1DA8"/>
    <w:rsid w:val="002B1352"/>
    <w:rsid w:val="002C1573"/>
    <w:rsid w:val="002E0B30"/>
    <w:rsid w:val="002E6D6D"/>
    <w:rsid w:val="00357B5F"/>
    <w:rsid w:val="00376100"/>
    <w:rsid w:val="0039687C"/>
    <w:rsid w:val="00411FE2"/>
    <w:rsid w:val="00423064"/>
    <w:rsid w:val="00472659"/>
    <w:rsid w:val="00490726"/>
    <w:rsid w:val="004A1889"/>
    <w:rsid w:val="004A6D80"/>
    <w:rsid w:val="004C7108"/>
    <w:rsid w:val="004D39ED"/>
    <w:rsid w:val="004E4E45"/>
    <w:rsid w:val="00504731"/>
    <w:rsid w:val="00507650"/>
    <w:rsid w:val="00543D38"/>
    <w:rsid w:val="00557FD0"/>
    <w:rsid w:val="00583F74"/>
    <w:rsid w:val="005A1633"/>
    <w:rsid w:val="005E0B56"/>
    <w:rsid w:val="005E5CFC"/>
    <w:rsid w:val="005F701C"/>
    <w:rsid w:val="006102D3"/>
    <w:rsid w:val="006213AC"/>
    <w:rsid w:val="00644AEC"/>
    <w:rsid w:val="00647E34"/>
    <w:rsid w:val="00651512"/>
    <w:rsid w:val="00671BF1"/>
    <w:rsid w:val="00671C7D"/>
    <w:rsid w:val="00691629"/>
    <w:rsid w:val="006A4F2E"/>
    <w:rsid w:val="006E1F31"/>
    <w:rsid w:val="006F0756"/>
    <w:rsid w:val="007131C7"/>
    <w:rsid w:val="00740D4A"/>
    <w:rsid w:val="00771566"/>
    <w:rsid w:val="00773842"/>
    <w:rsid w:val="00791139"/>
    <w:rsid w:val="00797A9E"/>
    <w:rsid w:val="007E3398"/>
    <w:rsid w:val="007E692B"/>
    <w:rsid w:val="007E75BF"/>
    <w:rsid w:val="0083541F"/>
    <w:rsid w:val="00856F4A"/>
    <w:rsid w:val="008908EF"/>
    <w:rsid w:val="008D6F1E"/>
    <w:rsid w:val="009063E7"/>
    <w:rsid w:val="00906A51"/>
    <w:rsid w:val="00991D29"/>
    <w:rsid w:val="009950C1"/>
    <w:rsid w:val="00996BD2"/>
    <w:rsid w:val="009D4F0A"/>
    <w:rsid w:val="00A276A4"/>
    <w:rsid w:val="00A75288"/>
    <w:rsid w:val="00A8796B"/>
    <w:rsid w:val="00A92041"/>
    <w:rsid w:val="00AB4CEC"/>
    <w:rsid w:val="00AB5D9A"/>
    <w:rsid w:val="00AC634A"/>
    <w:rsid w:val="00B302F6"/>
    <w:rsid w:val="00B47395"/>
    <w:rsid w:val="00BA2DCE"/>
    <w:rsid w:val="00BB3AEA"/>
    <w:rsid w:val="00BD4B96"/>
    <w:rsid w:val="00BE2AFB"/>
    <w:rsid w:val="00BF16FA"/>
    <w:rsid w:val="00C213BE"/>
    <w:rsid w:val="00C5405E"/>
    <w:rsid w:val="00C5668D"/>
    <w:rsid w:val="00C609A5"/>
    <w:rsid w:val="00C651C3"/>
    <w:rsid w:val="00CA33BF"/>
    <w:rsid w:val="00CB3BA9"/>
    <w:rsid w:val="00CB7736"/>
    <w:rsid w:val="00CC0CC7"/>
    <w:rsid w:val="00CC7950"/>
    <w:rsid w:val="00CF3221"/>
    <w:rsid w:val="00D11188"/>
    <w:rsid w:val="00D11D84"/>
    <w:rsid w:val="00D33D25"/>
    <w:rsid w:val="00D44524"/>
    <w:rsid w:val="00D538F6"/>
    <w:rsid w:val="00D5659E"/>
    <w:rsid w:val="00D62145"/>
    <w:rsid w:val="00DA2180"/>
    <w:rsid w:val="00DB371F"/>
    <w:rsid w:val="00DB5376"/>
    <w:rsid w:val="00DC1B86"/>
    <w:rsid w:val="00E104F7"/>
    <w:rsid w:val="00E15BB1"/>
    <w:rsid w:val="00EC0D8D"/>
    <w:rsid w:val="00ED48AC"/>
    <w:rsid w:val="00EF3E19"/>
    <w:rsid w:val="00EF400A"/>
    <w:rsid w:val="00F132B8"/>
    <w:rsid w:val="00F564BE"/>
    <w:rsid w:val="00F57505"/>
    <w:rsid w:val="00F93487"/>
    <w:rsid w:val="00FA0EC8"/>
    <w:rsid w:val="00FC7E3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29206F-EBA2-4FDC-B39E-A28F1D96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BA9"/>
    <w:rPr>
      <w:color w:val="0000FF" w:themeColor="hyperlink"/>
      <w:u w:val="single"/>
    </w:rPr>
  </w:style>
  <w:style w:type="table" w:customStyle="1" w:styleId="Reetkatablice1">
    <w:name w:val="Rešetka tablice1"/>
    <w:basedOn w:val="TableNormal"/>
    <w:uiPriority w:val="59"/>
    <w:rsid w:val="00995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95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C0CC7"/>
    <w:pPr>
      <w:ind w:left="720"/>
      <w:contextualSpacing/>
    </w:pPr>
  </w:style>
  <w:style w:type="paragraph" w:styleId="BalloonText">
    <w:name w:val="Balloon Text"/>
    <w:basedOn w:val="Normal"/>
    <w:link w:val="BalloonTextChar"/>
    <w:uiPriority w:val="99"/>
    <w:semiHidden/>
    <w:unhideWhenUsed/>
    <w:rsid w:val="00CA3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3BF"/>
    <w:rPr>
      <w:rFonts w:ascii="Tahoma" w:hAnsi="Tahoma" w:cs="Tahoma"/>
      <w:sz w:val="16"/>
      <w:szCs w:val="16"/>
    </w:rPr>
  </w:style>
  <w:style w:type="paragraph" w:styleId="Header">
    <w:name w:val="header"/>
    <w:basedOn w:val="Normal"/>
    <w:link w:val="HeaderChar"/>
    <w:uiPriority w:val="99"/>
    <w:semiHidden/>
    <w:unhideWhenUsed/>
    <w:rsid w:val="00EF400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F400A"/>
  </w:style>
  <w:style w:type="paragraph" w:styleId="Footer">
    <w:name w:val="footer"/>
    <w:basedOn w:val="Normal"/>
    <w:link w:val="FooterChar"/>
    <w:uiPriority w:val="99"/>
    <w:semiHidden/>
    <w:unhideWhenUsed/>
    <w:rsid w:val="00EF400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F400A"/>
  </w:style>
  <w:style w:type="paragraph" w:customStyle="1" w:styleId="m2936072549232597670msolistparagraph">
    <w:name w:val="m_2936072549232597670msolistparagraph"/>
    <w:basedOn w:val="Normal"/>
    <w:rsid w:val="00EF400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EF400A"/>
  </w:style>
  <w:style w:type="character" w:customStyle="1" w:styleId="ListParagraphChar">
    <w:name w:val="List Paragraph Char"/>
    <w:link w:val="ListParagraph"/>
    <w:uiPriority w:val="34"/>
    <w:rsid w:val="007E692B"/>
  </w:style>
  <w:style w:type="paragraph" w:customStyle="1" w:styleId="Default">
    <w:name w:val="Default"/>
    <w:rsid w:val="007E692B"/>
    <w:pPr>
      <w:autoSpaceDE w:val="0"/>
      <w:autoSpaceDN w:val="0"/>
      <w:adjustRightInd w:val="0"/>
      <w:spacing w:after="0" w:line="240" w:lineRule="auto"/>
    </w:pPr>
    <w:rPr>
      <w:rFonts w:ascii="Arial" w:eastAsia="Times New Roman"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55573">
      <w:bodyDiv w:val="1"/>
      <w:marLeft w:val="0"/>
      <w:marRight w:val="0"/>
      <w:marTop w:val="0"/>
      <w:marBottom w:val="0"/>
      <w:divBdr>
        <w:top w:val="none" w:sz="0" w:space="0" w:color="auto"/>
        <w:left w:val="none" w:sz="0" w:space="0" w:color="auto"/>
        <w:bottom w:val="none" w:sz="0" w:space="0" w:color="auto"/>
        <w:right w:val="none" w:sz="0" w:space="0" w:color="auto"/>
      </w:divBdr>
    </w:div>
    <w:div w:id="1797094051">
      <w:bodyDiv w:val="1"/>
      <w:marLeft w:val="0"/>
      <w:marRight w:val="0"/>
      <w:marTop w:val="0"/>
      <w:marBottom w:val="0"/>
      <w:divBdr>
        <w:top w:val="none" w:sz="0" w:space="0" w:color="auto"/>
        <w:left w:val="none" w:sz="0" w:space="0" w:color="auto"/>
        <w:bottom w:val="none" w:sz="0" w:space="0" w:color="auto"/>
        <w:right w:val="none" w:sz="0" w:space="0" w:color="auto"/>
      </w:divBdr>
    </w:div>
    <w:div w:id="21042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6F5C-7E45-4CB0-B14A-7B8DF08A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6745</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Odvjetnički ured Škrinjar</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vježbenik</dc:creator>
  <cp:lastModifiedBy>Alen Legner</cp:lastModifiedBy>
  <cp:revision>2</cp:revision>
  <cp:lastPrinted>2016-04-19T07:16:00Z</cp:lastPrinted>
  <dcterms:created xsi:type="dcterms:W3CDTF">2020-04-08T12:27:00Z</dcterms:created>
  <dcterms:modified xsi:type="dcterms:W3CDTF">2020-04-08T12:27:00Z</dcterms:modified>
</cp:coreProperties>
</file>