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vijetlatablicareetke1-isticanje5"/>
        <w:tblW w:w="0" w:type="auto"/>
        <w:tblLook w:val="04A0" w:firstRow="1" w:lastRow="0" w:firstColumn="1" w:lastColumn="0" w:noHBand="0" w:noVBand="1"/>
      </w:tblPr>
      <w:tblGrid>
        <w:gridCol w:w="4316"/>
        <w:gridCol w:w="6452"/>
        <w:gridCol w:w="2182"/>
      </w:tblGrid>
      <w:tr w:rsidR="00C15C79" w:rsidTr="00BA78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  <w:gridSpan w:val="3"/>
            <w:vAlign w:val="center"/>
          </w:tcPr>
          <w:p w:rsidR="00C15C79" w:rsidRPr="00BA78D1" w:rsidRDefault="00C15C79" w:rsidP="008A0FDE">
            <w:pPr>
              <w:jc w:val="center"/>
              <w:rPr>
                <w:sz w:val="32"/>
                <w:szCs w:val="32"/>
              </w:rPr>
            </w:pPr>
            <w:r w:rsidRPr="00BA78D1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>Tehničke specifikacije</w:t>
            </w:r>
          </w:p>
        </w:tc>
      </w:tr>
      <w:tr w:rsidR="00C15C79" w:rsidTr="00BA78D1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  <w:gridSpan w:val="3"/>
            <w:shd w:val="clear" w:color="auto" w:fill="B4C6E7" w:themeFill="accent5" w:themeFillTint="66"/>
            <w:vAlign w:val="center"/>
          </w:tcPr>
          <w:p w:rsidR="00C15C79" w:rsidRPr="00C731AD" w:rsidRDefault="00C15C79" w:rsidP="008A0FDE">
            <w:pPr>
              <w:pStyle w:val="Bezproreda"/>
              <w:ind w:left="36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GRUPA </w:t>
            </w:r>
            <w:r w:rsidRPr="00C7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bookmarkStart w:id="0" w:name="_GoBack"/>
            <w:r w:rsidR="00981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Uređ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 za kemijsko i fizikalno proč</w:t>
            </w:r>
            <w:r w:rsidRPr="00C731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išćavanje otpadnih </w:t>
            </w:r>
            <w:r w:rsidR="004C6D7F" w:rsidRPr="004C6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tehnoloških voda od pranja brodica</w:t>
            </w:r>
            <w:bookmarkEnd w:id="0"/>
          </w:p>
        </w:tc>
      </w:tr>
      <w:tr w:rsidR="00C15C79" w:rsidTr="00BA78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shd w:val="clear" w:color="auto" w:fill="D9E2F3" w:themeFill="accent5" w:themeFillTint="33"/>
            <w:vAlign w:val="center"/>
          </w:tcPr>
          <w:p w:rsidR="00C15C79" w:rsidRDefault="00C15C79" w:rsidP="008A0FDE">
            <w:pPr>
              <w:jc w:val="center"/>
            </w:pPr>
            <w:r>
              <w:t>Tražene tehničke specifikacije</w:t>
            </w:r>
          </w:p>
        </w:tc>
        <w:tc>
          <w:tcPr>
            <w:tcW w:w="6452" w:type="dxa"/>
            <w:shd w:val="clear" w:color="auto" w:fill="D9E2F3" w:themeFill="accent5" w:themeFillTint="33"/>
            <w:vAlign w:val="center"/>
          </w:tcPr>
          <w:p w:rsidR="00C15C79" w:rsidRPr="00C731AD" w:rsidRDefault="00C15C79" w:rsidP="008A0F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731AD">
              <w:rPr>
                <w:rFonts w:ascii="Times New Roman" w:hAnsi="Times New Roman" w:cs="Times New Roman"/>
                <w:b/>
              </w:rPr>
              <w:t>Ponuđene tehničke specifikacije</w:t>
            </w:r>
          </w:p>
        </w:tc>
        <w:tc>
          <w:tcPr>
            <w:tcW w:w="2182" w:type="dxa"/>
            <w:shd w:val="clear" w:color="auto" w:fill="D9E2F3" w:themeFill="accent5" w:themeFillTint="33"/>
            <w:vAlign w:val="center"/>
          </w:tcPr>
          <w:p w:rsidR="00C15C79" w:rsidRPr="00C731AD" w:rsidRDefault="00C15C79" w:rsidP="008A0F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731AD">
              <w:rPr>
                <w:rFonts w:ascii="Times New Roman" w:hAnsi="Times New Roman" w:cs="Times New Roman"/>
                <w:b/>
              </w:rPr>
              <w:t>Referenca na tehničku dokumentaciju</w:t>
            </w:r>
          </w:p>
        </w:tc>
      </w:tr>
      <w:tr w:rsidR="00C15C79" w:rsidTr="00C15C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</w:tcPr>
          <w:p w:rsidR="008A0FDE" w:rsidRPr="004C6D7F" w:rsidRDefault="008A0FDE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  <w:r w:rsidRPr="004C6D7F">
              <w:rPr>
                <w:b w:val="0"/>
              </w:rPr>
              <w:t xml:space="preserve"> 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Dobava, doprema i ugradnja kemijsko fizikalnog uređaja za pročišćavanje otpadnih tehnoloških voda od pranja brodica. 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Kapaciteta pročišćavanja je 0,5m3/h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-korištenje tehnologije koagulacije  i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flokulacije,bistrenje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 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vode,obrada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mulja s ciljem uklanjanja viška vode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-Obrađena voda mora biti pogodna za ispuštanje u površinske vode ili ponovno korištenje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-uređaj mora zadovoljavati po MDK,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maximalna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dopuštena koncentracija opasnih i drugih tvari prema pravilniku o graničnim vrijednostima opasnih i drugih tvari u otpadnim vodama. 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Narodne novine“, broj 80/13, 43/14, 27/15 i 3/16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Ovim se Pravilnikom u pravni poredak Republike Hrvatske prenose sljedeće direktive Europske unije: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1. Direktiva 2000/60/EZ Europskog parlamenta i Vijeća od 23. listopada 2000. o uspostavi okvira za djelovanje Zajednice u području vodne politike (Okvirna direktiva o vodama) (SL L 327, 22. 12. 2000.);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2. Direktiva 2006/118/EZ Europskoga parlamenta i Vijeća od 12. prosinca 2006. o zaštiti podzemnih voda od onečišćenja i pogoršanja stanja (SL L 372, 27. 12. 2006.);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lastRenderedPageBreak/>
              <w:t>3. Direktiva 2006/11/EZ Europskoga parlamenta i Vijeća od 15. veljače 2006. o onečišćenju uzrokovanom ispuštanjem određenih opasnih tvari u vodni okoliš Zajednice (Kodificirana verzija) (Tekst značajan za EGP) (SL L 64, 4. 3. 2006.);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4. Direktiva Vijeća 91/271/EEZ od 21. svibnja 1991. o pročišćavanju komunalnih otpadnih voda(SL L 135, 30. </w:t>
            </w:r>
          </w:p>
          <w:p w:rsidR="008A0FDE" w:rsidRPr="004C6D7F" w:rsidRDefault="008A0FDE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5. 1991.), izmijenjena i dopunjena Direktivom Komisije 98/15/EZ od 27. veljače 1998. o izmjeni Direktive Vijeća 91/271/EEZ vezano uz određene zahtjeve utvrđene u Prilogu I. te Direktive (Tekst značajan za EGP) (SL L 67, 7. 3. 1998.);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5. Direktiva 2010/75/EU Europskog parlamenta i Vijeća od 24. studenoga 2010. o industrijskim emisijama (integrirano sprečavanje i kontrola onečišćenja) (preinačeno) (Tekst značajan za EGP) (SL L 334, 17. 12. 2010.).</w:t>
            </w:r>
          </w:p>
          <w:p w:rsidR="00C15C79" w:rsidRPr="004C6D7F" w:rsidRDefault="008A0FDE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-Rad uređaja mora biti kompletno automatski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-Posude i dijelovi uređaja moraju biti od materijala otpornih na agresivne uvijete (blizine mora i kemikalije koje se koriste pri radu)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-Oprema mora biti montirana u odgovarajućem tipiziranom kontejneru sa otvorima za ventilaciju ,kontejner mora imati odgovarajuće ateste.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- dimenzije kontejnera zbog nedostatka prostora mora biti što uži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max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Š=2m.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-boja kontejnera po dogovoru sa investitorom (RAL paleta)</w:t>
            </w:r>
          </w:p>
          <w:p w:rsidR="00BA78D1" w:rsidRPr="004C6D7F" w:rsidRDefault="00BA78D1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</w:p>
          <w:p w:rsidR="00BA78D1" w:rsidRPr="004C6D7F" w:rsidRDefault="00BA78D1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</w:p>
          <w:p w:rsidR="00BA78D1" w:rsidRPr="004C6D7F" w:rsidRDefault="00BA78D1" w:rsidP="008A0FDE">
            <w:pPr>
              <w:rPr>
                <w:b w:val="0"/>
              </w:rPr>
            </w:pPr>
          </w:p>
        </w:tc>
        <w:tc>
          <w:tcPr>
            <w:tcW w:w="6452" w:type="dxa"/>
          </w:tcPr>
          <w:p w:rsidR="00C15C79" w:rsidRDefault="00C15C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82" w:type="dxa"/>
          </w:tcPr>
          <w:p w:rsidR="00C15C79" w:rsidRDefault="00C15C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0FDE" w:rsidTr="00BA78D1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0" w:type="dxa"/>
            <w:gridSpan w:val="3"/>
            <w:shd w:val="clear" w:color="auto" w:fill="D9E2F3" w:themeFill="accent5" w:themeFillTint="33"/>
            <w:vAlign w:val="center"/>
          </w:tcPr>
          <w:p w:rsidR="008A0FDE" w:rsidRPr="004C6D7F" w:rsidRDefault="008A0FDE" w:rsidP="008A0FDE">
            <w:pPr>
              <w:pStyle w:val="Bezproreda"/>
              <w:ind w:left="360"/>
              <w:jc w:val="center"/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4C6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GRUPA 2. Mobilni uređaj za </w:t>
            </w:r>
            <w:proofErr w:type="spellStart"/>
            <w:r w:rsidRPr="004C6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ispumpavanje</w:t>
            </w:r>
            <w:proofErr w:type="spellEnd"/>
            <w:r w:rsidRPr="004C6D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C6D7F" w:rsidRPr="00981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crnih i kaljužnih voda s brodica</w:t>
            </w:r>
          </w:p>
        </w:tc>
      </w:tr>
      <w:tr w:rsidR="008A0FDE" w:rsidTr="00BA78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  <w:shd w:val="clear" w:color="auto" w:fill="D9E2F3" w:themeFill="accent5" w:themeFillTint="33"/>
            <w:vAlign w:val="center"/>
          </w:tcPr>
          <w:p w:rsidR="008A0FDE" w:rsidRPr="004C6D7F" w:rsidRDefault="008A0FDE" w:rsidP="008A0FDE">
            <w:pPr>
              <w:jc w:val="center"/>
              <w:rPr>
                <w:b w:val="0"/>
              </w:rPr>
            </w:pPr>
            <w:r w:rsidRPr="004C6D7F">
              <w:rPr>
                <w:b w:val="0"/>
              </w:rPr>
              <w:t>Tražene tehničke specifikacije</w:t>
            </w:r>
          </w:p>
        </w:tc>
        <w:tc>
          <w:tcPr>
            <w:tcW w:w="6452" w:type="dxa"/>
            <w:shd w:val="clear" w:color="auto" w:fill="D9E2F3" w:themeFill="accent5" w:themeFillTint="33"/>
            <w:vAlign w:val="center"/>
          </w:tcPr>
          <w:p w:rsidR="008A0FDE" w:rsidRPr="00C731AD" w:rsidRDefault="008A0FDE" w:rsidP="008A0F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731AD">
              <w:rPr>
                <w:rFonts w:ascii="Times New Roman" w:hAnsi="Times New Roman" w:cs="Times New Roman"/>
                <w:b/>
              </w:rPr>
              <w:t>Ponuđene tehničke specifikacije</w:t>
            </w:r>
          </w:p>
        </w:tc>
        <w:tc>
          <w:tcPr>
            <w:tcW w:w="2182" w:type="dxa"/>
            <w:shd w:val="clear" w:color="auto" w:fill="D9E2F3" w:themeFill="accent5" w:themeFillTint="33"/>
            <w:vAlign w:val="center"/>
          </w:tcPr>
          <w:p w:rsidR="008A0FDE" w:rsidRPr="00C731AD" w:rsidRDefault="008A0FDE" w:rsidP="008A0F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C731AD">
              <w:rPr>
                <w:rFonts w:ascii="Times New Roman" w:hAnsi="Times New Roman" w:cs="Times New Roman"/>
                <w:b/>
              </w:rPr>
              <w:t>Referenca na tehničku dokumentaciju</w:t>
            </w:r>
          </w:p>
        </w:tc>
      </w:tr>
      <w:tr w:rsidR="008A0FDE" w:rsidTr="00374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6" w:type="dxa"/>
          </w:tcPr>
          <w:p w:rsidR="008A0FDE" w:rsidRPr="004C6D7F" w:rsidRDefault="008A0FDE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Dobava i doprema mobilnog uređaja za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ispumpavanje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crnih i kaljužnih voda s brodica kapaciteta 350l.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Uređaj se sastoji od: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pocinčana prikolica dimenzija D=2000mm, Š = 800/1000mm, V = 1400mm, opremljena zaštitnom ceradom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namotaj za usisno crijevo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usisno crijevo promjera 1 ½ ”, duljine 20 metara, opremljeno brzom spojkom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komplet posebnih priključaka za tank otpadnih voda na brodici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-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peristaltic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pumpa opremljena sa 2 kom. prigušivača vibracija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-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elektro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motor 2,2 kW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el. upravljački ormar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spojnice za cijevi</w:t>
            </w:r>
          </w:p>
          <w:p w:rsidR="008A0FDE" w:rsidRPr="004C6D7F" w:rsidRDefault="008A0FDE" w:rsidP="008A0FDE">
            <w:pPr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</w:pP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- spremnika koji mora biti od materijala otpornog na kemikalije koje se mogu naći u crnim i kaljužnim tankovima brodica.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Svi metalni dijelovi uređaja i kolica moraju biti od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inoxa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 xml:space="preserve"> ili zaštićeni </w:t>
            </w:r>
            <w:proofErr w:type="spellStart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pocinčavanjem</w:t>
            </w:r>
            <w:proofErr w:type="spellEnd"/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.</w:t>
            </w:r>
          </w:p>
          <w:p w:rsidR="008A0FDE" w:rsidRPr="004C6D7F" w:rsidRDefault="008A0FDE" w:rsidP="008A0FDE">
            <w:pPr>
              <w:rPr>
                <w:b w:val="0"/>
              </w:rPr>
            </w:pP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t>Uređaj mora zadovoljavati direktive: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 -   Direktiva 2006/42/EZ Europskog Parlamenta i Vijeća od 17. svibnja 2006. o strojevima o izmjeni Direktive 95/16/EZ (preinaka)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 xml:space="preserve">-    Direktiva 2004/108/EZ Europskog Parlamenta i Vijeća od 15. Prosinca 2004. O usklađivanju zakonodavstva država članica u odnosu na elektromagnetsku kompatibilnost i 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lastRenderedPageBreak/>
              <w:t>stavljanju izvan snage Direktive 89/336/EEZ</w:t>
            </w:r>
            <w:r w:rsidRPr="004C6D7F">
              <w:rPr>
                <w:rFonts w:ascii="Arial" w:eastAsia="Times New Roman" w:hAnsi="Arial" w:cs="Arial"/>
                <w:b w:val="0"/>
                <w:sz w:val="20"/>
                <w:szCs w:val="20"/>
                <w:lang w:eastAsia="hr-HR"/>
              </w:rPr>
              <w:br/>
              <w:t>-    Direktiva 2006/95/EZ Europskog Parlamenta i Vijeća od 12. prosinca 2006. o usklađivanju zakonodavstva država članica u odnosu na električnu opremu namijenjenu za uporabu unutar određenih naponskih granica</w:t>
            </w:r>
          </w:p>
        </w:tc>
        <w:tc>
          <w:tcPr>
            <w:tcW w:w="6452" w:type="dxa"/>
            <w:vAlign w:val="center"/>
          </w:tcPr>
          <w:p w:rsidR="008A0FDE" w:rsidRPr="00C731AD" w:rsidRDefault="008A0FDE" w:rsidP="008A0F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" w:type="dxa"/>
            <w:vAlign w:val="center"/>
          </w:tcPr>
          <w:p w:rsidR="008A0FDE" w:rsidRPr="00C731AD" w:rsidRDefault="008A0FDE" w:rsidP="008A0F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</w:p>
        </w:tc>
      </w:tr>
    </w:tbl>
    <w:p w:rsidR="00567B93" w:rsidRDefault="00567B93"/>
    <w:sectPr w:rsidR="00567B93" w:rsidSect="00C15C7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C79"/>
    <w:rsid w:val="00037F8E"/>
    <w:rsid w:val="0032652C"/>
    <w:rsid w:val="004C6D7F"/>
    <w:rsid w:val="00567B93"/>
    <w:rsid w:val="006C4A96"/>
    <w:rsid w:val="006E0401"/>
    <w:rsid w:val="007A050C"/>
    <w:rsid w:val="008A0FDE"/>
    <w:rsid w:val="0098164B"/>
    <w:rsid w:val="00B66A0B"/>
    <w:rsid w:val="00BA78D1"/>
    <w:rsid w:val="00BF4CD8"/>
    <w:rsid w:val="00C1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22AF"/>
  <w15:chartTrackingRefBased/>
  <w15:docId w15:val="{C9F36732-7BC6-4051-BE07-9DA93430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401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15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-isticanje5">
    <w:name w:val="Grid Table 1 Light Accent 5"/>
    <w:basedOn w:val="Obinatablica"/>
    <w:uiPriority w:val="46"/>
    <w:rsid w:val="00C15C7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proreda">
    <w:name w:val="No Spacing"/>
    <w:uiPriority w:val="1"/>
    <w:qFormat/>
    <w:rsid w:val="00C15C79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Smiljana</dc:creator>
  <cp:keywords/>
  <dc:description/>
  <cp:lastModifiedBy>Smiljana</cp:lastModifiedBy>
  <cp:revision>3</cp:revision>
  <dcterms:created xsi:type="dcterms:W3CDTF">2020-05-10T09:24:00Z</dcterms:created>
  <dcterms:modified xsi:type="dcterms:W3CDTF">2020-05-11T11:36:00Z</dcterms:modified>
</cp:coreProperties>
</file>