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2A237E">
        <w:rPr>
          <w:b/>
          <w:sz w:val="32"/>
          <w:szCs w:val="32"/>
        </w:rPr>
        <w:t xml:space="preserve"> I ODGOVORI </w:t>
      </w:r>
      <w:r w:rsidR="007677C1">
        <w:rPr>
          <w:b/>
          <w:sz w:val="32"/>
          <w:szCs w:val="32"/>
        </w:rPr>
        <w:t>10.03</w:t>
      </w:r>
      <w:r w:rsidR="00040AE0" w:rsidRPr="000A1A20">
        <w:rPr>
          <w:b/>
          <w:sz w:val="32"/>
          <w:szCs w:val="32"/>
        </w:rPr>
        <w:t>.2021.-</w:t>
      </w:r>
      <w:r w:rsidR="007677C1">
        <w:rPr>
          <w:b/>
          <w:sz w:val="32"/>
          <w:szCs w:val="32"/>
        </w:rPr>
        <w:t>16</w:t>
      </w:r>
      <w:r w:rsidR="00040AE0" w:rsidRPr="000A1A20">
        <w:rPr>
          <w:b/>
          <w:sz w:val="32"/>
          <w:szCs w:val="32"/>
        </w:rPr>
        <w:t>.</w:t>
      </w:r>
      <w:r w:rsidR="002A237E">
        <w:rPr>
          <w:b/>
          <w:sz w:val="32"/>
          <w:szCs w:val="32"/>
        </w:rPr>
        <w:t>03.</w:t>
      </w:r>
      <w:r w:rsidR="00040AE0" w:rsidRPr="000A1A20">
        <w:rPr>
          <w:b/>
          <w:sz w:val="32"/>
          <w:szCs w:val="32"/>
        </w:rPr>
        <w:t>2021.</w:t>
      </w:r>
    </w:p>
    <w:p w:rsidR="007D7980" w:rsidRDefault="002A11E1"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0F321A" w:rsidRPr="00D62C11" w:rsidTr="007B5BA5">
        <w:trPr>
          <w:trHeight w:val="557"/>
        </w:trPr>
        <w:tc>
          <w:tcPr>
            <w:tcW w:w="7694" w:type="dxa"/>
          </w:tcPr>
          <w:p w:rsidR="003048B2" w:rsidRDefault="003048B2" w:rsidP="000F321A">
            <w:pPr>
              <w:jc w:val="center"/>
              <w:rPr>
                <w:rFonts w:eastAsia="Times New Roman"/>
                <w:b/>
                <w:sz w:val="24"/>
                <w:szCs w:val="24"/>
              </w:rPr>
            </w:pPr>
          </w:p>
          <w:p w:rsidR="000F321A" w:rsidRPr="000F321A" w:rsidRDefault="000F321A" w:rsidP="000F321A">
            <w:pPr>
              <w:jc w:val="center"/>
              <w:rPr>
                <w:rFonts w:eastAsia="Times New Roman"/>
                <w:b/>
                <w:sz w:val="24"/>
                <w:szCs w:val="24"/>
              </w:rPr>
            </w:pPr>
            <w:r w:rsidRPr="000F321A">
              <w:rPr>
                <w:rFonts w:eastAsia="Times New Roman"/>
                <w:b/>
                <w:sz w:val="24"/>
                <w:szCs w:val="24"/>
              </w:rPr>
              <w:t>PITANJE</w:t>
            </w:r>
          </w:p>
        </w:tc>
        <w:tc>
          <w:tcPr>
            <w:tcW w:w="7694" w:type="dxa"/>
          </w:tcPr>
          <w:p w:rsidR="003048B2" w:rsidRDefault="003048B2" w:rsidP="000F321A">
            <w:pPr>
              <w:jc w:val="center"/>
              <w:rPr>
                <w:rFonts w:cstheme="minorHAnsi"/>
                <w:b/>
                <w:sz w:val="24"/>
                <w:szCs w:val="24"/>
              </w:rPr>
            </w:pPr>
          </w:p>
          <w:p w:rsidR="000F321A" w:rsidRPr="000F321A" w:rsidRDefault="000F321A" w:rsidP="000F321A">
            <w:pPr>
              <w:jc w:val="center"/>
              <w:rPr>
                <w:rFonts w:cstheme="minorHAnsi"/>
                <w:b/>
                <w:sz w:val="24"/>
                <w:szCs w:val="24"/>
              </w:rPr>
            </w:pPr>
            <w:r w:rsidRPr="000F321A">
              <w:rPr>
                <w:rFonts w:cstheme="minorHAnsi"/>
                <w:b/>
                <w:sz w:val="24"/>
                <w:szCs w:val="24"/>
              </w:rPr>
              <w:t>ODGOVOR</w:t>
            </w:r>
          </w:p>
          <w:p w:rsidR="000F321A" w:rsidRPr="000F321A" w:rsidRDefault="000F321A" w:rsidP="000F321A">
            <w:pPr>
              <w:jc w:val="center"/>
              <w:rPr>
                <w:rFonts w:cstheme="minorHAnsi"/>
                <w:b/>
                <w:sz w:val="24"/>
                <w:szCs w:val="24"/>
              </w:rPr>
            </w:pPr>
          </w:p>
        </w:tc>
      </w:tr>
      <w:tr w:rsidR="007677C1" w:rsidRPr="00D62C11" w:rsidTr="00674DF7">
        <w:tc>
          <w:tcPr>
            <w:tcW w:w="7694" w:type="dxa"/>
          </w:tcPr>
          <w:p w:rsidR="007677C1" w:rsidRPr="004320D1" w:rsidRDefault="006F6F16" w:rsidP="007677C1">
            <w:pPr>
              <w:rPr>
                <w:color w:val="1F4E79"/>
              </w:rPr>
            </w:pPr>
            <w:r w:rsidRPr="004320D1">
              <w:rPr>
                <w:color w:val="1F4E79"/>
              </w:rPr>
              <w:t>T</w:t>
            </w:r>
            <w:r w:rsidR="007677C1" w:rsidRPr="004320D1">
              <w:rPr>
                <w:color w:val="1F4E79"/>
              </w:rPr>
              <w:t xml:space="preserve">očkom 2.5. Prihvatljivost operacije navedeni su prihvatljive aktivnosti. Pod točkom 4.2. Provođenje postupka dodjela Faza 3. Provjera prihvatljivosti operacija i aktivnosti, te provjera izdataka (troškova)  POP je naveden kao tijelo koje vrši kontrolu prihvatljivosti izdataka. </w:t>
            </w:r>
          </w:p>
          <w:p w:rsidR="007677C1" w:rsidRPr="004320D1" w:rsidRDefault="007677C1" w:rsidP="007677C1">
            <w:pPr>
              <w:rPr>
                <w:rFonts w:eastAsia="Times New Roman"/>
                <w:b/>
              </w:rPr>
            </w:pPr>
            <w:r w:rsidRPr="004320D1">
              <w:t>Obzirom da su prvim programom mjera propisan</w:t>
            </w:r>
            <w:r w:rsidR="006F6F16" w:rsidRPr="004320D1">
              <w:t>e</w:t>
            </w:r>
            <w:r w:rsidRPr="004320D1">
              <w:t xml:space="preserve"> smjernice za provođenje postupka javne nabave (točka 7.2.) i navedeno je da se mora provesti postupak </w:t>
            </w:r>
            <w:r w:rsidRPr="004320D1">
              <w:rPr>
                <w:u w:val="single"/>
              </w:rPr>
              <w:t>javne nabave za uslugu provoditelja tehničko-financijske kontrole i uslugu operativnog koordiniranja</w:t>
            </w:r>
            <w:r w:rsidRPr="004320D1">
              <w:t>, obzirom da tehničko-financijsku kontrolu provodi Ministarstvo kulture i medija i imamo imenovanog voditelja koji je zaposlenik Korisnika, te ćemo imati imenovanog voditelja/kontakt osobu od strane Ministarstva (navedeno u Ugovoru)</w:t>
            </w:r>
            <w:r w:rsidR="006F6F16" w:rsidRPr="004320D1">
              <w:t xml:space="preserve"> </w:t>
            </w:r>
            <w:r w:rsidRPr="004320D1">
              <w:rPr>
                <w:b/>
                <w:bCs/>
              </w:rPr>
              <w:t>da li smo obavezni provesti te dvije nabave i osigurati vanjske stručnjake</w:t>
            </w:r>
            <w:r w:rsidRPr="004320D1">
              <w:t>?</w:t>
            </w:r>
          </w:p>
        </w:tc>
        <w:tc>
          <w:tcPr>
            <w:tcW w:w="7694" w:type="dxa"/>
          </w:tcPr>
          <w:p w:rsidR="004320D1" w:rsidRDefault="004320D1" w:rsidP="004320D1">
            <w:pPr>
              <w:rPr>
                <w:rFonts w:cstheme="minorHAnsi"/>
              </w:rPr>
            </w:pPr>
            <w:r w:rsidRPr="004320D1">
              <w:rPr>
                <w:rFonts w:cstheme="minorHAnsi"/>
              </w:rPr>
              <w:t>Točkom 2.</w:t>
            </w:r>
            <w:r>
              <w:rPr>
                <w:rFonts w:cstheme="minorHAnsi"/>
              </w:rPr>
              <w:t xml:space="preserve"> Pravila poziva definirani su prihvatljivi prijavitelji, prihvatljive aktivnosti i troškovi operacije. Nakon administrativne provjere prijavnice i prihvatljivosti prijavitelja, slijedi provjera prihvatljivosti aktivnosti i troškova prijavljene operacije. Projektni prijedlog koji je prošao sve provjere upućuje se Povjerenstvu za odabir </w:t>
            </w:r>
            <w:r w:rsidR="00F16303">
              <w:rPr>
                <w:rFonts w:cstheme="minorHAnsi"/>
              </w:rPr>
              <w:t xml:space="preserve">projekata na provjeru i odobrenje. </w:t>
            </w:r>
          </w:p>
          <w:p w:rsidR="007B5BA5" w:rsidRDefault="004320D1" w:rsidP="00F16303">
            <w:pPr>
              <w:rPr>
                <w:rFonts w:cstheme="minorHAnsi"/>
              </w:rPr>
            </w:pPr>
            <w:r>
              <w:rPr>
                <w:rFonts w:cstheme="minorHAnsi"/>
              </w:rPr>
              <w:t>K</w:t>
            </w:r>
            <w:r w:rsidRPr="004320D1">
              <w:rPr>
                <w:rFonts w:cstheme="minorHAnsi"/>
              </w:rPr>
              <w:t>riteriji za odabir početnih sudionika u obnovi: operat</w:t>
            </w:r>
            <w:r>
              <w:rPr>
                <w:rFonts w:cstheme="minorHAnsi"/>
              </w:rPr>
              <w:t xml:space="preserve">ivni koordinatori, projektanti, </w:t>
            </w:r>
            <w:r w:rsidRPr="004320D1">
              <w:rPr>
                <w:rFonts w:cstheme="minorHAnsi"/>
              </w:rPr>
              <w:t>revidenti i provoditelj tehničko-financijske kontrole projekata</w:t>
            </w:r>
            <w:r w:rsidR="00F16303">
              <w:rPr>
                <w:rFonts w:cstheme="minorHAnsi"/>
              </w:rPr>
              <w:t xml:space="preserve"> koji se navode u točki 7.2 Prvog programa mjera provodi nacionalno koordinacijsko tijelo i Fond za obnovu</w:t>
            </w:r>
            <w:r w:rsidR="007B5BA5">
              <w:rPr>
                <w:rFonts w:cstheme="minorHAnsi"/>
              </w:rPr>
              <w:t xml:space="preserve">. </w:t>
            </w:r>
          </w:p>
          <w:p w:rsidR="007B5BA5" w:rsidRDefault="00F16303" w:rsidP="00F16303">
            <w:pPr>
              <w:rPr>
                <w:rFonts w:cstheme="minorHAnsi"/>
              </w:rPr>
            </w:pPr>
            <w:r>
              <w:rPr>
                <w:rFonts w:cstheme="minorHAnsi"/>
              </w:rPr>
              <w:t>Ministarstvo kulture i medija imenovano Tijelom za provedbu financijskog doprino</w:t>
            </w:r>
            <w:r w:rsidR="007B5BA5">
              <w:rPr>
                <w:rFonts w:cstheme="minorHAnsi"/>
              </w:rPr>
              <w:t>sa koje obavlja sljedeće funkcije:</w:t>
            </w:r>
          </w:p>
          <w:p w:rsidR="007B5BA5" w:rsidRPr="007B5BA5" w:rsidRDefault="007B5BA5" w:rsidP="007B5BA5">
            <w:pPr>
              <w:rPr>
                <w:rFonts w:cstheme="minorHAnsi"/>
              </w:rPr>
            </w:pPr>
            <w:r>
              <w:rPr>
                <w:rFonts w:cstheme="minorHAnsi"/>
              </w:rPr>
              <w:t>•</w:t>
            </w:r>
            <w:r w:rsidRPr="007B5BA5">
              <w:rPr>
                <w:rFonts w:cstheme="minorHAnsi"/>
              </w:rPr>
              <w:t>pripremaju kriterije za odabir operacija i dokumentaciju poziva, te objavljuju pozive za dodjelu bespovratnih financijskih sredstava iz FSEU,</w:t>
            </w:r>
          </w:p>
          <w:p w:rsidR="007B5BA5" w:rsidRPr="007B5BA5" w:rsidRDefault="007B5BA5" w:rsidP="007B5BA5">
            <w:pPr>
              <w:rPr>
                <w:rFonts w:cstheme="minorHAnsi"/>
              </w:rPr>
            </w:pPr>
            <w:r>
              <w:rPr>
                <w:rFonts w:cstheme="minorHAnsi"/>
              </w:rPr>
              <w:t>•</w:t>
            </w:r>
            <w:r w:rsidRPr="007B5BA5">
              <w:rPr>
                <w:rFonts w:cstheme="minorHAnsi"/>
              </w:rPr>
              <w:t>provode odabir operacija (transparentno i nediskriminatorno, osiguravajući usklađenost s pravilima prihvatljivosti, pravilima javne nabave, (državnih) potpora i pravilima zaštite okoliša)</w:t>
            </w:r>
          </w:p>
          <w:p w:rsidR="007B5BA5" w:rsidRPr="007B5BA5" w:rsidRDefault="007B5BA5" w:rsidP="007B5BA5">
            <w:pPr>
              <w:rPr>
                <w:rFonts w:cstheme="minorHAnsi"/>
              </w:rPr>
            </w:pPr>
            <w:r>
              <w:rPr>
                <w:rFonts w:cstheme="minorHAnsi"/>
              </w:rPr>
              <w:t>•</w:t>
            </w:r>
            <w:r w:rsidRPr="007B5BA5">
              <w:rPr>
                <w:rFonts w:cstheme="minorHAnsi"/>
              </w:rPr>
              <w:t>u smislu provjera operacija, obavlja administrativne provjere i provjere na licu mjesta, u skladu s ovim Pravilima</w:t>
            </w:r>
          </w:p>
          <w:p w:rsidR="007B5BA5" w:rsidRPr="007B5BA5" w:rsidRDefault="007B5BA5" w:rsidP="007B5BA5">
            <w:pPr>
              <w:rPr>
                <w:rFonts w:cstheme="minorHAnsi"/>
              </w:rPr>
            </w:pPr>
            <w:r>
              <w:rPr>
                <w:rFonts w:cstheme="minorHAnsi"/>
              </w:rPr>
              <w:t>•</w:t>
            </w:r>
            <w:r w:rsidRPr="007B5BA5">
              <w:rPr>
                <w:rFonts w:cstheme="minorHAnsi"/>
              </w:rPr>
              <w:t>u smislu provjera nabava, provodi ex-ante i ex-post provjere, u skladu s ovim Pravilima</w:t>
            </w:r>
          </w:p>
          <w:p w:rsidR="007B5BA5" w:rsidRPr="007B5BA5" w:rsidRDefault="007B5BA5" w:rsidP="007B5BA5">
            <w:pPr>
              <w:rPr>
                <w:rFonts w:cstheme="minorHAnsi"/>
              </w:rPr>
            </w:pPr>
            <w:r>
              <w:rPr>
                <w:rFonts w:cstheme="minorHAnsi"/>
              </w:rPr>
              <w:t>•</w:t>
            </w:r>
            <w:r w:rsidRPr="007B5BA5">
              <w:rPr>
                <w:rFonts w:cstheme="minorHAnsi"/>
              </w:rPr>
              <w:t>utvrđuje postojanje nepravilnosti i provodi potrebne financijske ispravke u slučaju utvrđene nepravilnosti, u skladu s ovim Pravilima</w:t>
            </w:r>
          </w:p>
          <w:p w:rsidR="007B5BA5" w:rsidRPr="007B5BA5" w:rsidRDefault="007B5BA5" w:rsidP="007B5BA5">
            <w:pPr>
              <w:rPr>
                <w:rFonts w:cstheme="minorHAnsi"/>
              </w:rPr>
            </w:pPr>
            <w:r>
              <w:rPr>
                <w:rFonts w:cstheme="minorHAnsi"/>
              </w:rPr>
              <w:t>•</w:t>
            </w:r>
            <w:r w:rsidRPr="007B5BA5">
              <w:rPr>
                <w:rFonts w:cstheme="minorHAnsi"/>
              </w:rPr>
              <w:t xml:space="preserve">obavljaju isplate financijskih sredstava iz FSEU korisnicima koji provode operacije </w:t>
            </w:r>
          </w:p>
          <w:p w:rsidR="007B5BA5" w:rsidRPr="007B5BA5" w:rsidRDefault="007B5BA5" w:rsidP="007B5BA5">
            <w:pPr>
              <w:rPr>
                <w:rFonts w:cstheme="minorHAnsi"/>
              </w:rPr>
            </w:pPr>
            <w:r>
              <w:rPr>
                <w:rFonts w:cstheme="minorHAnsi"/>
              </w:rPr>
              <w:t>•</w:t>
            </w:r>
            <w:r w:rsidRPr="007B5BA5">
              <w:rPr>
                <w:rFonts w:cstheme="minorHAnsi"/>
              </w:rPr>
              <w:t>nalažu povrat sredstava, u skladu s ovim Pravilima</w:t>
            </w:r>
          </w:p>
          <w:p w:rsidR="007B5BA5" w:rsidRPr="007B5BA5" w:rsidRDefault="007B5BA5" w:rsidP="007B5BA5">
            <w:pPr>
              <w:rPr>
                <w:rFonts w:cstheme="minorHAnsi"/>
              </w:rPr>
            </w:pPr>
            <w:r>
              <w:rPr>
                <w:rFonts w:cstheme="minorHAnsi"/>
              </w:rPr>
              <w:t>•</w:t>
            </w:r>
            <w:r w:rsidRPr="007B5BA5">
              <w:rPr>
                <w:rFonts w:cstheme="minorHAnsi"/>
              </w:rPr>
              <w:t>obavještavaju nacionalno koordinacijsko tijelo o nepravilnostima i informiraju o napretku upravnih i sudskih postupaka</w:t>
            </w:r>
          </w:p>
          <w:p w:rsidR="007B5BA5" w:rsidRPr="007B5BA5" w:rsidRDefault="007B5BA5" w:rsidP="007B5BA5">
            <w:pPr>
              <w:rPr>
                <w:rFonts w:cstheme="minorHAnsi"/>
              </w:rPr>
            </w:pPr>
            <w:r>
              <w:rPr>
                <w:rFonts w:cstheme="minorHAnsi"/>
              </w:rPr>
              <w:t>•</w:t>
            </w:r>
            <w:r w:rsidRPr="007B5BA5">
              <w:rPr>
                <w:rFonts w:cstheme="minorHAnsi"/>
              </w:rPr>
              <w:t>izvještavaju NKT o provedbi financijskog doprinosa najkasnije do svakog 10. u mjesecu za prethodni mjesec (objavljeni pozivi, ugovorena i isplaćena sredstva po projektima)</w:t>
            </w:r>
          </w:p>
          <w:p w:rsidR="007B5BA5" w:rsidRPr="007B5BA5" w:rsidRDefault="007B5BA5" w:rsidP="007B5BA5">
            <w:pPr>
              <w:rPr>
                <w:rFonts w:cstheme="minorHAnsi"/>
              </w:rPr>
            </w:pPr>
            <w:r>
              <w:rPr>
                <w:rFonts w:cstheme="minorHAnsi"/>
              </w:rPr>
              <w:t>•</w:t>
            </w:r>
            <w:r w:rsidRPr="007B5BA5">
              <w:rPr>
                <w:rFonts w:cstheme="minorHAnsi"/>
              </w:rPr>
              <w:t>na zahtjev dostavljaju nacionalnom koordinacijskom tijelu ili neovisnom revizorskom tijelu sve informacije, podatke i dokumentaciju, u zadanim rokovima</w:t>
            </w:r>
          </w:p>
          <w:p w:rsidR="007B5BA5" w:rsidRPr="007B5BA5" w:rsidRDefault="007B5BA5" w:rsidP="007B5BA5">
            <w:pPr>
              <w:rPr>
                <w:rFonts w:cstheme="minorHAnsi"/>
              </w:rPr>
            </w:pPr>
            <w:r>
              <w:rPr>
                <w:rFonts w:cstheme="minorHAnsi"/>
              </w:rPr>
              <w:t>•</w:t>
            </w:r>
            <w:r w:rsidRPr="007B5BA5">
              <w:rPr>
                <w:rFonts w:cstheme="minorHAnsi"/>
              </w:rPr>
              <w:t>postupaju u skladu s mišljenjima koje u vezi primjene ovih Pravila ili osiguravanja adekvatne provedbe FSEU izdaje nacionalno koordinacijsko tijelo</w:t>
            </w:r>
          </w:p>
          <w:p w:rsidR="007B5BA5" w:rsidRPr="007B5BA5" w:rsidRDefault="007B5BA5" w:rsidP="007B5BA5">
            <w:pPr>
              <w:rPr>
                <w:rFonts w:cstheme="minorHAnsi"/>
              </w:rPr>
            </w:pPr>
            <w:r>
              <w:rPr>
                <w:rFonts w:cstheme="minorHAnsi"/>
              </w:rPr>
              <w:lastRenderedPageBreak/>
              <w:t>•</w:t>
            </w:r>
            <w:r w:rsidRPr="007B5BA5">
              <w:rPr>
                <w:rFonts w:cstheme="minorHAnsi"/>
              </w:rPr>
              <w:t>osiguravaju da je korisniku dostavljen dokument u kojem su navedeni svi uvjeti za potporu za svaku operaciju</w:t>
            </w:r>
          </w:p>
          <w:p w:rsidR="007677C1" w:rsidRPr="004320D1" w:rsidRDefault="007B5BA5" w:rsidP="007B5BA5">
            <w:pPr>
              <w:rPr>
                <w:rFonts w:cstheme="minorHAnsi"/>
              </w:rPr>
            </w:pPr>
            <w:r>
              <w:rPr>
                <w:rFonts w:cstheme="minorHAnsi"/>
              </w:rPr>
              <w:t>•</w:t>
            </w:r>
            <w:r w:rsidRPr="007B5BA5">
              <w:rPr>
                <w:rFonts w:cstheme="minorHAnsi"/>
              </w:rPr>
              <w:t>sudjeluju u postupku upravljanja nepravilnostima.</w:t>
            </w:r>
            <w:r w:rsidR="00F16303">
              <w:rPr>
                <w:rFonts w:cstheme="minorHAnsi"/>
              </w:rPr>
              <w:t xml:space="preserve"> </w:t>
            </w:r>
            <w:r>
              <w:rPr>
                <w:rFonts w:cstheme="minorHAnsi"/>
              </w:rPr>
              <w:br/>
              <w:t xml:space="preserve">Javne nabave za sve usluge i radove prijavljene operacijom </w:t>
            </w:r>
            <w:r w:rsidR="009C4336">
              <w:rPr>
                <w:rFonts w:cstheme="minorHAnsi"/>
              </w:rPr>
              <w:t xml:space="preserve">po ovom Pozivu </w:t>
            </w:r>
            <w:bookmarkStart w:id="0" w:name="_GoBack"/>
            <w:bookmarkEnd w:id="0"/>
            <w:r>
              <w:rPr>
                <w:rFonts w:cstheme="minorHAnsi"/>
              </w:rPr>
              <w:t>provodi korisnik u skladu sa odredbama Poziva</w:t>
            </w:r>
          </w:p>
        </w:tc>
      </w:tr>
      <w:tr w:rsidR="007677C1" w:rsidRPr="00D62C11" w:rsidTr="00674DF7">
        <w:tc>
          <w:tcPr>
            <w:tcW w:w="7694" w:type="dxa"/>
          </w:tcPr>
          <w:p w:rsidR="007677C1" w:rsidRPr="007B5BA5" w:rsidRDefault="007B5BA5" w:rsidP="007B5BA5">
            <w:pPr>
              <w:rPr>
                <w:rFonts w:eastAsia="Times New Roman"/>
              </w:rPr>
            </w:pPr>
            <w:r w:rsidRPr="007B5BA5">
              <w:rPr>
                <w:rFonts w:eastAsia="Times New Roman"/>
              </w:rPr>
              <w:lastRenderedPageBreak/>
              <w:t>V</w:t>
            </w:r>
            <w:r w:rsidR="007677C1" w:rsidRPr="007B5BA5">
              <w:rPr>
                <w:rFonts w:eastAsia="Times New Roman"/>
              </w:rPr>
              <w:t xml:space="preserve">ezano uz „Poziv na dodjelu bespovratnih financijskih sredstava - Provedba mjera zaštite kulturne baštine oštećene u potresu 22. ožujka 2020. godine na području Grada Zagreba, Krapinsko-zagorske i Zagrebačke županije“ (KLASA: : 612-05/21-01/0147), molili bismo Vas pojašnjenje tj. odgovor na sljedeće pitanje: </w:t>
            </w:r>
          </w:p>
          <w:p w:rsidR="007677C1" w:rsidRDefault="007677C1" w:rsidP="007677C1">
            <w:pPr>
              <w:rPr>
                <w:rFonts w:eastAsia="Times New Roman"/>
                <w:b/>
                <w:sz w:val="24"/>
                <w:szCs w:val="24"/>
              </w:rPr>
            </w:pPr>
            <w:r w:rsidRPr="007B5BA5">
              <w:rPr>
                <w:rFonts w:eastAsia="Times New Roman"/>
              </w:rPr>
              <w:t>Vezano uz razdoblje provedbe operacije tj. razdoblje prihvatljivosti troškova, da li je moguće da ugovorom o dodjeli bespovratnih sredstava, kao datum završetka radova, odnosno datum završetka provedbe operacije, bude definiran datum kasniji od 30. svibnja 2022. godine i to za Aktivnost 2. Provedba mjera zaštite kulturne baštine – izvođenje radova obnove</w:t>
            </w:r>
          </w:p>
        </w:tc>
        <w:tc>
          <w:tcPr>
            <w:tcW w:w="7694" w:type="dxa"/>
          </w:tcPr>
          <w:p w:rsidR="007677C1" w:rsidRDefault="007B5BA5" w:rsidP="001C25C2">
            <w:pPr>
              <w:rPr>
                <w:rFonts w:cstheme="minorHAnsi"/>
                <w:b/>
                <w:sz w:val="24"/>
                <w:szCs w:val="24"/>
              </w:rPr>
            </w:pPr>
            <w:r>
              <w:rPr>
                <w:rFonts w:eastAsia="Times New Roman"/>
              </w:rPr>
              <w:t>R</w:t>
            </w:r>
            <w:r w:rsidRPr="007B5BA5">
              <w:rPr>
                <w:rFonts w:eastAsia="Times New Roman"/>
              </w:rPr>
              <w:t xml:space="preserve">azdoblje </w:t>
            </w:r>
            <w:r>
              <w:rPr>
                <w:rFonts w:eastAsia="Times New Roman"/>
              </w:rPr>
              <w:t xml:space="preserve">završetka provedbe aktivnosti i </w:t>
            </w:r>
            <w:r w:rsidRPr="007B5BA5">
              <w:rPr>
                <w:rFonts w:eastAsia="Times New Roman"/>
              </w:rPr>
              <w:t>prihvatljivosti troškova</w:t>
            </w:r>
            <w:r>
              <w:rPr>
                <w:rFonts w:eastAsia="Times New Roman"/>
              </w:rPr>
              <w:t xml:space="preserve"> bilo koje aktivnosti </w:t>
            </w:r>
            <w:r w:rsidRPr="007B5BA5">
              <w:rPr>
                <w:rFonts w:eastAsia="Times New Roman"/>
              </w:rPr>
              <w:t xml:space="preserve">operacije </w:t>
            </w:r>
            <w:r>
              <w:rPr>
                <w:rFonts w:eastAsia="Times New Roman"/>
              </w:rPr>
              <w:t>definiran</w:t>
            </w:r>
            <w:r w:rsidR="001C25C2">
              <w:rPr>
                <w:rFonts w:eastAsia="Times New Roman"/>
              </w:rPr>
              <w:t>i su</w:t>
            </w:r>
            <w:r>
              <w:rPr>
                <w:rFonts w:eastAsia="Times New Roman"/>
              </w:rPr>
              <w:t xml:space="preserve"> </w:t>
            </w:r>
            <w:r w:rsidR="001C25C2">
              <w:rPr>
                <w:rFonts w:eastAsia="Times New Roman"/>
              </w:rPr>
              <w:t xml:space="preserve">odredbama </w:t>
            </w:r>
            <w:r>
              <w:rPr>
                <w:rFonts w:eastAsia="Times New Roman"/>
              </w:rPr>
              <w:t xml:space="preserve">Pozivom </w:t>
            </w:r>
            <w:r w:rsidR="001C25C2">
              <w:rPr>
                <w:rFonts w:eastAsia="Times New Roman"/>
              </w:rPr>
              <w:t>i</w:t>
            </w:r>
            <w:r>
              <w:rPr>
                <w:rFonts w:eastAsia="Times New Roman"/>
              </w:rPr>
              <w:t xml:space="preserve"> nije </w:t>
            </w:r>
            <w:r w:rsidR="001C25C2">
              <w:rPr>
                <w:rFonts w:eastAsia="Times New Roman"/>
              </w:rPr>
              <w:t xml:space="preserve">ih </w:t>
            </w:r>
            <w:r>
              <w:rPr>
                <w:rFonts w:eastAsia="Times New Roman"/>
              </w:rPr>
              <w:t>moguće mijenjati osim izmjenama Poziva.</w:t>
            </w:r>
          </w:p>
        </w:tc>
      </w:tr>
    </w:tbl>
    <w:p w:rsidR="00D13182" w:rsidRDefault="00D13182" w:rsidP="004D7254">
      <w:pPr>
        <w:jc w:val="both"/>
      </w:pPr>
    </w:p>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E1" w:rsidRDefault="002A11E1" w:rsidP="003E7EDA">
      <w:pPr>
        <w:spacing w:after="0" w:line="240" w:lineRule="auto"/>
      </w:pPr>
      <w:r>
        <w:separator/>
      </w:r>
    </w:p>
  </w:endnote>
  <w:endnote w:type="continuationSeparator" w:id="0">
    <w:p w:rsidR="002A11E1" w:rsidRDefault="002A11E1"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9C4336">
          <w:rPr>
            <w:noProof/>
          </w:rPr>
          <w:t>3</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E1" w:rsidRDefault="002A11E1" w:rsidP="003E7EDA">
      <w:pPr>
        <w:spacing w:after="0" w:line="240" w:lineRule="auto"/>
      </w:pPr>
      <w:r>
        <w:separator/>
      </w:r>
    </w:p>
  </w:footnote>
  <w:footnote w:type="continuationSeparator" w:id="0">
    <w:p w:rsidR="002A11E1" w:rsidRDefault="002A11E1"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17D6A"/>
    <w:rsid w:val="00121A38"/>
    <w:rsid w:val="00127E7D"/>
    <w:rsid w:val="00130A14"/>
    <w:rsid w:val="00134858"/>
    <w:rsid w:val="00143616"/>
    <w:rsid w:val="00146CC1"/>
    <w:rsid w:val="00164EA8"/>
    <w:rsid w:val="00166AEF"/>
    <w:rsid w:val="00166B24"/>
    <w:rsid w:val="0018089F"/>
    <w:rsid w:val="00193969"/>
    <w:rsid w:val="0019401B"/>
    <w:rsid w:val="00195B72"/>
    <w:rsid w:val="001B50A4"/>
    <w:rsid w:val="001B7351"/>
    <w:rsid w:val="001C25C2"/>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46CE"/>
    <w:rsid w:val="00235B56"/>
    <w:rsid w:val="00237B33"/>
    <w:rsid w:val="00240C60"/>
    <w:rsid w:val="0025219F"/>
    <w:rsid w:val="00261472"/>
    <w:rsid w:val="00264E75"/>
    <w:rsid w:val="00270877"/>
    <w:rsid w:val="00281556"/>
    <w:rsid w:val="0028669F"/>
    <w:rsid w:val="00292CA8"/>
    <w:rsid w:val="002A0FAD"/>
    <w:rsid w:val="002A11E1"/>
    <w:rsid w:val="002A237E"/>
    <w:rsid w:val="002A28CD"/>
    <w:rsid w:val="002C02D9"/>
    <w:rsid w:val="002C3917"/>
    <w:rsid w:val="002C681D"/>
    <w:rsid w:val="002E30D9"/>
    <w:rsid w:val="002E3176"/>
    <w:rsid w:val="002E52ED"/>
    <w:rsid w:val="003048B2"/>
    <w:rsid w:val="00304DF8"/>
    <w:rsid w:val="00305DC7"/>
    <w:rsid w:val="00311532"/>
    <w:rsid w:val="00330E3A"/>
    <w:rsid w:val="00332BAB"/>
    <w:rsid w:val="0033446B"/>
    <w:rsid w:val="003477FD"/>
    <w:rsid w:val="00351F60"/>
    <w:rsid w:val="00354B9D"/>
    <w:rsid w:val="00364072"/>
    <w:rsid w:val="00370712"/>
    <w:rsid w:val="00373A57"/>
    <w:rsid w:val="00375491"/>
    <w:rsid w:val="00382BFD"/>
    <w:rsid w:val="003926EF"/>
    <w:rsid w:val="003928DD"/>
    <w:rsid w:val="003947EA"/>
    <w:rsid w:val="00395165"/>
    <w:rsid w:val="003A1C97"/>
    <w:rsid w:val="003A2D11"/>
    <w:rsid w:val="003A50F6"/>
    <w:rsid w:val="003A5469"/>
    <w:rsid w:val="003B3ED4"/>
    <w:rsid w:val="003C335E"/>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0D1"/>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081"/>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B7"/>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D04E6"/>
    <w:rsid w:val="006D232A"/>
    <w:rsid w:val="006F6F16"/>
    <w:rsid w:val="00701668"/>
    <w:rsid w:val="00715CD0"/>
    <w:rsid w:val="007231B5"/>
    <w:rsid w:val="007504EC"/>
    <w:rsid w:val="00761884"/>
    <w:rsid w:val="00763F2F"/>
    <w:rsid w:val="007677C1"/>
    <w:rsid w:val="00770A8D"/>
    <w:rsid w:val="0077621D"/>
    <w:rsid w:val="007802DE"/>
    <w:rsid w:val="0078076F"/>
    <w:rsid w:val="00784ED3"/>
    <w:rsid w:val="00794D2B"/>
    <w:rsid w:val="007A1A6C"/>
    <w:rsid w:val="007A70D6"/>
    <w:rsid w:val="007B5BA5"/>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C2A01"/>
    <w:rsid w:val="008C6EA4"/>
    <w:rsid w:val="008C6F26"/>
    <w:rsid w:val="008D38B5"/>
    <w:rsid w:val="008D54D4"/>
    <w:rsid w:val="008E36AD"/>
    <w:rsid w:val="008E3D1C"/>
    <w:rsid w:val="008F0373"/>
    <w:rsid w:val="008F3274"/>
    <w:rsid w:val="009029AD"/>
    <w:rsid w:val="00910355"/>
    <w:rsid w:val="009231DC"/>
    <w:rsid w:val="00932C0D"/>
    <w:rsid w:val="009336D0"/>
    <w:rsid w:val="009404F3"/>
    <w:rsid w:val="0094255B"/>
    <w:rsid w:val="0094330B"/>
    <w:rsid w:val="00945A01"/>
    <w:rsid w:val="0096551C"/>
    <w:rsid w:val="00967DFB"/>
    <w:rsid w:val="00972E68"/>
    <w:rsid w:val="009770D9"/>
    <w:rsid w:val="00980E51"/>
    <w:rsid w:val="0098129D"/>
    <w:rsid w:val="009902BE"/>
    <w:rsid w:val="00993DC0"/>
    <w:rsid w:val="009C3F80"/>
    <w:rsid w:val="009C4336"/>
    <w:rsid w:val="009C4B68"/>
    <w:rsid w:val="009C7C55"/>
    <w:rsid w:val="009D4EEB"/>
    <w:rsid w:val="009E476D"/>
    <w:rsid w:val="009F02DC"/>
    <w:rsid w:val="009F05F0"/>
    <w:rsid w:val="00A00343"/>
    <w:rsid w:val="00A17504"/>
    <w:rsid w:val="00A3661E"/>
    <w:rsid w:val="00A3695F"/>
    <w:rsid w:val="00A3723A"/>
    <w:rsid w:val="00A73496"/>
    <w:rsid w:val="00A757BF"/>
    <w:rsid w:val="00A804AC"/>
    <w:rsid w:val="00A817A3"/>
    <w:rsid w:val="00A95332"/>
    <w:rsid w:val="00AA0603"/>
    <w:rsid w:val="00AB45E1"/>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3CA5"/>
    <w:rsid w:val="00D3434B"/>
    <w:rsid w:val="00D40B6B"/>
    <w:rsid w:val="00D44AD0"/>
    <w:rsid w:val="00D46C9E"/>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0587"/>
    <w:rsid w:val="00DB115E"/>
    <w:rsid w:val="00DB1B8F"/>
    <w:rsid w:val="00DC24CF"/>
    <w:rsid w:val="00DC7D25"/>
    <w:rsid w:val="00DD1F0E"/>
    <w:rsid w:val="00DD3BA3"/>
    <w:rsid w:val="00DD5A69"/>
    <w:rsid w:val="00DF266B"/>
    <w:rsid w:val="00DF42EF"/>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84F89"/>
    <w:rsid w:val="00E9000A"/>
    <w:rsid w:val="00E96512"/>
    <w:rsid w:val="00EA440F"/>
    <w:rsid w:val="00EB6834"/>
    <w:rsid w:val="00EC4E78"/>
    <w:rsid w:val="00EE04FE"/>
    <w:rsid w:val="00EF287C"/>
    <w:rsid w:val="00EF43D5"/>
    <w:rsid w:val="00F00C97"/>
    <w:rsid w:val="00F06AD1"/>
    <w:rsid w:val="00F16303"/>
    <w:rsid w:val="00F21E49"/>
    <w:rsid w:val="00F22E6F"/>
    <w:rsid w:val="00F22EEE"/>
    <w:rsid w:val="00F37575"/>
    <w:rsid w:val="00F37809"/>
    <w:rsid w:val="00F711CA"/>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6DD5-80DB-406D-8CB7-2D4569EA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726</Words>
  <Characters>4141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5</cp:revision>
  <cp:lastPrinted>2021-02-16T08:24:00Z</cp:lastPrinted>
  <dcterms:created xsi:type="dcterms:W3CDTF">2021-03-16T15:51:00Z</dcterms:created>
  <dcterms:modified xsi:type="dcterms:W3CDTF">2021-03-17T14:45:00Z</dcterms:modified>
</cp:coreProperties>
</file>