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2FB8B" w14:textId="41BD78F2" w:rsidR="00D20CBD" w:rsidRPr="00D20CBD" w:rsidRDefault="00853E1F" w:rsidP="00D20CBD">
      <w:pPr>
        <w:spacing w:before="120" w:after="120"/>
        <w:jc w:val="both"/>
        <w:rPr>
          <w:b/>
        </w:rPr>
      </w:pPr>
      <w:r w:rsidRPr="000109A2">
        <w:t xml:space="preserve"> </w:t>
      </w: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neobveznike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77777777"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sredstava te su dužni provoditi nabavu radova, roba i usluga s pažnjom dobrog gospodarstvenika, pri tom vodeći računa o racionalnom i učinkovitom trošenju dodijeljenih sredstava na način da roba, radovi i usluge koje nabavljaju odgovaraju svrsi Projekta.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bookmarkStart w:id="1" w:name="_GoBack"/>
      <w:bookmarkEnd w:id="1"/>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t>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toč</w:t>
      </w:r>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77777777"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sredstvima), Posredničko tijelo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neopravdano visoka. Posredničko tijelo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77777777" w:rsidR="00D20CBD" w:rsidRPr="00D20CBD" w:rsidRDefault="00D20CBD" w:rsidP="00D20CBD">
      <w:pPr>
        <w:keepLines/>
        <w:jc w:val="both"/>
        <w:rPr>
          <w:lang w:bidi="hr-HR"/>
        </w:rPr>
      </w:pPr>
      <w:r w:rsidRPr="00D20CBD">
        <w:rPr>
          <w:b/>
        </w:rPr>
        <w:lastRenderedPageBreak/>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2" w:name="_Hlk505266633"/>
      <w:r w:rsidRPr="00D20CBD">
        <w:rPr>
          <w:lang w:bidi="hr-HR"/>
        </w:rPr>
        <w:t>(uključujući 400.000,00 kn)</w:t>
      </w:r>
      <w:bookmarkEnd w:id="2"/>
      <w:r w:rsidRPr="00D20CBD">
        <w:rPr>
          <w:lang w:bidi="hr-HR"/>
        </w:rPr>
        <w:t>, odnosno za nabavu radova</w:t>
      </w:r>
      <w:r w:rsidRPr="00D20CBD">
        <w:rPr>
          <w:vertAlign w:val="superscript"/>
          <w:lang w:bidi="hr-HR"/>
        </w:rPr>
        <w:footnoteReference w:id="6"/>
      </w:r>
      <w:r w:rsidRPr="00D20CBD">
        <w:rPr>
          <w:lang w:bidi="hr-HR"/>
        </w:rPr>
        <w:t xml:space="preserve">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lastRenderedPageBreak/>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7"/>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8"/>
      </w:r>
      <w:r w:rsidRPr="00D20CBD">
        <w:rPr>
          <w:lang w:bidi="hr-HR"/>
        </w:rPr>
        <w:t>, NOJN treba voditi računa o jednakoj mogućnosti nadmetanja za domaće i strane gospodarske subjekte. Gospodarski subjekt mora imati mogućnost dostave u ponudi odgovarajućeg dokumenta odnosno potvrde o članstvu u odgovarajućoj komori iz zemlje poslovnog nastana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lastRenderedPageBreak/>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3"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3"/>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lastRenderedPageBreak/>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sustava/međuoperabilnosti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77777777"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sredstava, koji su nužni za završetak projekta 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7777777"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Posredničkom tijelu koje nadgleda provedbu ugovora o dodjeli bespovratnih sredstava. U navedenom slučaju Posredničko tijelo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77777777" w:rsidR="00D20CBD" w:rsidRPr="00D20CBD" w:rsidRDefault="00D20CBD" w:rsidP="00D20CBD">
      <w:pPr>
        <w:keepLines/>
        <w:contextualSpacing/>
        <w:jc w:val="both"/>
        <w:rPr>
          <w:rFonts w:eastAsia="Calibri"/>
        </w:rPr>
      </w:pPr>
      <w:r w:rsidRPr="00D20CBD">
        <w:rPr>
          <w:rFonts w:eastAsia="Calibri"/>
          <w:b/>
        </w:rPr>
        <w:t>14.1.</w:t>
      </w:r>
      <w:r w:rsidRPr="00D20CBD">
        <w:rPr>
          <w:rFonts w:eastAsia="Calibri"/>
        </w:rPr>
        <w:t xml:space="preserve">   </w:t>
      </w:r>
      <w:r w:rsidRPr="00D20CBD">
        <w:rPr>
          <w:rFonts w:eastAsia="Calibri"/>
          <w:b/>
        </w:rPr>
        <w:t>U slučaju nepoštivanja ovih pravila, postupak nabave je podložan financijskim korekcijama definiranim u Pravilima o financijskim korekcijama koje čine sastavni dio uvjeta Ugovora o dodjeli bespovratnih sredstava</w:t>
      </w:r>
      <w:r w:rsidRPr="00D20CBD">
        <w:rPr>
          <w:rFonts w:eastAsia="Calibri"/>
        </w:rPr>
        <w:t xml:space="preserve">. </w:t>
      </w:r>
      <w:r w:rsidRPr="00D20CBD">
        <w:rPr>
          <w:rFonts w:eastAsia="Calibri"/>
          <w:b/>
          <w:bCs/>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lastRenderedPageBreak/>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77777777" w:rsidR="00D20CBD" w:rsidRPr="00D20CBD" w:rsidRDefault="00D20CBD" w:rsidP="00D20CBD">
      <w:pPr>
        <w:jc w:val="both"/>
      </w:pPr>
      <w:r w:rsidRPr="00D20CBD">
        <w:rPr>
          <w:b/>
        </w:rPr>
        <w:t>15.1.</w:t>
      </w:r>
      <w:r w:rsidRPr="00D20CBD">
        <w:rPr>
          <w:rFonts w:eastAsia="Calibri"/>
          <w:lang w:eastAsia="en-US"/>
        </w:rPr>
        <w:t xml:space="preserve"> </w:t>
      </w:r>
      <w:r w:rsidRPr="00D20CBD">
        <w:t>NOJN nije obvezan provoditi neprihvatljive aktivnosti unutar projekta  i primjenjivati  ovo Pravilo kada je riječ o neprihvatljivim troškovima projekta, pod sljedećim uvjetima:</w:t>
      </w:r>
    </w:p>
    <w:p w14:paraId="63E5B17D" w14:textId="77777777" w:rsidR="00D20CBD" w:rsidRPr="00D20CBD" w:rsidRDefault="00D20CBD" w:rsidP="00D20CBD">
      <w:pPr>
        <w:jc w:val="both"/>
      </w:pPr>
    </w:p>
    <w:p w14:paraId="7DD6EFE2" w14:textId="77777777" w:rsidR="00D20CBD" w:rsidRPr="00D20CBD" w:rsidRDefault="00D20CBD" w:rsidP="00AC690D">
      <w:pPr>
        <w:numPr>
          <w:ilvl w:val="0"/>
          <w:numId w:val="8"/>
        </w:numPr>
        <w:contextualSpacing/>
        <w:jc w:val="both"/>
        <w:rPr>
          <w:rFonts w:eastAsia="Calibri"/>
        </w:rPr>
      </w:pPr>
      <w:r w:rsidRPr="00D20CBD">
        <w:rPr>
          <w:rFonts w:eastAsia="Calibri"/>
        </w:rPr>
        <w:t>treba se obratiti pozornost da se predmetna situacija ne izjednačava sa slučajem kada je aktivnost prihvatljiva, ali pripadajući troškovi nisu. U tom slučaju NOJN je obavezan provesti te aktivnosti ako su bile predmetom ocjene (bodovanja u postupku dodjele bespovratnih sredstava) ili su neizostavan dio projekta, ali nije obvezan primijeniti ovo Pravilo.</w:t>
      </w:r>
    </w:p>
    <w:p w14:paraId="39BDAB63" w14:textId="77777777" w:rsidR="00D20CBD" w:rsidRPr="00D20CBD" w:rsidRDefault="00D20CBD" w:rsidP="00D20CBD">
      <w:pPr>
        <w:jc w:val="both"/>
        <w:rPr>
          <w:b/>
        </w:rPr>
      </w:pPr>
    </w:p>
    <w:p w14:paraId="3C64B93A" w14:textId="77777777" w:rsidR="00D20CBD" w:rsidRPr="00D20CBD" w:rsidRDefault="00D20CBD" w:rsidP="00AC690D">
      <w:pPr>
        <w:numPr>
          <w:ilvl w:val="0"/>
          <w:numId w:val="8"/>
        </w:numPr>
        <w:contextualSpacing/>
        <w:jc w:val="both"/>
        <w:rPr>
          <w:rFonts w:eastAsia="Calibri"/>
        </w:rPr>
      </w:pPr>
      <w:r w:rsidRPr="00D20CBD">
        <w:rPr>
          <w:rFonts w:eastAsia="Calibri"/>
        </w:rPr>
        <w:t>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naručitelj, što ne isključuje obvezu NOJN-a postupiti po takvoj uputi Posredničkog tijela razine 2, ili pak u skladu s uvjetima poziva na dodjelu bespovratnih 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4" w:name="_Hlk57702592"/>
      <w:r w:rsidRPr="00D20CBD">
        <w:rPr>
          <w:rFonts w:eastAsia="Calibri"/>
        </w:rPr>
        <w:lastRenderedPageBreak/>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4"/>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77777777" w:rsidR="00D20CBD" w:rsidRPr="00D20CBD" w:rsidRDefault="00D20CBD" w:rsidP="00AC690D">
      <w:pPr>
        <w:keepLines/>
        <w:numPr>
          <w:ilvl w:val="0"/>
          <w:numId w:val="8"/>
        </w:numPr>
        <w:contextualSpacing/>
        <w:jc w:val="both"/>
        <w:rPr>
          <w:rFonts w:eastAsia="Calibri"/>
        </w:rPr>
      </w:pPr>
      <w:r w:rsidRPr="00D20CBD">
        <w:rPr>
          <w:rFonts w:eastAsia="Calibri"/>
        </w:rPr>
        <w:t>NOJN-ov projektni prijedlog u fazi ocjenjivanja kvalitete u postupku dodjele bespovratnih 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77F1FAA7" w14:textId="2B584094"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w:t>
      </w:r>
      <w:r w:rsidRPr="00D20CBD">
        <w:rPr>
          <w:rFonts w:eastAsia="Calibri"/>
        </w:rPr>
        <w:lastRenderedPageBreak/>
        <w:t>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01C3CDDF" w14:textId="77777777" w:rsidR="00D20CBD" w:rsidRPr="00D20CBD" w:rsidRDefault="00D20CBD" w:rsidP="00D20CBD">
      <w:pPr>
        <w:rPr>
          <w:b/>
        </w:rPr>
      </w:pPr>
    </w:p>
    <w:p w14:paraId="4FBD880D" w14:textId="77777777" w:rsidR="00D20CBD" w:rsidRPr="00D20CBD" w:rsidRDefault="00D20CBD" w:rsidP="00D20CBD">
      <w:pPr>
        <w:jc w:val="right"/>
        <w:rPr>
          <w:b/>
        </w:rPr>
      </w:pPr>
    </w:p>
    <w:p w14:paraId="7036F976" w14:textId="77777777" w:rsidR="00FB3A13" w:rsidRDefault="00FB3A13" w:rsidP="00D20CBD">
      <w:pPr>
        <w:jc w:val="right"/>
        <w:rPr>
          <w:b/>
        </w:rPr>
      </w:pPr>
    </w:p>
    <w:p w14:paraId="7781A27F" w14:textId="77777777" w:rsidR="00FB3A13" w:rsidRDefault="00FB3A13" w:rsidP="00D20CBD">
      <w:pPr>
        <w:jc w:val="right"/>
        <w:rPr>
          <w:b/>
        </w:rPr>
      </w:pPr>
    </w:p>
    <w:p w14:paraId="1EF88DCD" w14:textId="77777777" w:rsidR="00FB3A13" w:rsidRDefault="00FB3A13" w:rsidP="00D20CBD">
      <w:pPr>
        <w:jc w:val="right"/>
        <w:rPr>
          <w:b/>
        </w:rPr>
      </w:pPr>
    </w:p>
    <w:p w14:paraId="702CEF0B" w14:textId="77777777" w:rsidR="00FB3A13" w:rsidRDefault="00FB3A13" w:rsidP="00D20CBD">
      <w:pPr>
        <w:jc w:val="right"/>
        <w:rPr>
          <w:b/>
        </w:rPr>
      </w:pPr>
    </w:p>
    <w:p w14:paraId="28617DC4" w14:textId="77777777" w:rsidR="00FB3A13" w:rsidRDefault="00FB3A13" w:rsidP="00D20CBD">
      <w:pPr>
        <w:jc w:val="right"/>
        <w:rPr>
          <w:b/>
        </w:rPr>
      </w:pPr>
    </w:p>
    <w:p w14:paraId="2EA0F251" w14:textId="77777777" w:rsidR="00FB3A13" w:rsidRDefault="00FB3A13" w:rsidP="00D20CBD">
      <w:pPr>
        <w:jc w:val="right"/>
        <w:rPr>
          <w:b/>
        </w:rPr>
      </w:pPr>
    </w:p>
    <w:p w14:paraId="23066CCE" w14:textId="77777777" w:rsidR="00FB3A13" w:rsidRDefault="00FB3A13" w:rsidP="00D20CBD">
      <w:pPr>
        <w:jc w:val="right"/>
        <w:rPr>
          <w:b/>
        </w:rPr>
      </w:pPr>
    </w:p>
    <w:p w14:paraId="43E99E87" w14:textId="77777777" w:rsidR="00FB3A13" w:rsidRDefault="00FB3A13" w:rsidP="00D20CBD">
      <w:pPr>
        <w:jc w:val="right"/>
        <w:rPr>
          <w:b/>
        </w:rPr>
      </w:pPr>
    </w:p>
    <w:p w14:paraId="0C46CCE6" w14:textId="77777777" w:rsidR="00FB3A13" w:rsidRDefault="00FB3A13" w:rsidP="00D20CBD">
      <w:pPr>
        <w:jc w:val="right"/>
        <w:rPr>
          <w:b/>
        </w:rPr>
      </w:pPr>
    </w:p>
    <w:p w14:paraId="19124094" w14:textId="77777777" w:rsidR="00FB3A13" w:rsidRDefault="00FB3A13" w:rsidP="00D20CBD">
      <w:pPr>
        <w:jc w:val="right"/>
        <w:rPr>
          <w:b/>
        </w:rPr>
      </w:pPr>
    </w:p>
    <w:p w14:paraId="0FC43648" w14:textId="77777777" w:rsidR="00FB3A13" w:rsidRDefault="00FB3A13" w:rsidP="00D20CBD">
      <w:pPr>
        <w:jc w:val="right"/>
        <w:rPr>
          <w:b/>
        </w:rPr>
      </w:pPr>
    </w:p>
    <w:p w14:paraId="7610E88E" w14:textId="77777777" w:rsidR="00FB3A13" w:rsidRDefault="00FB3A13" w:rsidP="00D20CBD">
      <w:pPr>
        <w:jc w:val="right"/>
        <w:rPr>
          <w:b/>
        </w:rPr>
      </w:pPr>
    </w:p>
    <w:p w14:paraId="52DC93F5" w14:textId="77777777" w:rsidR="00FB3A13" w:rsidRDefault="00FB3A13" w:rsidP="00D20CBD">
      <w:pPr>
        <w:jc w:val="right"/>
        <w:rPr>
          <w:b/>
        </w:rPr>
      </w:pPr>
    </w:p>
    <w:p w14:paraId="6E308C07" w14:textId="77777777" w:rsidR="00FB3A13" w:rsidRDefault="00FB3A13" w:rsidP="00D20CBD">
      <w:pPr>
        <w:jc w:val="right"/>
        <w:rPr>
          <w:b/>
        </w:rPr>
      </w:pPr>
    </w:p>
    <w:p w14:paraId="50F96200" w14:textId="77777777" w:rsidR="00FB3A13" w:rsidRDefault="00FB3A13" w:rsidP="00D20CBD">
      <w:pPr>
        <w:jc w:val="right"/>
        <w:rPr>
          <w:b/>
        </w:rPr>
      </w:pPr>
    </w:p>
    <w:p w14:paraId="26DF6926" w14:textId="77777777" w:rsidR="00FB3A13" w:rsidRDefault="00FB3A13" w:rsidP="00D20CBD">
      <w:pPr>
        <w:jc w:val="right"/>
        <w:rPr>
          <w:b/>
        </w:rPr>
      </w:pPr>
    </w:p>
    <w:p w14:paraId="7C6FF2C2" w14:textId="77777777" w:rsidR="00FB3A13" w:rsidRDefault="00FB3A13" w:rsidP="00D20CBD">
      <w:pPr>
        <w:jc w:val="right"/>
        <w:rPr>
          <w:b/>
        </w:rPr>
      </w:pPr>
    </w:p>
    <w:p w14:paraId="20E982AE" w14:textId="77777777" w:rsidR="00FB3A13" w:rsidRDefault="00FB3A13" w:rsidP="00D20CBD">
      <w:pPr>
        <w:jc w:val="right"/>
        <w:rPr>
          <w:b/>
        </w:rPr>
      </w:pPr>
    </w:p>
    <w:p w14:paraId="351942BA" w14:textId="6DC104FE" w:rsidR="00D20CBD" w:rsidRPr="00D20CBD" w:rsidRDefault="00D20CBD" w:rsidP="00D20CBD">
      <w:pPr>
        <w:jc w:val="right"/>
        <w:rPr>
          <w:b/>
        </w:rPr>
      </w:pPr>
      <w:r w:rsidRPr="00D20CBD">
        <w:rPr>
          <w:b/>
        </w:rPr>
        <w:lastRenderedPageBreak/>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77777777" w:rsidR="00FB3A13" w:rsidRPr="00D20CBD" w:rsidRDefault="00FB3A13"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lastRenderedPageBreak/>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5"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postupajući u svojstvu NOJN-a, u skladu s Pravilima o provedbi postupaka nabava za neobveznike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5"/>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100-%tna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lastRenderedPageBreak/>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261877C2" w:rsidR="00C4118F" w:rsidRDefault="00C4118F"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Umjetna podjela ugovora o radovima/uslugama/nabavi robe s obzirom na procijenjenu vrijednost nabave čime se izbjegava objava poziva na dostavu ponuda u 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t>Projekt u vezi s radovima ili predložena nabava određene količine robe i/ili usluga dodatno je podijeljena tako da je vrijednost nabave umjetno 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t>100% korekcije (agregirano)</w:t>
            </w:r>
            <w:r w:rsidRPr="00C4118F">
              <w:rPr>
                <w:rFonts w:eastAsia="Calibri"/>
                <w:sz w:val="20"/>
                <w:szCs w:val="20"/>
                <w:vertAlign w:val="superscript"/>
              </w:rPr>
              <w:footnoteReference w:id="9"/>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Poziv na nadmetanje nije objavljen u Službenom listu EU ili/i u EOJN , ali je zainteresirana strana (gospodarski subjekt) u drugoj državi članici imala pristup informacijama vezanima uz postupak javne nabave, te bila u mogućnosti iskazati interes za </w:t>
            </w:r>
            <w:r w:rsidRPr="00C4118F">
              <w:rPr>
                <w:rFonts w:eastAsia="Calibri"/>
                <w:sz w:val="20"/>
                <w:szCs w:val="20"/>
              </w:rPr>
              <w:lastRenderedPageBreak/>
              <w:t>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10"/>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lastRenderedPageBreak/>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Odabrana ponuda odudara od tehničkih specifikacija, što bi moglo dovesti do različitih rezultata vrednovanja.</w:t>
            </w:r>
            <w:r w:rsidRPr="00C4118F">
              <w:rPr>
                <w:rFonts w:eastAsia="Calibri"/>
                <w:sz w:val="20"/>
                <w:szCs w:val="20"/>
                <w:vertAlign w:val="superscript"/>
              </w:rPr>
              <w:footnoteReference w:id="11"/>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lastRenderedPageBreak/>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lastRenderedPageBreak/>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2"/>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w:t>
            </w:r>
            <w:r w:rsidRPr="00C4118F">
              <w:rPr>
                <w:rFonts w:eastAsia="Calibri"/>
                <w:sz w:val="20"/>
                <w:szCs w:val="20"/>
              </w:rPr>
              <w:lastRenderedPageBreak/>
              <w:t>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w:t>
            </w:r>
            <w:r w:rsidRPr="00C4118F">
              <w:rPr>
                <w:rFonts w:eastAsia="Calibri"/>
                <w:sz w:val="20"/>
                <w:szCs w:val="20"/>
              </w:rPr>
              <w:lastRenderedPageBreak/>
              <w:t xml:space="preserve">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p>
    <w:sectPr w:rsidR="00CE3825" w:rsidRPr="00CE3825" w:rsidSect="0050008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DC63" w14:textId="77777777" w:rsidR="00A65F6C" w:rsidRDefault="00A65F6C" w:rsidP="0068693B">
      <w:r>
        <w:separator/>
      </w:r>
    </w:p>
  </w:endnote>
  <w:endnote w:type="continuationSeparator" w:id="0">
    <w:p w14:paraId="00BAF0DC" w14:textId="77777777" w:rsidR="00A65F6C" w:rsidRDefault="00A65F6C" w:rsidP="0068693B">
      <w:r>
        <w:continuationSeparator/>
      </w:r>
    </w:p>
  </w:endnote>
  <w:endnote w:type="continuationNotice" w:id="1">
    <w:p w14:paraId="657F2715" w14:textId="77777777" w:rsidR="00A65F6C" w:rsidRDefault="00A65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937E" w14:textId="2C42EB7C"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C315C9" w:rsidRPr="00D75672">
      <w:rPr>
        <w:b/>
        <w:bCs/>
        <w:noProof/>
        <w:sz w:val="16"/>
        <w:szCs w:val="16"/>
      </w:rPr>
      <w:t>13</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C315C9" w:rsidRPr="00D75672">
      <w:rPr>
        <w:b/>
        <w:bCs/>
        <w:noProof/>
        <w:sz w:val="16"/>
        <w:szCs w:val="16"/>
      </w:rPr>
      <w:t>13</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21502" w14:textId="77777777" w:rsidR="00A65F6C" w:rsidRDefault="00A65F6C" w:rsidP="0068693B">
      <w:r>
        <w:separator/>
      </w:r>
    </w:p>
  </w:footnote>
  <w:footnote w:type="continuationSeparator" w:id="0">
    <w:p w14:paraId="3F38EE47" w14:textId="77777777" w:rsidR="00A65F6C" w:rsidRDefault="00A65F6C" w:rsidP="0068693B">
      <w:r>
        <w:continuationSeparator/>
      </w:r>
    </w:p>
  </w:footnote>
  <w:footnote w:type="continuationNotice" w:id="1">
    <w:p w14:paraId="2E566BFF" w14:textId="77777777" w:rsidR="00A65F6C" w:rsidRDefault="00A65F6C"/>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1C5CA6E1" w14:textId="77777777" w:rsidR="00D20CBD" w:rsidRDefault="00D20CBD" w:rsidP="00D20CBD">
      <w:pPr>
        <w:pStyle w:val="Tekstfusnote"/>
        <w:rPr>
          <w:sz w:val="16"/>
          <w:szCs w:val="16"/>
        </w:rPr>
      </w:pPr>
    </w:p>
  </w:footnote>
  <w:footnote w:id="7">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8">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9">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6" w:name="_Hlk34728005"/>
      <w:r>
        <w:rPr>
          <w:color w:val="212121"/>
        </w:rPr>
        <w:t>osim onih koji su imali jednaku razinu transparentnosti poziva koju bi morali imati i da je postupak ispravno proveden</w:t>
      </w:r>
      <w:r w:rsidRPr="004C1A12">
        <w:rPr>
          <w:color w:val="212121"/>
        </w:rPr>
        <w:t>.</w:t>
      </w:r>
    </w:p>
    <w:bookmarkEnd w:id="6"/>
  </w:footnote>
  <w:footnote w:id="10">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1">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2">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2562"/>
      <w:gridCol w:w="2771"/>
      <w:gridCol w:w="2511"/>
    </w:tblGrid>
    <w:tr w:rsidR="000A0625" w:rsidRPr="000A0625" w14:paraId="41443398" w14:textId="77777777" w:rsidTr="0062401D">
      <w:tc>
        <w:tcPr>
          <w:tcW w:w="2863" w:type="dxa"/>
          <w:vMerge w:val="restart"/>
          <w:vAlign w:val="center"/>
        </w:tcPr>
        <w:p w14:paraId="64E33D98" w14:textId="712AC182" w:rsidR="000A0625" w:rsidRPr="000A0625" w:rsidRDefault="000A0625" w:rsidP="000A0625">
          <w:pPr>
            <w:ind w:firstLine="18"/>
            <w:jc w:val="center"/>
            <w:rPr>
              <w:b/>
            </w:rPr>
          </w:pPr>
          <w:r w:rsidRPr="000A0625">
            <w:rPr>
              <w:b/>
            </w:rPr>
            <w:t>Ministarstvo prostornoga uređenja, graditeljstva i državne imovine (MP</w:t>
          </w:r>
          <w:r w:rsidR="00CE3825">
            <w:rPr>
              <w:b/>
            </w:rPr>
            <w:t>GI</w:t>
          </w:r>
          <w:r w:rsidRPr="000A0625">
            <w:rPr>
              <w:b/>
            </w:rPr>
            <w:t>)</w:t>
          </w:r>
        </w:p>
      </w:tc>
      <w:tc>
        <w:tcPr>
          <w:tcW w:w="7844" w:type="dxa"/>
          <w:gridSpan w:val="3"/>
          <w:vAlign w:val="center"/>
        </w:tcPr>
        <w:p w14:paraId="7CBEDD7E" w14:textId="77777777" w:rsidR="000A0625" w:rsidRPr="000A0625" w:rsidRDefault="000A0625" w:rsidP="000A0625">
          <w:pPr>
            <w:ind w:left="468"/>
            <w:rPr>
              <w:b/>
            </w:rPr>
          </w:pPr>
          <w:r w:rsidRPr="000A0625">
            <w:rPr>
              <w:b/>
            </w:rPr>
            <w:t xml:space="preserve">                                            PRAVILA </w:t>
          </w:r>
        </w:p>
      </w:tc>
    </w:tr>
    <w:tr w:rsidR="000A0625" w:rsidRPr="000A0625" w14:paraId="4DBDD60F" w14:textId="77777777" w:rsidTr="0062401D">
      <w:tc>
        <w:tcPr>
          <w:tcW w:w="2863" w:type="dxa"/>
          <w:vMerge/>
          <w:vAlign w:val="center"/>
        </w:tcPr>
        <w:p w14:paraId="707C1BC4" w14:textId="77777777" w:rsidR="000A0625" w:rsidRPr="000A0625" w:rsidRDefault="000A0625" w:rsidP="000A0625">
          <w:pPr>
            <w:widowControl w:val="0"/>
            <w:pBdr>
              <w:top w:val="nil"/>
              <w:left w:val="nil"/>
              <w:bottom w:val="nil"/>
              <w:right w:val="nil"/>
              <w:between w:val="nil"/>
            </w:pBdr>
            <w:spacing w:line="276" w:lineRule="auto"/>
            <w:rPr>
              <w:b/>
            </w:rPr>
          </w:pPr>
        </w:p>
      </w:tc>
      <w:tc>
        <w:tcPr>
          <w:tcW w:w="2562" w:type="dxa"/>
          <w:vMerge w:val="restart"/>
          <w:vAlign w:val="center"/>
        </w:tcPr>
        <w:p w14:paraId="64422E54" w14:textId="77777777" w:rsidR="000A0625" w:rsidRPr="000A0625" w:rsidRDefault="000A0625" w:rsidP="000A0625">
          <w:pPr>
            <w:jc w:val="center"/>
            <w:rPr>
              <w:b/>
            </w:rPr>
          </w:pPr>
          <w:r w:rsidRPr="000A0625">
            <w:rPr>
              <w:b/>
            </w:rPr>
            <w:t>Fond solidarnosti</w:t>
          </w:r>
        </w:p>
        <w:p w14:paraId="59F83DBB" w14:textId="77777777" w:rsidR="000A0625" w:rsidRPr="000A0625" w:rsidRDefault="000A0625" w:rsidP="000A0625"/>
        <w:p w14:paraId="23651A62" w14:textId="77777777" w:rsidR="000A0625" w:rsidRPr="000A0625" w:rsidRDefault="000A0625" w:rsidP="000A0625"/>
        <w:p w14:paraId="78B1E735" w14:textId="5CCD7613" w:rsidR="000A0625" w:rsidRPr="000A0625" w:rsidRDefault="000A0625" w:rsidP="000A0625">
          <w:pPr>
            <w:jc w:val="center"/>
          </w:pPr>
          <w:r w:rsidRPr="000A0625">
            <w:rPr>
              <w:b/>
            </w:rPr>
            <w:t xml:space="preserve">Prilog </w:t>
          </w:r>
          <w:r>
            <w:rPr>
              <w:b/>
            </w:rPr>
            <w:t>11</w:t>
          </w:r>
        </w:p>
      </w:tc>
      <w:tc>
        <w:tcPr>
          <w:tcW w:w="2771" w:type="dxa"/>
          <w:vAlign w:val="center"/>
        </w:tcPr>
        <w:p w14:paraId="5BFFD2A4" w14:textId="77777777" w:rsidR="000A0625" w:rsidRPr="000A0625" w:rsidRDefault="000A0625" w:rsidP="000A0625">
          <w:pPr>
            <w:jc w:val="center"/>
            <w:rPr>
              <w:b/>
            </w:rPr>
          </w:pPr>
          <w:r w:rsidRPr="000A0625">
            <w:rPr>
              <w:b/>
            </w:rPr>
            <w:t>Datum</w:t>
          </w:r>
        </w:p>
      </w:tc>
      <w:tc>
        <w:tcPr>
          <w:tcW w:w="2511" w:type="dxa"/>
          <w:vAlign w:val="center"/>
        </w:tcPr>
        <w:p w14:paraId="0040B71F" w14:textId="77777777" w:rsidR="000A0625" w:rsidRPr="000A0625" w:rsidRDefault="000A0625" w:rsidP="000A0625">
          <w:pPr>
            <w:jc w:val="center"/>
            <w:rPr>
              <w:b/>
            </w:rPr>
          </w:pPr>
          <w:r w:rsidRPr="000A0625">
            <w:rPr>
              <w:b/>
            </w:rPr>
            <w:t xml:space="preserve">Siječanj 2021. </w:t>
          </w:r>
        </w:p>
      </w:tc>
    </w:tr>
    <w:tr w:rsidR="000A0625" w:rsidRPr="000A0625" w14:paraId="62AC0828" w14:textId="77777777" w:rsidTr="0062401D">
      <w:trPr>
        <w:trHeight w:val="413"/>
      </w:trPr>
      <w:tc>
        <w:tcPr>
          <w:tcW w:w="2863" w:type="dxa"/>
          <w:vMerge/>
          <w:vAlign w:val="center"/>
        </w:tcPr>
        <w:p w14:paraId="06C9E754" w14:textId="77777777" w:rsidR="000A0625" w:rsidRPr="000A0625" w:rsidRDefault="000A0625" w:rsidP="000A0625">
          <w:pPr>
            <w:widowControl w:val="0"/>
            <w:pBdr>
              <w:top w:val="nil"/>
              <w:left w:val="nil"/>
              <w:bottom w:val="nil"/>
              <w:right w:val="nil"/>
              <w:between w:val="nil"/>
            </w:pBdr>
            <w:spacing w:line="276" w:lineRule="auto"/>
            <w:rPr>
              <w:b/>
            </w:rPr>
          </w:pPr>
        </w:p>
      </w:tc>
      <w:tc>
        <w:tcPr>
          <w:tcW w:w="2562" w:type="dxa"/>
          <w:vMerge/>
          <w:vAlign w:val="center"/>
        </w:tcPr>
        <w:p w14:paraId="0ABC3645" w14:textId="77777777" w:rsidR="000A0625" w:rsidRPr="000A0625" w:rsidRDefault="000A0625" w:rsidP="000A0625">
          <w:pPr>
            <w:widowControl w:val="0"/>
            <w:pBdr>
              <w:top w:val="nil"/>
              <w:left w:val="nil"/>
              <w:bottom w:val="nil"/>
              <w:right w:val="nil"/>
              <w:between w:val="nil"/>
            </w:pBdr>
            <w:spacing w:line="276" w:lineRule="auto"/>
            <w:rPr>
              <w:b/>
            </w:rPr>
          </w:pPr>
        </w:p>
      </w:tc>
      <w:tc>
        <w:tcPr>
          <w:tcW w:w="2771" w:type="dxa"/>
          <w:vAlign w:val="center"/>
        </w:tcPr>
        <w:p w14:paraId="717AA3BE" w14:textId="77777777" w:rsidR="000A0625" w:rsidRPr="000A0625" w:rsidRDefault="000A0625" w:rsidP="000A0625">
          <w:pPr>
            <w:jc w:val="center"/>
            <w:rPr>
              <w:b/>
            </w:rPr>
          </w:pPr>
          <w:r w:rsidRPr="000A0625">
            <w:rPr>
              <w:b/>
            </w:rPr>
            <w:t>Verzija</w:t>
          </w:r>
        </w:p>
      </w:tc>
      <w:tc>
        <w:tcPr>
          <w:tcW w:w="2511" w:type="dxa"/>
          <w:vAlign w:val="center"/>
        </w:tcPr>
        <w:p w14:paraId="08E8B673" w14:textId="77777777" w:rsidR="000A0625" w:rsidRPr="000A0625" w:rsidRDefault="000A0625" w:rsidP="000A0625">
          <w:pPr>
            <w:jc w:val="center"/>
            <w:rPr>
              <w:b/>
            </w:rPr>
          </w:pPr>
          <w:r w:rsidRPr="000A0625">
            <w:rPr>
              <w:b/>
            </w:rPr>
            <w:t>1.0</w:t>
          </w:r>
        </w:p>
      </w:tc>
    </w:tr>
    <w:tr w:rsidR="000A0625" w:rsidRPr="000A0625" w14:paraId="46AA9A6F" w14:textId="77777777" w:rsidTr="0062401D">
      <w:trPr>
        <w:trHeight w:val="833"/>
      </w:trPr>
      <w:tc>
        <w:tcPr>
          <w:tcW w:w="2863" w:type="dxa"/>
          <w:vMerge/>
          <w:vAlign w:val="center"/>
        </w:tcPr>
        <w:p w14:paraId="7CC1D113" w14:textId="77777777" w:rsidR="000A0625" w:rsidRPr="000A0625" w:rsidRDefault="000A0625" w:rsidP="000A0625">
          <w:pPr>
            <w:widowControl w:val="0"/>
            <w:pBdr>
              <w:top w:val="nil"/>
              <w:left w:val="nil"/>
              <w:bottom w:val="nil"/>
              <w:right w:val="nil"/>
              <w:between w:val="nil"/>
            </w:pBdr>
            <w:spacing w:line="276" w:lineRule="auto"/>
            <w:rPr>
              <w:b/>
            </w:rPr>
          </w:pPr>
        </w:p>
      </w:tc>
      <w:tc>
        <w:tcPr>
          <w:tcW w:w="2562" w:type="dxa"/>
          <w:vMerge/>
          <w:vAlign w:val="center"/>
        </w:tcPr>
        <w:p w14:paraId="327ED158" w14:textId="77777777" w:rsidR="000A0625" w:rsidRPr="000A0625" w:rsidRDefault="000A0625" w:rsidP="000A0625">
          <w:pPr>
            <w:widowControl w:val="0"/>
            <w:pBdr>
              <w:top w:val="nil"/>
              <w:left w:val="nil"/>
              <w:bottom w:val="nil"/>
              <w:right w:val="nil"/>
              <w:between w:val="nil"/>
            </w:pBdr>
            <w:spacing w:line="276" w:lineRule="auto"/>
            <w:rPr>
              <w:b/>
            </w:rPr>
          </w:pPr>
        </w:p>
      </w:tc>
      <w:tc>
        <w:tcPr>
          <w:tcW w:w="2771" w:type="dxa"/>
          <w:vAlign w:val="center"/>
        </w:tcPr>
        <w:p w14:paraId="4631F828" w14:textId="77777777" w:rsidR="000A0625" w:rsidRPr="000A0625" w:rsidRDefault="000A0625" w:rsidP="000A0625">
          <w:pPr>
            <w:jc w:val="center"/>
            <w:rPr>
              <w:b/>
            </w:rPr>
          </w:pPr>
          <w:r w:rsidRPr="000A0625">
            <w:rPr>
              <w:b/>
            </w:rPr>
            <w:t>Pravilo donosi</w:t>
          </w:r>
        </w:p>
      </w:tc>
      <w:tc>
        <w:tcPr>
          <w:tcW w:w="2511" w:type="dxa"/>
          <w:vAlign w:val="center"/>
        </w:tcPr>
        <w:p w14:paraId="0609F28C" w14:textId="1C0AE465" w:rsidR="000A0625" w:rsidRPr="000A0625" w:rsidRDefault="000A0625" w:rsidP="000A0625">
          <w:pPr>
            <w:jc w:val="center"/>
            <w:rPr>
              <w:b/>
            </w:rPr>
          </w:pPr>
          <w:r w:rsidRPr="000A0625">
            <w:rPr>
              <w:b/>
            </w:rPr>
            <w:t>Ministar MP</w:t>
          </w:r>
          <w:r w:rsidR="00CE3825">
            <w:rPr>
              <w:b/>
            </w:rPr>
            <w:t>GI</w:t>
          </w:r>
        </w:p>
      </w:tc>
    </w:tr>
  </w:tbl>
  <w:p w14:paraId="75E4D33F" w14:textId="77777777" w:rsidR="009272AC" w:rsidRDefault="009272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580"/>
    <w:rsid w:val="00033F5B"/>
    <w:rsid w:val="00034B43"/>
    <w:rsid w:val="00035CB4"/>
    <w:rsid w:val="00036E3D"/>
    <w:rsid w:val="00042470"/>
    <w:rsid w:val="000436B3"/>
    <w:rsid w:val="00043A3D"/>
    <w:rsid w:val="00047D66"/>
    <w:rsid w:val="000506B0"/>
    <w:rsid w:val="00052BDD"/>
    <w:rsid w:val="00052E09"/>
    <w:rsid w:val="0005499E"/>
    <w:rsid w:val="00054B69"/>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55A7"/>
    <w:rsid w:val="004C3D81"/>
    <w:rsid w:val="004C493B"/>
    <w:rsid w:val="004C53CC"/>
    <w:rsid w:val="004C683F"/>
    <w:rsid w:val="004D0315"/>
    <w:rsid w:val="004D1367"/>
    <w:rsid w:val="004D2314"/>
    <w:rsid w:val="004D351B"/>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30A67"/>
    <w:rsid w:val="00632589"/>
    <w:rsid w:val="00633818"/>
    <w:rsid w:val="00633BB0"/>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02616-E15E-432F-B55B-EA8048CD2D7F}"/>
</file>

<file path=customXml/itemProps2.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3.xml><?xml version="1.0" encoding="utf-8"?>
<ds:datastoreItem xmlns:ds="http://schemas.openxmlformats.org/officeDocument/2006/customXml" ds:itemID="{10B04722-19A3-4C64-BEDF-FEB16AEF5D8A}">
  <ds:schemaRefs>
    <ds:schemaRef ds:uri="http://schemas.microsoft.com/office/2006/documentManagement/types"/>
    <ds:schemaRef ds:uri="http://www.w3.org/XML/1998/namespace"/>
    <ds:schemaRef ds:uri="http://purl.org/dc/dcmitype/"/>
    <ds:schemaRef ds:uri="13c57124-0215-4a91-b5e2-1074158149ba"/>
    <ds:schemaRef ds:uri="http://purl.org/dc/elements/1.1/"/>
    <ds:schemaRef ds:uri="http://purl.org/dc/terms/"/>
    <ds:schemaRef ds:uri="http://schemas.microsoft.com/sharepoint/v3"/>
    <ds:schemaRef ds:uri="1973a075-4bd5-4cff-9cf2-e8fff0755c08"/>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6143</Words>
  <Characters>36612</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2021-01-19T08:46:00Z</dcterms:created>
  <dcterms:modified xsi:type="dcterms:W3CDTF">2021-01-19T08:46:00Z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