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2A237E">
        <w:rPr>
          <w:b/>
          <w:sz w:val="32"/>
          <w:szCs w:val="32"/>
        </w:rPr>
        <w:t xml:space="preserve"> I ODGOVORI 24</w:t>
      </w:r>
      <w:r w:rsidR="00085CED">
        <w:rPr>
          <w:b/>
          <w:sz w:val="32"/>
          <w:szCs w:val="32"/>
        </w:rPr>
        <w:t>.</w:t>
      </w:r>
      <w:r w:rsidR="00370712">
        <w:rPr>
          <w:b/>
          <w:sz w:val="32"/>
          <w:szCs w:val="32"/>
        </w:rPr>
        <w:t>0</w:t>
      </w:r>
      <w:r w:rsidR="00085CED">
        <w:rPr>
          <w:b/>
          <w:sz w:val="32"/>
          <w:szCs w:val="32"/>
        </w:rPr>
        <w:t>2</w:t>
      </w:r>
      <w:r w:rsidR="00040AE0" w:rsidRPr="000A1A20">
        <w:rPr>
          <w:b/>
          <w:sz w:val="32"/>
          <w:szCs w:val="32"/>
        </w:rPr>
        <w:t>.2021.-</w:t>
      </w:r>
      <w:r w:rsidR="00370712">
        <w:rPr>
          <w:b/>
          <w:sz w:val="32"/>
          <w:szCs w:val="32"/>
        </w:rPr>
        <w:t>0</w:t>
      </w:r>
      <w:r w:rsidR="00040AE0" w:rsidRPr="000A1A20">
        <w:rPr>
          <w:b/>
          <w:sz w:val="32"/>
          <w:szCs w:val="32"/>
        </w:rPr>
        <w:t>2.</w:t>
      </w:r>
      <w:r w:rsidR="002A237E">
        <w:rPr>
          <w:b/>
          <w:sz w:val="32"/>
          <w:szCs w:val="32"/>
        </w:rPr>
        <w:t>03.</w:t>
      </w:r>
      <w:r w:rsidR="00040AE0" w:rsidRPr="000A1A20">
        <w:rPr>
          <w:b/>
          <w:sz w:val="32"/>
          <w:szCs w:val="32"/>
        </w:rPr>
        <w:t>2021.</w:t>
      </w:r>
    </w:p>
    <w:p w:rsidR="007D7980" w:rsidRDefault="000056BD"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586ACD" w:rsidRPr="00D62C11" w:rsidTr="00674DF7">
        <w:tc>
          <w:tcPr>
            <w:tcW w:w="7694" w:type="dxa"/>
          </w:tcPr>
          <w:p w:rsidR="00C118F9" w:rsidRPr="00C118F9" w:rsidRDefault="00C118F9" w:rsidP="00C118F9">
            <w:pPr>
              <w:jc w:val="both"/>
              <w:rPr>
                <w:rFonts w:eastAsia="Times New Roman"/>
              </w:rPr>
            </w:pPr>
            <w:r w:rsidRPr="00C118F9">
              <w:rPr>
                <w:rFonts w:eastAsia="Times New Roman"/>
              </w:rPr>
              <w:lastRenderedPageBreak/>
              <w:t>Točkom 2.5. propisano je da bi operacija bila prihvatljiva, da se mora odnositi na zgradu koja je oštećena u potresu (dokazuje se uvidom u bazu podataka o preliminarnom pregledu ili nalazom ovlaštene stručne osobe) i prijavitelj mora ishoditi i priložiti akt o mjerama zaštite kulturnog dobra. U službenim pitanjima i odgovorima od Ministarstva 26.01-02.02.2021. navedeno je da se čuvaonice i Aktivnost 2. radovi adaptacije i opremanja prostora čuvaonica prijavljuju posebno.</w:t>
            </w:r>
          </w:p>
          <w:p w:rsidR="00586ACD" w:rsidRDefault="00C118F9" w:rsidP="00DD1F0E">
            <w:pPr>
              <w:jc w:val="both"/>
              <w:rPr>
                <w:rFonts w:eastAsia="Times New Roman"/>
              </w:rPr>
            </w:pPr>
            <w:r w:rsidRPr="00C118F9">
              <w:rPr>
                <w:rFonts w:eastAsia="Times New Roman"/>
              </w:rPr>
              <w:t>Obzirom da smo vlasnik građevine koja bi nam mogla poslužiti kao privremena čuvaonica (uz radove za prilagodbu prostora – izvedbu odgovarajućih instalacija obzirom na građu koji bi unutra smjestili) tokom radova za pohranu muzejske, arhivske, knjižnične građe te umjetnina, inventara i opreme ugroženih građevina koje će se obnavljati cjelovitom obnovom. Građevina nije zaštićena kao pojedinačno kulturno dobro ali se nalazi unutar zaštićene povijesne urbane cjeline i tu građevinu ne bi prijavili za konstruktivnu obnovu, već samo da nam služi kao čuvaonica za građu tokom radova na ostalim građevinama koje se obnavljaju cjelovito obnovom. Obzirom da su natječajem propisani obavezni prilozi da li je i samo za Aktivnost 2. radove adaptacije i opremanja prostora za građevinu koja bi služila kao privremena čuvaonica potrebno priložiti nalaz stručne osobe kojim dokazujemo uporabljivost/neuporabljivost građevine i akt o mjerama zaštite od strane</w:t>
            </w:r>
          </w:p>
          <w:p w:rsidR="007A70D6" w:rsidRDefault="007A70D6" w:rsidP="00DD1F0E">
            <w:pPr>
              <w:jc w:val="both"/>
              <w:rPr>
                <w:rFonts w:eastAsia="Times New Roman"/>
              </w:rPr>
            </w:pPr>
          </w:p>
        </w:tc>
        <w:tc>
          <w:tcPr>
            <w:tcW w:w="7694" w:type="dxa"/>
          </w:tcPr>
          <w:p w:rsidR="00E325B8" w:rsidRDefault="00E325B8" w:rsidP="00E325B8">
            <w:pPr>
              <w:jc w:val="both"/>
              <w:rPr>
                <w:rFonts w:cstheme="minorHAnsi"/>
              </w:rPr>
            </w:pPr>
            <w:r w:rsidRPr="00E325B8">
              <w:rPr>
                <w:rFonts w:cstheme="minorHAnsi"/>
              </w:rPr>
              <w:t xml:space="preserve">Sve zgrade koje se nalaze unutar zaštićene kulturno-povijesne cjeline upisane u Registar kulturnih dobara Republike Hrvatske smatraju se dijelom kulturnog dobra </w:t>
            </w:r>
            <w:r>
              <w:rPr>
                <w:rFonts w:cstheme="minorHAnsi"/>
              </w:rPr>
              <w:t>i mogu biti predmetom prijave</w:t>
            </w:r>
            <w:r w:rsidR="008E36AD">
              <w:rPr>
                <w:rFonts w:cstheme="minorHAnsi"/>
              </w:rPr>
              <w:t xml:space="preserve"> na Poziv</w:t>
            </w:r>
            <w:r w:rsidRPr="00E325B8">
              <w:rPr>
                <w:rFonts w:cstheme="minorHAnsi"/>
              </w:rPr>
              <w:t>.</w:t>
            </w:r>
            <w:r>
              <w:rPr>
                <w:rFonts w:cstheme="minorHAnsi"/>
              </w:rPr>
              <w:t xml:space="preserve"> Uređenje i opremanje čuvaonice je prihvatljiva aktivnost unutar uporabljive građevine i nije potreban akt o mjerama zaštite, ali se za uređenje zgrade primjenjuju odredbe Zakona o zaštiti i očuvanju kulturnih dobara.</w:t>
            </w:r>
          </w:p>
          <w:p w:rsidR="00586ACD" w:rsidRDefault="00E325B8" w:rsidP="008E36AD">
            <w:pPr>
              <w:jc w:val="both"/>
              <w:rPr>
                <w:rFonts w:cstheme="minorHAnsi"/>
              </w:rPr>
            </w:pPr>
            <w:r>
              <w:rPr>
                <w:rFonts w:cstheme="minorHAnsi"/>
              </w:rPr>
              <w:t xml:space="preserve">Akt o mjerama zaštite je nužan za građevine iz kojih se navedena muzejska, arhivska, knjižnična građa te umjetnine, inventar i oprema namjeravaju izmjestiti </w:t>
            </w:r>
            <w:r w:rsidR="008E36AD">
              <w:rPr>
                <w:rFonts w:cstheme="minorHAnsi"/>
              </w:rPr>
              <w:t xml:space="preserve">kao </w:t>
            </w:r>
            <w:r>
              <w:rPr>
                <w:rFonts w:cstheme="minorHAnsi"/>
              </w:rPr>
              <w:t xml:space="preserve">i za navedenu pokretnu baštinu </w:t>
            </w:r>
            <w:r w:rsidR="008E36AD">
              <w:rPr>
                <w:rFonts w:cstheme="minorHAnsi"/>
              </w:rPr>
              <w:t>oštećenu</w:t>
            </w:r>
            <w:r>
              <w:rPr>
                <w:rFonts w:cstheme="minorHAnsi"/>
              </w:rPr>
              <w:t xml:space="preserve"> u potresu.</w:t>
            </w:r>
            <w:r w:rsidRPr="00E325B8">
              <w:rPr>
                <w:rFonts w:cstheme="minorHAnsi"/>
              </w:rPr>
              <w:t xml:space="preserve"> </w:t>
            </w:r>
            <w:r w:rsidR="008E36AD">
              <w:rPr>
                <w:rFonts w:cstheme="minorHAnsi"/>
              </w:rPr>
              <w:t>Za neoštećenu pokretnu građu koju se namjerava izmjestiti radi radova na nepokretnoj kulturnoj baštini u kojoj se nalazi nije obvezan akt o mjerama zaštite</w:t>
            </w:r>
            <w:r>
              <w:rPr>
                <w:rFonts w:cstheme="minorHAnsi"/>
              </w:rPr>
              <w:t xml:space="preserve"> </w:t>
            </w:r>
            <w:r w:rsidR="008E36AD">
              <w:rPr>
                <w:rFonts w:cstheme="minorHAnsi"/>
              </w:rPr>
              <w:t>nego će evakuacija i zbrinjavanje biti obuhvaćeni  projektom obnove nepokretne kulturne baštine na koji je nužno ishoditi posebne uvjete i prethodno odobrenje(potvrdu nadležnog tijela za z</w:t>
            </w:r>
            <w:bookmarkStart w:id="0" w:name="_GoBack"/>
            <w:bookmarkEnd w:id="0"/>
            <w:r w:rsidR="008E36AD">
              <w:rPr>
                <w:rFonts w:cstheme="minorHAnsi"/>
              </w:rPr>
              <w:t xml:space="preserve">aštitu kulturne baštine. </w:t>
            </w:r>
          </w:p>
        </w:tc>
      </w:tr>
      <w:tr w:rsidR="00DC24CF" w:rsidRPr="00D62C11" w:rsidTr="00674DF7">
        <w:tc>
          <w:tcPr>
            <w:tcW w:w="7694" w:type="dxa"/>
          </w:tcPr>
          <w:p w:rsidR="00DC24CF" w:rsidRDefault="00C118F9" w:rsidP="007A1A6C">
            <w:pPr>
              <w:jc w:val="both"/>
              <w:rPr>
                <w:rFonts w:eastAsia="Times New Roman"/>
              </w:rPr>
            </w:pPr>
            <w:r w:rsidRPr="00C118F9">
              <w:rPr>
                <w:rFonts w:eastAsia="Times New Roman"/>
              </w:rPr>
              <w:t>Ukoliko je u fazama Intervencije 1 ili Intervencije 2 planirana izrada projektne dokumentacije, ali još nije započet postupak nabave za izradu dokumentacije, mogu li se procjene planiranih troškova izrade dokumentacije uvrstiti u prijavu i na koji način?</w:t>
            </w:r>
          </w:p>
          <w:p w:rsidR="007A70D6" w:rsidRPr="00DC7D25" w:rsidRDefault="007A70D6" w:rsidP="007A1A6C">
            <w:pPr>
              <w:jc w:val="both"/>
              <w:rPr>
                <w:rFonts w:eastAsia="Times New Roman"/>
              </w:rPr>
            </w:pPr>
          </w:p>
        </w:tc>
        <w:tc>
          <w:tcPr>
            <w:tcW w:w="7694" w:type="dxa"/>
          </w:tcPr>
          <w:p w:rsidR="00DC24CF" w:rsidRDefault="008D38B5" w:rsidP="00586ACD">
            <w:pPr>
              <w:jc w:val="both"/>
              <w:rPr>
                <w:rFonts w:cstheme="minorHAnsi"/>
              </w:rPr>
            </w:pPr>
            <w:r>
              <w:rPr>
                <w:rFonts w:cstheme="minorHAnsi"/>
              </w:rPr>
              <w:t>Da, kao procjena planiranih t</w:t>
            </w:r>
            <w:r w:rsidR="00D51C64">
              <w:rPr>
                <w:rFonts w:cstheme="minorHAnsi"/>
              </w:rPr>
              <w:t>r</w:t>
            </w:r>
            <w:r>
              <w:rPr>
                <w:rFonts w:cstheme="minorHAnsi"/>
              </w:rPr>
              <w:t>o</w:t>
            </w:r>
            <w:r w:rsidR="00C34AA7">
              <w:rPr>
                <w:rFonts w:cstheme="minorHAnsi"/>
              </w:rPr>
              <w:t>škova.</w:t>
            </w:r>
          </w:p>
        </w:tc>
      </w:tr>
      <w:tr w:rsidR="00890936" w:rsidRPr="00D62C11" w:rsidTr="00674DF7">
        <w:tc>
          <w:tcPr>
            <w:tcW w:w="7694" w:type="dxa"/>
          </w:tcPr>
          <w:p w:rsidR="00890936" w:rsidRDefault="00C118F9" w:rsidP="00235B56">
            <w:pPr>
              <w:jc w:val="both"/>
              <w:rPr>
                <w:rFonts w:eastAsia="Times New Roman"/>
              </w:rPr>
            </w:pPr>
            <w:r w:rsidRPr="00C118F9">
              <w:rPr>
                <w:rFonts w:eastAsia="Times New Roman"/>
              </w:rPr>
              <w:t>Financira li se Aktivnosti 1 – Intervencija 2 sredstvima Fonda solidarnosti EU, a sama provedba cjelovite obnove nacionalnim ili drugim sredstvima te je li potrebno u prijavi navesti troškove planirane za aktivnost obnove koja neće biti financirana iz Fonda solidarnosti?</w:t>
            </w:r>
          </w:p>
          <w:p w:rsidR="007A70D6" w:rsidRDefault="007A70D6" w:rsidP="00235B56">
            <w:pPr>
              <w:jc w:val="both"/>
              <w:rPr>
                <w:rFonts w:eastAsia="Times New Roman"/>
              </w:rPr>
            </w:pPr>
          </w:p>
        </w:tc>
        <w:tc>
          <w:tcPr>
            <w:tcW w:w="7694" w:type="dxa"/>
          </w:tcPr>
          <w:p w:rsidR="00270877" w:rsidRDefault="00C34AA7" w:rsidP="00FA5B98">
            <w:pPr>
              <w:jc w:val="both"/>
              <w:rPr>
                <w:rFonts w:cstheme="minorHAnsi"/>
              </w:rPr>
            </w:pPr>
            <w:r w:rsidRPr="00C34AA7">
              <w:rPr>
                <w:rFonts w:cstheme="minorHAnsi"/>
              </w:rPr>
              <w:t>Aktivnosti 1 – Intervencija 2</w:t>
            </w:r>
            <w:r>
              <w:rPr>
                <w:rFonts w:cstheme="minorHAnsi"/>
              </w:rPr>
              <w:t xml:space="preserve"> se ne financira iz Fonda solidarnosti EU </w:t>
            </w:r>
            <w:r w:rsidR="001F0008">
              <w:rPr>
                <w:rFonts w:cstheme="minorHAnsi"/>
              </w:rPr>
              <w:t>te ju nije nužno navesti kao trošak kao ni provedbu cjelovite obnove</w:t>
            </w:r>
            <w:r w:rsidR="00E325B8">
              <w:rPr>
                <w:rFonts w:cstheme="minorHAnsi"/>
              </w:rPr>
              <w:t xml:space="preserve"> kulturnog dobra</w:t>
            </w:r>
            <w:r w:rsidR="001F0008">
              <w:rPr>
                <w:rFonts w:cstheme="minorHAnsi"/>
              </w:rPr>
              <w:t xml:space="preserve">. </w:t>
            </w:r>
          </w:p>
        </w:tc>
      </w:tr>
      <w:tr w:rsidR="005046F1" w:rsidRPr="00D62C11" w:rsidTr="00674DF7">
        <w:tc>
          <w:tcPr>
            <w:tcW w:w="7694" w:type="dxa"/>
          </w:tcPr>
          <w:p w:rsidR="005046F1" w:rsidRDefault="001F0008" w:rsidP="00E42C2A">
            <w:pPr>
              <w:rPr>
                <w:rFonts w:eastAsia="Times New Roman"/>
              </w:rPr>
            </w:pPr>
            <w:r>
              <w:rPr>
                <w:rFonts w:eastAsia="Times New Roman"/>
              </w:rPr>
              <w:t>D</w:t>
            </w:r>
            <w:r w:rsidR="001E1AFC" w:rsidRPr="001E1AFC">
              <w:rPr>
                <w:rFonts w:eastAsia="Times New Roman"/>
              </w:rPr>
              <w:t>va projektna prijedloga predani su 5.2.2021. godine. Prema Uputama za prijavitelje trajanje evaluacije za faze 1-3 (Faza 1. Zaprimanje i registracija projektnog prijedloga; Faza 2. Administrativna provjera; Faza 3. Provjera prihvatljivosti operacija i aktivnosti, te provjera prihvatljivosti izdataka (troškova)) je 60 dana. Slijedom navedenog, molimo informaciju kada možemo očekivati neke reakcije od provoditelja javnog poziva, budući da je prošlo skoro pola razdoblja od navedenog roka u Uputama za prijavitelje.</w:t>
            </w:r>
          </w:p>
        </w:tc>
        <w:tc>
          <w:tcPr>
            <w:tcW w:w="7694" w:type="dxa"/>
          </w:tcPr>
          <w:p w:rsidR="005046F1" w:rsidRDefault="001F0008" w:rsidP="003E71CB">
            <w:pPr>
              <w:jc w:val="both"/>
              <w:rPr>
                <w:rFonts w:cstheme="minorHAnsi"/>
              </w:rPr>
            </w:pPr>
            <w:r w:rsidRPr="001F0008">
              <w:rPr>
                <w:rFonts w:cstheme="minorHAnsi"/>
              </w:rPr>
              <w:t>Povjere</w:t>
            </w:r>
            <w:r w:rsidR="003E71CB">
              <w:rPr>
                <w:rFonts w:cstheme="minorHAnsi"/>
              </w:rPr>
              <w:t>nstvo</w:t>
            </w:r>
            <w:r>
              <w:rPr>
                <w:rFonts w:cstheme="minorHAnsi"/>
              </w:rPr>
              <w:t xml:space="preserve"> za odabir projekata je dana </w:t>
            </w:r>
            <w:r w:rsidRPr="001F0008">
              <w:rPr>
                <w:rFonts w:cstheme="minorHAnsi"/>
              </w:rPr>
              <w:t>26. veljače 2021. godine</w:t>
            </w:r>
            <w:r>
              <w:rPr>
                <w:rFonts w:cstheme="minorHAnsi"/>
              </w:rPr>
              <w:t xml:space="preserve"> održalo</w:t>
            </w:r>
            <w:r w:rsidRPr="001F0008">
              <w:rPr>
                <w:rFonts w:cstheme="minorHAnsi"/>
              </w:rPr>
              <w:t xml:space="preserve"> </w:t>
            </w:r>
            <w:r>
              <w:rPr>
                <w:rFonts w:cstheme="minorHAnsi"/>
              </w:rPr>
              <w:t>I. sjednicu</w:t>
            </w:r>
            <w:r w:rsidR="003E71CB">
              <w:rPr>
                <w:rFonts w:cstheme="minorHAnsi"/>
              </w:rPr>
              <w:t>.</w:t>
            </w:r>
            <w:r w:rsidRPr="001F0008">
              <w:rPr>
                <w:rFonts w:cstheme="minorHAnsi"/>
              </w:rPr>
              <w:t xml:space="preserve"> </w:t>
            </w:r>
            <w:r>
              <w:rPr>
                <w:rFonts w:cstheme="minorHAnsi"/>
              </w:rPr>
              <w:t xml:space="preserve">Odobreni projekti su u pripremi za ugovaranje, kao i </w:t>
            </w:r>
            <w:r w:rsidR="003E71CB">
              <w:rPr>
                <w:rFonts w:cstheme="minorHAnsi"/>
              </w:rPr>
              <w:t>pregled projektnih prijedloga za II. sjednicu</w:t>
            </w:r>
            <w:r>
              <w:rPr>
                <w:rFonts w:cstheme="minorHAnsi"/>
              </w:rPr>
              <w:t xml:space="preserve"> Povjerenstva. Informacije o pojedinačnim projektima </w:t>
            </w:r>
            <w:r w:rsidR="003E71CB">
              <w:rPr>
                <w:rFonts w:cstheme="minorHAnsi"/>
              </w:rPr>
              <w:t xml:space="preserve">još uvijek nisu javno dostupne kao ni </w:t>
            </w:r>
            <w:r>
              <w:rPr>
                <w:rFonts w:cstheme="minorHAnsi"/>
              </w:rPr>
              <w:t xml:space="preserve">popis ugovorenih projekata </w:t>
            </w:r>
            <w:r w:rsidR="003E71CB">
              <w:rPr>
                <w:rFonts w:cstheme="minorHAnsi"/>
              </w:rPr>
              <w:t xml:space="preserve">koji </w:t>
            </w:r>
            <w:r>
              <w:rPr>
                <w:rFonts w:cstheme="minorHAnsi"/>
              </w:rPr>
              <w:t>će biti objavljen na mrežnoj stranici Ministarstva kulture i medija i Strukturnih fondova</w:t>
            </w:r>
            <w:r w:rsidR="003E71CB">
              <w:rPr>
                <w:rFonts w:cstheme="minorHAnsi"/>
              </w:rPr>
              <w:t xml:space="preserve"> u za to propisanom roku</w:t>
            </w:r>
            <w:r>
              <w:rPr>
                <w:rFonts w:cstheme="minorHAnsi"/>
              </w:rPr>
              <w:t xml:space="preserve">. </w:t>
            </w:r>
          </w:p>
        </w:tc>
      </w:tr>
      <w:tr w:rsidR="00C37041" w:rsidRPr="00D62C11" w:rsidTr="00674DF7">
        <w:tc>
          <w:tcPr>
            <w:tcW w:w="7694" w:type="dxa"/>
          </w:tcPr>
          <w:p w:rsidR="00C37041" w:rsidRDefault="004241ED" w:rsidP="00C37041">
            <w:pPr>
              <w:jc w:val="both"/>
              <w:rPr>
                <w:rFonts w:eastAsia="Times New Roman"/>
              </w:rPr>
            </w:pPr>
            <w:r w:rsidRPr="004241ED">
              <w:rPr>
                <w:rFonts w:eastAsia="Times New Roman"/>
              </w:rPr>
              <w:lastRenderedPageBreak/>
              <w:t>je li potrebno u troškovniku iskazivati troškove cjelovite obnove koja će se financirati u budućnosti iz nekih drugih sredstava?</w:t>
            </w:r>
          </w:p>
          <w:p w:rsidR="007A70D6" w:rsidRPr="00DC7D25" w:rsidRDefault="007A70D6" w:rsidP="00C37041">
            <w:pPr>
              <w:jc w:val="both"/>
              <w:rPr>
                <w:rFonts w:eastAsia="Times New Roman"/>
              </w:rPr>
            </w:pPr>
          </w:p>
        </w:tc>
        <w:tc>
          <w:tcPr>
            <w:tcW w:w="7694" w:type="dxa"/>
          </w:tcPr>
          <w:p w:rsidR="00C37041" w:rsidRDefault="001F0008" w:rsidP="001F0008">
            <w:pPr>
              <w:jc w:val="both"/>
              <w:rPr>
                <w:rFonts w:cstheme="minorHAnsi"/>
              </w:rPr>
            </w:pPr>
            <w:r>
              <w:rPr>
                <w:rFonts w:cstheme="minorHAnsi"/>
              </w:rPr>
              <w:t xml:space="preserve">Ne, nije nužno iskazati troškove cjelovite obnove. </w:t>
            </w:r>
          </w:p>
        </w:tc>
      </w:tr>
      <w:tr w:rsidR="00EA440F" w:rsidRPr="00D62C11" w:rsidTr="00674DF7">
        <w:tc>
          <w:tcPr>
            <w:tcW w:w="7694" w:type="dxa"/>
          </w:tcPr>
          <w:p w:rsidR="00EA440F" w:rsidRPr="00EA440F" w:rsidRDefault="00EA440F" w:rsidP="00EA440F">
            <w:pPr>
              <w:jc w:val="both"/>
              <w:rPr>
                <w:rFonts w:eastAsia="Times New Roman"/>
              </w:rPr>
            </w:pPr>
            <w:r w:rsidRPr="00EA440F">
              <w:rPr>
                <w:rFonts w:eastAsia="Times New Roman"/>
              </w:rPr>
              <w:t>Pojedinačno zaštićeno nepokretno kulturno dobro u kojem se nalazi i pokretno kulturno dobro (oba upisna u registre kulturnih dobara)  je u privatnom vlasništvu fizičke osobe. Vlasnik je s članovima najuže obitelji osnovao udrugu za zaštitu i očuvanje nepokretnog i pokretnog kulturnog dobra, a udruga je uz suglasnost vlasnika kulturno dobro  otvorila javnosti pa je isto upisano u registar muzeja i zbirki pri Muzejskom dokumentacijskom centru. Od 2016. godine do pandemije  korona virusom i potresa, kulturno dobro posjetilo je 12.000 posjetitelja od kojega broja polovica je nazočila besplatnim predavanjima, konc</w:t>
            </w:r>
            <w:r w:rsidR="003E71CB">
              <w:rPr>
                <w:rFonts w:eastAsia="Times New Roman"/>
              </w:rPr>
              <w:t>ertima, radionicama i izložbama.</w:t>
            </w:r>
          </w:p>
          <w:p w:rsidR="00EA440F" w:rsidRPr="00EA440F" w:rsidRDefault="00EA440F" w:rsidP="00EA440F">
            <w:pPr>
              <w:jc w:val="both"/>
              <w:rPr>
                <w:rFonts w:eastAsia="Times New Roman"/>
              </w:rPr>
            </w:pPr>
            <w:r w:rsidRPr="00EA440F">
              <w:rPr>
                <w:rFonts w:eastAsia="Times New Roman"/>
              </w:rPr>
              <w:t>Ministarstvo kulture se za zakonskom služnosti upisalo u zemljišne knjige vlasnika nakon što je rješenje o proglašenju nepokretnog kulturnog dobra postalo pravomoćno.</w:t>
            </w:r>
            <w:r w:rsidR="003E71CB">
              <w:rPr>
                <w:rFonts w:eastAsia="Times New Roman"/>
              </w:rPr>
              <w:t xml:space="preserve"> </w:t>
            </w:r>
            <w:r w:rsidRPr="00EA440F">
              <w:rPr>
                <w:rFonts w:eastAsia="Times New Roman"/>
              </w:rPr>
              <w:t xml:space="preserve">Vlasnik je o vlastitom trošku, tj. kreditima otvorio kulturno dobro javnosti i volontira u udruzi i muzeju. </w:t>
            </w:r>
          </w:p>
          <w:p w:rsidR="00EA440F" w:rsidRPr="00EA440F" w:rsidRDefault="00EA440F" w:rsidP="00EA440F">
            <w:pPr>
              <w:jc w:val="both"/>
              <w:rPr>
                <w:rFonts w:eastAsia="Times New Roman"/>
              </w:rPr>
            </w:pPr>
            <w:r w:rsidRPr="00EA440F">
              <w:rPr>
                <w:rFonts w:eastAsia="Times New Roman"/>
              </w:rPr>
              <w:t>Udruga je  neprofitna organizacija.</w:t>
            </w:r>
          </w:p>
          <w:p w:rsidR="00EA440F" w:rsidRPr="00EA440F" w:rsidRDefault="00EA440F" w:rsidP="00EA440F">
            <w:pPr>
              <w:jc w:val="both"/>
              <w:rPr>
                <w:rFonts w:eastAsia="Times New Roman"/>
              </w:rPr>
            </w:pPr>
            <w:r w:rsidRPr="00EA440F">
              <w:rPr>
                <w:rFonts w:eastAsia="Times New Roman"/>
              </w:rPr>
              <w:t>Kuća, tj. pojedinačno zaštićeno nepokretno  kulturno dobro oštećena je u potresu u ožujku i u  prosincu 2020 i ima crvenu kategoriju oštećenja.  Pokretno  kulturno dobro brigom udruge nije oštećeno u potresima.</w:t>
            </w:r>
          </w:p>
          <w:p w:rsidR="00EA440F" w:rsidRPr="00EA440F" w:rsidRDefault="00EA440F" w:rsidP="00EA440F">
            <w:pPr>
              <w:jc w:val="both"/>
              <w:rPr>
                <w:rFonts w:eastAsia="Times New Roman"/>
              </w:rPr>
            </w:pPr>
            <w:r w:rsidRPr="00EA440F">
              <w:rPr>
                <w:rFonts w:eastAsia="Times New Roman"/>
              </w:rPr>
              <w:t xml:space="preserve">Udruga  je registrirana za kulturu i očuvanje baštine, a vlasnik se odrekao stambenog prostora kako bi kulturna baština bila otvorena javnosti pod upravom udruge. </w:t>
            </w:r>
          </w:p>
          <w:p w:rsidR="00EA440F" w:rsidRPr="00EA440F" w:rsidRDefault="00EA440F" w:rsidP="00EA440F">
            <w:pPr>
              <w:jc w:val="both"/>
              <w:rPr>
                <w:rFonts w:eastAsia="Times New Roman"/>
              </w:rPr>
            </w:pPr>
            <w:r w:rsidRPr="00EA440F">
              <w:rPr>
                <w:rFonts w:eastAsia="Times New Roman"/>
              </w:rPr>
              <w:t>Zbog toga što je kulturno dobro otvoreno javnosti, vlasnik ne može stanovati na adresi svoje nekretnine, tj.  nema prebivalište na adresi nepokretnog kulturnog dobra iako je to njegova jedina nekretnina. Zbog toga je u nepovoljnom položaju prema Zakonu o obnovi …(NN 102/20) i mora sudjelovati s  50% troškova obnove u slučaju da podnese zahtjev za obnovu  Ministarstvu prostornog uređenja i graditeljstva.</w:t>
            </w:r>
          </w:p>
          <w:p w:rsidR="00EA440F" w:rsidRPr="00EA440F" w:rsidRDefault="00EA440F" w:rsidP="00EA440F">
            <w:pPr>
              <w:jc w:val="both"/>
              <w:rPr>
                <w:rFonts w:eastAsia="Times New Roman"/>
              </w:rPr>
            </w:pPr>
            <w:r w:rsidRPr="00EA440F">
              <w:rPr>
                <w:rFonts w:eastAsia="Times New Roman"/>
              </w:rPr>
              <w:t xml:space="preserve">Udruga planira podnijeti zahtjev za dodjelu nepovratnih sredstava po predmetnom Pozivu uz suglasnost vlasnika. </w:t>
            </w:r>
          </w:p>
          <w:p w:rsidR="00EA440F" w:rsidRPr="00EA440F" w:rsidRDefault="00EA440F" w:rsidP="00EA440F">
            <w:pPr>
              <w:jc w:val="both"/>
              <w:rPr>
                <w:rFonts w:eastAsia="Times New Roman"/>
              </w:rPr>
            </w:pPr>
            <w:r w:rsidRPr="00EA440F">
              <w:rPr>
                <w:rFonts w:eastAsia="Times New Roman"/>
              </w:rPr>
              <w:t>Smatrate li to prihvatljivim? Naime u odgovorima se pozivate na točku 2.1. Poziva prema kojoj nisu prihvatljive prijave ako je nepokretno kulturno dobro u vlasništvu fizičke osobe. Tu rečenicu koju navodite u odgovorima nismo pronašli u tekstu Poziva.</w:t>
            </w:r>
          </w:p>
          <w:p w:rsidR="00EA440F" w:rsidRPr="004241ED" w:rsidRDefault="00EA440F" w:rsidP="00EA440F">
            <w:pPr>
              <w:jc w:val="both"/>
              <w:rPr>
                <w:rFonts w:eastAsia="Times New Roman"/>
              </w:rPr>
            </w:pPr>
            <w:r w:rsidRPr="00EA440F">
              <w:rPr>
                <w:rFonts w:eastAsia="Times New Roman"/>
              </w:rPr>
              <w:t>No, ako sma</w:t>
            </w:r>
            <w:r w:rsidR="003E71CB">
              <w:rPr>
                <w:rFonts w:eastAsia="Times New Roman"/>
              </w:rPr>
              <w:t>t</w:t>
            </w:r>
            <w:r w:rsidRPr="00EA440F">
              <w:rPr>
                <w:rFonts w:eastAsia="Times New Roman"/>
              </w:rPr>
              <w:t>rate da udruga nije prihvatljiva kao prijavitelj po ovom Pozivu,  tražimo upute  kome poslati prigovor zbog diskriminacije među prijaviteljima.</w:t>
            </w:r>
          </w:p>
        </w:tc>
        <w:tc>
          <w:tcPr>
            <w:tcW w:w="7694" w:type="dxa"/>
          </w:tcPr>
          <w:p w:rsidR="00EA440F" w:rsidRDefault="0042107B" w:rsidP="0042107B">
            <w:pPr>
              <w:jc w:val="both"/>
              <w:rPr>
                <w:rFonts w:cstheme="minorHAnsi"/>
              </w:rPr>
            </w:pPr>
            <w:r>
              <w:rPr>
                <w:rFonts w:cstheme="minorHAnsi"/>
              </w:rPr>
              <w:t xml:space="preserve">U skladu s točkom 2.1 Poziva </w:t>
            </w:r>
            <w:r w:rsidRPr="0042107B">
              <w:rPr>
                <w:rFonts w:cstheme="minorHAnsi"/>
              </w:rPr>
              <w:t>udruge i organizacije civilnog društva koje djeluju u područ</w:t>
            </w:r>
            <w:r>
              <w:rPr>
                <w:rFonts w:cstheme="minorHAnsi"/>
              </w:rPr>
              <w:t xml:space="preserve">ju kulture, umjetnosti i medija kao vlasnici ili korisnici kulturnog dobra mogu biti prijavitelji ukoliko nekretnina nije u suvlasništvu sa drugim fizičkim osobama. Dakle, ukoliko udruga koristi cjelovito kulturno dobro te za cjelovitu obnovu konstrukcije ne mora tražiti suglasnost i sudjelovanje druge fizičke osobe može biti prijavitelj po ovom Pozivu.  </w:t>
            </w:r>
          </w:p>
        </w:tc>
      </w:tr>
      <w:tr w:rsidR="00E42C2A" w:rsidRPr="00D62C11" w:rsidTr="00674DF7">
        <w:tc>
          <w:tcPr>
            <w:tcW w:w="7694" w:type="dxa"/>
          </w:tcPr>
          <w:p w:rsidR="00E42C2A" w:rsidRDefault="00E42C2A" w:rsidP="00E42C2A">
            <w:r>
              <w:lastRenderedPageBreak/>
              <w:t>U postupku javne nabave za Usluge Izrade projektne dokumentacije sveobuhvatne obnove zgrade nakon potresa, tko je donositelj Odluke o početku postupka obnove zgrade javne namjene,  sukladno odredbama Zakona o obnovi zgrada oštećenih potresom…?</w:t>
            </w:r>
          </w:p>
          <w:p w:rsidR="00E42C2A" w:rsidRPr="00E42C2A" w:rsidRDefault="00E42C2A" w:rsidP="00E42C2A">
            <w:r>
              <w:t>Provodi li se za predmetni postupak izrade projektne dokumentacije prema Zakonu o obnovi …ili/i prema Zakonu o građenju?</w:t>
            </w:r>
          </w:p>
        </w:tc>
        <w:tc>
          <w:tcPr>
            <w:tcW w:w="7694" w:type="dxa"/>
          </w:tcPr>
          <w:p w:rsidR="00E42C2A" w:rsidRDefault="003E71CB" w:rsidP="007A70D6">
            <w:pPr>
              <w:jc w:val="both"/>
              <w:rPr>
                <w:rFonts w:cstheme="minorHAnsi"/>
              </w:rPr>
            </w:pPr>
            <w:r>
              <w:rPr>
                <w:rFonts w:cstheme="minorHAnsi"/>
              </w:rPr>
              <w:t>Postupak javne nabave za u</w:t>
            </w:r>
            <w:r w:rsidRPr="003E71CB">
              <w:rPr>
                <w:rFonts w:cstheme="minorHAnsi"/>
              </w:rPr>
              <w:t>sluge Izrade projektne dokumentacije sveobuhvatne obnove zgrade nakon potresa</w:t>
            </w:r>
            <w:r>
              <w:rPr>
                <w:rFonts w:cstheme="minorHAnsi"/>
              </w:rPr>
              <w:t xml:space="preserve"> nisu predmetom ovog Poziva. Projektna dokumentacija za cjelovitu obnovu zgrade prihvatljiva je u idejnom obliku kao podloga za ishođenje nužnih akata za </w:t>
            </w:r>
            <w:r w:rsidR="007A70D6">
              <w:rPr>
                <w:rFonts w:cstheme="minorHAnsi"/>
              </w:rPr>
              <w:t>izradu projekta cjelovite obnove konstrukci</w:t>
            </w:r>
            <w:r>
              <w:rPr>
                <w:rFonts w:cstheme="minorHAnsi"/>
              </w:rPr>
              <w:t>je</w:t>
            </w:r>
            <w:r w:rsidR="007A70D6">
              <w:rPr>
                <w:rFonts w:cstheme="minorHAnsi"/>
              </w:rPr>
              <w:t xml:space="preserve"> </w:t>
            </w:r>
            <w:r w:rsidR="00D51C64">
              <w:rPr>
                <w:rFonts w:cstheme="minorHAnsi"/>
              </w:rPr>
              <w:t>kao druge prihvatljive</w:t>
            </w:r>
            <w:r w:rsidR="00D51C64">
              <w:rPr>
                <w:rFonts w:cstheme="minorHAnsi"/>
              </w:rPr>
              <w:t xml:space="preserve"> aktivnost</w:t>
            </w:r>
            <w:r w:rsidR="00D51C64">
              <w:rPr>
                <w:rFonts w:cstheme="minorHAnsi"/>
              </w:rPr>
              <w:t xml:space="preserve">i po </w:t>
            </w:r>
            <w:r w:rsidR="007A70D6">
              <w:rPr>
                <w:rFonts w:cstheme="minorHAnsi"/>
              </w:rPr>
              <w:t>ovom Pozivu.</w:t>
            </w:r>
          </w:p>
          <w:p w:rsidR="007A70D6" w:rsidRDefault="007A70D6" w:rsidP="007A70D6">
            <w:pPr>
              <w:jc w:val="both"/>
              <w:rPr>
                <w:rFonts w:cstheme="minorHAnsi"/>
              </w:rPr>
            </w:pPr>
            <w:r>
              <w:rPr>
                <w:rFonts w:cstheme="minorHAnsi"/>
              </w:rPr>
              <w:t>Prijavitelj će u suradnji sa projektantom odlučiti prema kom od navedenih zakona izrađuje dokumentaciju</w:t>
            </w:r>
            <w:r w:rsidR="00D51C64">
              <w:rPr>
                <w:rFonts w:cstheme="minorHAnsi"/>
              </w:rPr>
              <w:t xml:space="preserve"> za obnovu kulturnog dobra</w:t>
            </w:r>
            <w:r>
              <w:rPr>
                <w:rFonts w:cstheme="minorHAnsi"/>
              </w:rPr>
              <w:t>, oba zakona su na snazi i prihvatljiva je dokumentacija izrađena po oba zakona, ali mora biti izrađena u skladu sa zakonom na koji se poziva</w:t>
            </w:r>
            <w:r w:rsidR="00D51C64">
              <w:rPr>
                <w:rFonts w:cstheme="minorHAnsi"/>
              </w:rPr>
              <w:t xml:space="preserve"> i</w:t>
            </w:r>
            <w:r>
              <w:rPr>
                <w:rFonts w:cstheme="minorHAnsi"/>
              </w:rPr>
              <w:t xml:space="preserve"> primjenjiva na aktivnosti  prihvatljive ovim Pozivom. </w:t>
            </w:r>
          </w:p>
        </w:tc>
      </w:tr>
    </w:tbl>
    <w:p w:rsidR="00D13182" w:rsidRDefault="00D13182" w:rsidP="004D7254">
      <w:pPr>
        <w:jc w:val="both"/>
      </w:pPr>
    </w:p>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6BD" w:rsidRDefault="000056BD" w:rsidP="003E7EDA">
      <w:pPr>
        <w:spacing w:after="0" w:line="240" w:lineRule="auto"/>
      </w:pPr>
      <w:r>
        <w:separator/>
      </w:r>
    </w:p>
  </w:endnote>
  <w:endnote w:type="continuationSeparator" w:id="0">
    <w:p w:rsidR="000056BD" w:rsidRDefault="000056BD"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8E36AD">
          <w:rPr>
            <w:noProof/>
          </w:rPr>
          <w:t>2</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6BD" w:rsidRDefault="000056BD" w:rsidP="003E7EDA">
      <w:pPr>
        <w:spacing w:after="0" w:line="240" w:lineRule="auto"/>
      </w:pPr>
      <w:r>
        <w:separator/>
      </w:r>
    </w:p>
  </w:footnote>
  <w:footnote w:type="continuationSeparator" w:id="0">
    <w:p w:rsidR="000056BD" w:rsidRDefault="000056BD"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D0CC6"/>
    <w:rsid w:val="000D7550"/>
    <w:rsid w:val="000E2D52"/>
    <w:rsid w:val="000F0081"/>
    <w:rsid w:val="000F218A"/>
    <w:rsid w:val="000F3307"/>
    <w:rsid w:val="000F4908"/>
    <w:rsid w:val="000F5ACA"/>
    <w:rsid w:val="000F720B"/>
    <w:rsid w:val="00100980"/>
    <w:rsid w:val="00101BDC"/>
    <w:rsid w:val="00105676"/>
    <w:rsid w:val="00105FB0"/>
    <w:rsid w:val="00117D6A"/>
    <w:rsid w:val="00121A38"/>
    <w:rsid w:val="00127E7D"/>
    <w:rsid w:val="00134858"/>
    <w:rsid w:val="00143616"/>
    <w:rsid w:val="00146CC1"/>
    <w:rsid w:val="00164EA8"/>
    <w:rsid w:val="00166AEF"/>
    <w:rsid w:val="00166B24"/>
    <w:rsid w:val="0018089F"/>
    <w:rsid w:val="00193969"/>
    <w:rsid w:val="0019401B"/>
    <w:rsid w:val="00195B72"/>
    <w:rsid w:val="001B50A4"/>
    <w:rsid w:val="001B7351"/>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46CE"/>
    <w:rsid w:val="00235B56"/>
    <w:rsid w:val="00237B33"/>
    <w:rsid w:val="00240C60"/>
    <w:rsid w:val="0025219F"/>
    <w:rsid w:val="00261472"/>
    <w:rsid w:val="00264E75"/>
    <w:rsid w:val="00270877"/>
    <w:rsid w:val="00281556"/>
    <w:rsid w:val="0028669F"/>
    <w:rsid w:val="00292CA8"/>
    <w:rsid w:val="002A0FAD"/>
    <w:rsid w:val="002A237E"/>
    <w:rsid w:val="002A28CD"/>
    <w:rsid w:val="002C02D9"/>
    <w:rsid w:val="002C3917"/>
    <w:rsid w:val="002C681D"/>
    <w:rsid w:val="002E30D9"/>
    <w:rsid w:val="002E3176"/>
    <w:rsid w:val="002E52ED"/>
    <w:rsid w:val="00304DF8"/>
    <w:rsid w:val="00311532"/>
    <w:rsid w:val="00330E3A"/>
    <w:rsid w:val="00332BAB"/>
    <w:rsid w:val="0033446B"/>
    <w:rsid w:val="003477FD"/>
    <w:rsid w:val="00351F60"/>
    <w:rsid w:val="00354B9D"/>
    <w:rsid w:val="00364072"/>
    <w:rsid w:val="00370712"/>
    <w:rsid w:val="00373A57"/>
    <w:rsid w:val="00375491"/>
    <w:rsid w:val="00382BFD"/>
    <w:rsid w:val="003926EF"/>
    <w:rsid w:val="003928DD"/>
    <w:rsid w:val="003947EA"/>
    <w:rsid w:val="00395165"/>
    <w:rsid w:val="003A1C97"/>
    <w:rsid w:val="003A2D11"/>
    <w:rsid w:val="003A50F6"/>
    <w:rsid w:val="003A5469"/>
    <w:rsid w:val="003B3ED4"/>
    <w:rsid w:val="003C335E"/>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B7"/>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D04E6"/>
    <w:rsid w:val="006D232A"/>
    <w:rsid w:val="00701668"/>
    <w:rsid w:val="00715CD0"/>
    <w:rsid w:val="007231B5"/>
    <w:rsid w:val="007504EC"/>
    <w:rsid w:val="00761884"/>
    <w:rsid w:val="00763F2F"/>
    <w:rsid w:val="00770A8D"/>
    <w:rsid w:val="0077621D"/>
    <w:rsid w:val="007802DE"/>
    <w:rsid w:val="0078076F"/>
    <w:rsid w:val="00784ED3"/>
    <w:rsid w:val="00794D2B"/>
    <w:rsid w:val="007A1A6C"/>
    <w:rsid w:val="007A70D6"/>
    <w:rsid w:val="007D077C"/>
    <w:rsid w:val="007D6B5C"/>
    <w:rsid w:val="007D7980"/>
    <w:rsid w:val="007D7B0E"/>
    <w:rsid w:val="007E1153"/>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C2A01"/>
    <w:rsid w:val="008C6EA4"/>
    <w:rsid w:val="008C6F26"/>
    <w:rsid w:val="008D38B5"/>
    <w:rsid w:val="008D54D4"/>
    <w:rsid w:val="008E36AD"/>
    <w:rsid w:val="008F0373"/>
    <w:rsid w:val="008F3274"/>
    <w:rsid w:val="009029AD"/>
    <w:rsid w:val="00910355"/>
    <w:rsid w:val="009231DC"/>
    <w:rsid w:val="00932C0D"/>
    <w:rsid w:val="009336D0"/>
    <w:rsid w:val="009404F3"/>
    <w:rsid w:val="0094255B"/>
    <w:rsid w:val="0094330B"/>
    <w:rsid w:val="00945A01"/>
    <w:rsid w:val="0096551C"/>
    <w:rsid w:val="00967DFB"/>
    <w:rsid w:val="00972E68"/>
    <w:rsid w:val="009770D9"/>
    <w:rsid w:val="0098129D"/>
    <w:rsid w:val="009902BE"/>
    <w:rsid w:val="00993DC0"/>
    <w:rsid w:val="009C3F80"/>
    <w:rsid w:val="009C4B68"/>
    <w:rsid w:val="009C7C55"/>
    <w:rsid w:val="009D4EEB"/>
    <w:rsid w:val="009E476D"/>
    <w:rsid w:val="009F02DC"/>
    <w:rsid w:val="009F05F0"/>
    <w:rsid w:val="00A00343"/>
    <w:rsid w:val="00A17504"/>
    <w:rsid w:val="00A3661E"/>
    <w:rsid w:val="00A3695F"/>
    <w:rsid w:val="00A3723A"/>
    <w:rsid w:val="00A73496"/>
    <w:rsid w:val="00A757BF"/>
    <w:rsid w:val="00A804AC"/>
    <w:rsid w:val="00A817A3"/>
    <w:rsid w:val="00A95332"/>
    <w:rsid w:val="00AA0603"/>
    <w:rsid w:val="00AB45E1"/>
    <w:rsid w:val="00AC678F"/>
    <w:rsid w:val="00AD453E"/>
    <w:rsid w:val="00AD4C2D"/>
    <w:rsid w:val="00AE4E78"/>
    <w:rsid w:val="00AE750C"/>
    <w:rsid w:val="00B0427D"/>
    <w:rsid w:val="00B30237"/>
    <w:rsid w:val="00B35684"/>
    <w:rsid w:val="00B42D46"/>
    <w:rsid w:val="00B577AF"/>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118F9"/>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434B"/>
    <w:rsid w:val="00D40B6B"/>
    <w:rsid w:val="00D44AD0"/>
    <w:rsid w:val="00D46C9E"/>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115E"/>
    <w:rsid w:val="00DB1B8F"/>
    <w:rsid w:val="00DC24CF"/>
    <w:rsid w:val="00DC7D25"/>
    <w:rsid w:val="00DD1F0E"/>
    <w:rsid w:val="00DD3BA3"/>
    <w:rsid w:val="00DD5A69"/>
    <w:rsid w:val="00DF266B"/>
    <w:rsid w:val="00DF42EF"/>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9000A"/>
    <w:rsid w:val="00E96512"/>
    <w:rsid w:val="00EA440F"/>
    <w:rsid w:val="00EB6834"/>
    <w:rsid w:val="00EC4E78"/>
    <w:rsid w:val="00EE04FE"/>
    <w:rsid w:val="00EF287C"/>
    <w:rsid w:val="00EF43D5"/>
    <w:rsid w:val="00F00C97"/>
    <w:rsid w:val="00F06AD1"/>
    <w:rsid w:val="00F21E49"/>
    <w:rsid w:val="00F22E6F"/>
    <w:rsid w:val="00F22EEE"/>
    <w:rsid w:val="00F37575"/>
    <w:rsid w:val="00F37809"/>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32F6D-A072-485A-90F2-531B36D6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1306</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15</cp:revision>
  <cp:lastPrinted>2021-02-16T08:24:00Z</cp:lastPrinted>
  <dcterms:created xsi:type="dcterms:W3CDTF">2021-02-25T07:09:00Z</dcterms:created>
  <dcterms:modified xsi:type="dcterms:W3CDTF">2021-03-03T11:32:00Z</dcterms:modified>
</cp:coreProperties>
</file>