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12C9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Ovaj Poziv se financira iz</w:t>
      </w:r>
    </w:p>
    <w:p w14:paraId="291D6437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Fonda solidarnosti Europske unije</w:t>
      </w:r>
    </w:p>
    <w:p w14:paraId="679A587C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bookmarkStart w:id="0" w:name="bookmark0"/>
    </w:p>
    <w:p w14:paraId="27418A54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SAŽETAK POZIVA NA DOSTAVU PROJEKTNIH PRIJEDLOGA</w:t>
      </w:r>
      <w:bookmarkEnd w:id="0"/>
    </w:p>
    <w:p w14:paraId="186486F8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639A9263" w14:textId="77777777" w:rsidR="00605951" w:rsidRPr="004E3E79" w:rsidRDefault="00605951" w:rsidP="00605951">
      <w:pPr>
        <w:jc w:val="center"/>
        <w:rPr>
          <w:rStyle w:val="Bodytext285pt"/>
          <w:rFonts w:eastAsiaTheme="minorHAnsi"/>
          <w:b/>
          <w:sz w:val="24"/>
          <w:szCs w:val="24"/>
        </w:rPr>
      </w:pPr>
      <w:bookmarkStart w:id="1" w:name="bookmark2"/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Pružanje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privremenog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smještaja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radi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pokrivanja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potreba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stanovništva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pogođenog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potresom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22.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ožujka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2020.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godine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na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4E3E79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bCs/>
          <w:sz w:val="24"/>
          <w:szCs w:val="24"/>
        </w:rPr>
        <w:t>Grada</w:t>
      </w:r>
      <w:proofErr w:type="spellEnd"/>
      <w:r w:rsidRPr="004E3E79">
        <w:rPr>
          <w:rStyle w:val="Bodytext285pt"/>
          <w:rFonts w:eastAsiaTheme="minorHAnsi"/>
          <w:b/>
          <w:bCs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bCs/>
          <w:sz w:val="24"/>
          <w:szCs w:val="24"/>
        </w:rPr>
        <w:t>Zagreba</w:t>
      </w:r>
      <w:proofErr w:type="spellEnd"/>
      <w:r w:rsidRPr="004E3E79">
        <w:rPr>
          <w:rStyle w:val="Bodytext285pt"/>
          <w:rFonts w:eastAsiaTheme="minorHAnsi"/>
          <w:b/>
          <w:bCs/>
          <w:sz w:val="24"/>
          <w:szCs w:val="24"/>
        </w:rPr>
        <w:t xml:space="preserve">, </w:t>
      </w:r>
      <w:proofErr w:type="spellStart"/>
      <w:r w:rsidRPr="004E3E79">
        <w:rPr>
          <w:rStyle w:val="Bodytext285pt"/>
          <w:rFonts w:eastAsiaTheme="minorHAnsi"/>
          <w:b/>
          <w:bCs/>
          <w:sz w:val="24"/>
          <w:szCs w:val="24"/>
        </w:rPr>
        <w:t>Krapinsko-zagorske</w:t>
      </w:r>
      <w:proofErr w:type="spellEnd"/>
      <w:r w:rsidRPr="004E3E79">
        <w:rPr>
          <w:rStyle w:val="Bodytext285pt"/>
          <w:rFonts w:eastAsiaTheme="minorHAnsi"/>
          <w:b/>
          <w:bCs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bCs/>
          <w:sz w:val="24"/>
          <w:szCs w:val="24"/>
        </w:rPr>
        <w:t>županije</w:t>
      </w:r>
      <w:proofErr w:type="spellEnd"/>
      <w:r w:rsidRPr="004E3E79">
        <w:rPr>
          <w:rStyle w:val="Bodytext285pt"/>
          <w:rFonts w:eastAsiaTheme="minorHAnsi"/>
          <w:b/>
          <w:bCs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bCs/>
          <w:sz w:val="24"/>
          <w:szCs w:val="24"/>
        </w:rPr>
        <w:t>i</w:t>
      </w:r>
      <w:proofErr w:type="spellEnd"/>
      <w:r w:rsidRPr="004E3E79">
        <w:rPr>
          <w:rStyle w:val="Bodytext285pt"/>
          <w:rFonts w:eastAsiaTheme="minorHAnsi"/>
          <w:b/>
          <w:bCs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bCs/>
          <w:sz w:val="24"/>
          <w:szCs w:val="24"/>
        </w:rPr>
        <w:t>Zagrebačke</w:t>
      </w:r>
      <w:proofErr w:type="spellEnd"/>
      <w:r w:rsidRPr="004E3E79">
        <w:rPr>
          <w:rStyle w:val="Bodytext285pt"/>
          <w:rFonts w:eastAsiaTheme="minorHAnsi"/>
          <w:b/>
          <w:bCs/>
          <w:sz w:val="24"/>
          <w:szCs w:val="24"/>
        </w:rPr>
        <w:t xml:space="preserve"> </w:t>
      </w:r>
      <w:proofErr w:type="spellStart"/>
      <w:r w:rsidRPr="004E3E79">
        <w:rPr>
          <w:rStyle w:val="Bodytext285pt"/>
          <w:rFonts w:eastAsiaTheme="minorHAnsi"/>
          <w:b/>
          <w:bCs/>
          <w:sz w:val="24"/>
          <w:szCs w:val="24"/>
        </w:rPr>
        <w:t>županije</w:t>
      </w:r>
      <w:proofErr w:type="spellEnd"/>
    </w:p>
    <w:bookmarkEnd w:id="1"/>
    <w:p w14:paraId="3BEEC5F1" w14:textId="77777777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Style w:val="Bodytext285pt"/>
          <w:rFonts w:eastAsiaTheme="minorHAnsi"/>
          <w:sz w:val="24"/>
          <w:szCs w:val="24"/>
        </w:rPr>
        <w:t>FSEU.MPGI.01</w:t>
      </w:r>
    </w:p>
    <w:p w14:paraId="522C908E" w14:textId="77777777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12B287E8" w14:textId="79C22A70" w:rsidR="00605951" w:rsidRPr="004E3E79" w:rsidRDefault="00DC6F2B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DC6F2B">
        <w:rPr>
          <w:rFonts w:ascii="Times New Roman" w:hAnsi="Times New Roman" w:cs="Times New Roman"/>
          <w:sz w:val="24"/>
          <w:szCs w:val="24"/>
          <w:highlight w:val="yellow"/>
        </w:rPr>
        <w:t>Prva (1.) izmjena Poziva</w:t>
      </w:r>
    </w:p>
    <w:p w14:paraId="0120DF83" w14:textId="77777777" w:rsidR="00DC6F2B" w:rsidRDefault="00DC6F2B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2" w:name="bookmark3"/>
    </w:p>
    <w:p w14:paraId="66148D78" w14:textId="53FF3854" w:rsidR="00605951" w:rsidRPr="004E3E79" w:rsidRDefault="00605951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Opće informacije</w:t>
      </w:r>
      <w:bookmarkEnd w:id="2"/>
    </w:p>
    <w:p w14:paraId="3D842BA8" w14:textId="77777777" w:rsidR="00605951" w:rsidRPr="004E3E79" w:rsidRDefault="00605951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bookmarkStart w:id="3" w:name="bookmark4"/>
      <w:r w:rsidRPr="004E3E79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Putem ovog Poziva na dodjelu bespovratnih financijskih sredstava „Pružanje privremenog smještaja radi pokrivanja potreba stanovništva pogođenog potresom 22. ožujka 2020. godine na području Grada Zagreba, Krapinsko-zagorske županije i Zagrebačke županije “ (u daljnjem tekstu: Poziv) definiraju se ciljevi, uvjeti i postupci za dodjelu bespovratnih financijskih sredstava namijenjenih provedbi operacija koje se financiraju iz Fonda solidarnosti Europske unije (FSEU). </w:t>
      </w:r>
    </w:p>
    <w:p w14:paraId="128B9790" w14:textId="77777777" w:rsidR="00605951" w:rsidRPr="004E3E79" w:rsidRDefault="00605951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0422663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Svrha</w:t>
      </w:r>
      <w:proofErr w:type="spellEnd"/>
      <w:r w:rsidRPr="004E3E79">
        <w:rPr>
          <w:rStyle w:val="Bodytext2"/>
          <w:rFonts w:eastAsiaTheme="minorHAnsi"/>
          <w:i/>
          <w:sz w:val="24"/>
          <w:szCs w:val="24"/>
        </w:rPr>
        <w:t xml:space="preserve"> (</w:t>
      </w: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cilj</w:t>
      </w:r>
      <w:proofErr w:type="spellEnd"/>
      <w:r w:rsidRPr="004E3E79">
        <w:rPr>
          <w:rStyle w:val="Bodytext2"/>
          <w:rFonts w:eastAsiaTheme="minorHAnsi"/>
          <w:i/>
          <w:sz w:val="24"/>
          <w:szCs w:val="24"/>
        </w:rPr>
        <w:t xml:space="preserve">) </w:t>
      </w: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Poziva</w:t>
      </w:r>
      <w:proofErr w:type="spellEnd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:</w:t>
      </w:r>
      <w:bookmarkEnd w:id="3"/>
    </w:p>
    <w:p w14:paraId="54C76AD9" w14:textId="77777777" w:rsidR="00605951" w:rsidRPr="004E3E79" w:rsidRDefault="00605951" w:rsidP="00605951">
      <w:pPr>
        <w:pStyle w:val="Bezproreda"/>
        <w:spacing w:line="276" w:lineRule="auto"/>
        <w:jc w:val="both"/>
        <w:rPr>
          <w:rStyle w:val="Bodytext2"/>
          <w:rFonts w:eastAsiaTheme="minorHAnsi"/>
          <w:sz w:val="24"/>
          <w:szCs w:val="24"/>
        </w:rPr>
      </w:pPr>
      <w:bookmarkStart w:id="4" w:name="bookmark5"/>
    </w:p>
    <w:p w14:paraId="015ADA3B" w14:textId="77777777" w:rsidR="00605951" w:rsidRPr="004E3E79" w:rsidRDefault="00605951" w:rsidP="00605951">
      <w:pPr>
        <w:pStyle w:val="Bezproreda"/>
        <w:spacing w:line="276" w:lineRule="auto"/>
        <w:jc w:val="both"/>
        <w:rPr>
          <w:rStyle w:val="Bodytext2"/>
          <w:rFonts w:eastAsiaTheme="minorHAnsi"/>
          <w:b w:val="0"/>
          <w:sz w:val="24"/>
          <w:szCs w:val="24"/>
        </w:rPr>
      </w:pPr>
      <w:proofErr w:type="spellStart"/>
      <w:r w:rsidRPr="004E3E79">
        <w:rPr>
          <w:rStyle w:val="Bodytext2"/>
          <w:rFonts w:eastAsiaTheme="minorHAnsi"/>
          <w:sz w:val="24"/>
          <w:szCs w:val="24"/>
        </w:rPr>
        <w:t>Svrha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poziva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je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nadoknada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javnih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rashoda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za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osiguranje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privremenog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smještaja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stanovništva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čije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su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nekretnine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stradale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u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potresu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22.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ožujka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2020.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godine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na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području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Grada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Zagreba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Krapinsko-zagorske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i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Zagrebačke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4E3E79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4E3E79">
        <w:rPr>
          <w:rStyle w:val="Bodytext2"/>
          <w:rFonts w:eastAsiaTheme="minorHAnsi"/>
          <w:sz w:val="24"/>
          <w:szCs w:val="24"/>
        </w:rPr>
        <w:t>.</w:t>
      </w:r>
    </w:p>
    <w:p w14:paraId="74A32FE1" w14:textId="77777777" w:rsidR="00605951" w:rsidRPr="004E3E79" w:rsidRDefault="00605951" w:rsidP="00605951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72C348" w14:textId="45193F6E" w:rsidR="00605951" w:rsidRPr="004E3E79" w:rsidRDefault="00605951" w:rsidP="00605951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3E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Potres je prouzročio velike štete te također, uzrokovao ljudska stradavanja stoga je bilo potrebno organizirati hitnu evakuaciju i stambeno zbrinuti građane pogođene potresom.</w:t>
      </w:r>
    </w:p>
    <w:p w14:paraId="6EBA5D53" w14:textId="77777777" w:rsidR="00605951" w:rsidRPr="004E3E79" w:rsidRDefault="00605951" w:rsidP="00605951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3E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dijelu potresom zahvaćenih zgrada za stanovanje također su nastala znatna oštećenja zbog kojih je jedan dio obiteljskih kuća i stanova trenutno neupotrebljiv pa je dio stanovništva smješten u privremeni smještaj. </w:t>
      </w:r>
    </w:p>
    <w:p w14:paraId="0A2345EC" w14:textId="77777777" w:rsidR="00605951" w:rsidRPr="004E3E79" w:rsidRDefault="00605951" w:rsidP="00605951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9B1905" w14:textId="3370D189" w:rsidR="00605951" w:rsidRPr="004E3E79" w:rsidRDefault="00605951" w:rsidP="00605951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3E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Budući da se radovi sanacije u pravilu izvode i po nekoliko mjeseci, za isto to razdoblje, ovisno o zahvatima na predmetnim zgradama, građanima je trebalo hitno osigurati odgovarajući privremeni smještaj.</w:t>
      </w:r>
    </w:p>
    <w:p w14:paraId="1F1BD193" w14:textId="2D487DB2" w:rsidR="00605951" w:rsidRDefault="00605951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510AED7B" w14:textId="2B455D07" w:rsidR="00181999" w:rsidRDefault="00181999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F0EAB1D" w14:textId="10C73BA6" w:rsidR="00181999" w:rsidRDefault="00181999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4648070D" w14:textId="77777777" w:rsidR="00181999" w:rsidRPr="004E3E79" w:rsidRDefault="00181999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0943B884" w14:textId="6977FA4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lastRenderedPageBreak/>
        <w:t>Ukupna raspoloživa sredstva</w:t>
      </w:r>
      <w:bookmarkEnd w:id="4"/>
    </w:p>
    <w:p w14:paraId="3AC96390" w14:textId="77777777" w:rsidR="00605951" w:rsidRPr="004E3E79" w:rsidRDefault="00605951" w:rsidP="00605951">
      <w:pPr>
        <w:widowControl w:val="0"/>
        <w:tabs>
          <w:tab w:val="left" w:pos="766"/>
        </w:tabs>
        <w:spacing w:after="0" w:line="307" w:lineRule="exact"/>
        <w:ind w:left="36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709F38CE" w14:textId="77777777" w:rsidR="00CD609F" w:rsidRPr="003F077F" w:rsidRDefault="00CD609F" w:rsidP="00CD609F">
      <w:pPr>
        <w:pStyle w:val="Bezproreda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5" w:name="bookmark6"/>
      <w:r w:rsidRPr="003F077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Ukupan raspoloživ iznos bespovratnih </w:t>
      </w:r>
      <w:r w:rsidRPr="004915B2">
        <w:rPr>
          <w:rFonts w:ascii="Times New Roman" w:eastAsia="Calibri" w:hAnsi="Times New Roman" w:cs="Times New Roman"/>
          <w:sz w:val="24"/>
          <w:szCs w:val="24"/>
          <w:highlight w:val="yellow"/>
          <w:lang w:eastAsia="lt-LT"/>
        </w:rPr>
        <w:t>financijskih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3F077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sredstava za dodjelu u okviru ovog Poziva je </w:t>
      </w:r>
      <w:r>
        <w:rPr>
          <w:rFonts w:ascii="Times New Roman" w:hAnsi="Times New Roman" w:cs="Times New Roman"/>
          <w:sz w:val="24"/>
          <w:szCs w:val="24"/>
        </w:rPr>
        <w:t>53.300.000,00</w:t>
      </w:r>
      <w:r w:rsidRPr="003F077F">
        <w:rPr>
          <w:rFonts w:ascii="Times New Roman" w:hAnsi="Times New Roman" w:cs="Times New Roman"/>
          <w:sz w:val="24"/>
          <w:szCs w:val="24"/>
        </w:rPr>
        <w:t xml:space="preserve"> HRK,</w:t>
      </w:r>
      <w:r w:rsidRPr="003F077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 osiguran je u Državnom proračunu RH iz Fonda solidarnosti Europske unije (FSEU).</w:t>
      </w:r>
    </w:p>
    <w:p w14:paraId="3751F7AC" w14:textId="77777777" w:rsidR="00181999" w:rsidRPr="004E3E79" w:rsidRDefault="00181999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D36A84F" w14:textId="45EF280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Prihvatljivi prijavitelj</w:t>
      </w:r>
      <w:bookmarkEnd w:id="5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i</w:t>
      </w:r>
    </w:p>
    <w:p w14:paraId="02E079A8" w14:textId="77777777" w:rsidR="00605951" w:rsidRPr="004E3E79" w:rsidRDefault="00605951" w:rsidP="00605951">
      <w:pPr>
        <w:pStyle w:val="Odlomakpopisa"/>
        <w:widowControl w:val="0"/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24E3A18A" w14:textId="47157591" w:rsidR="00605951" w:rsidRPr="004E3E79" w:rsidRDefault="00605951" w:rsidP="00605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sz w:val="24"/>
          <w:szCs w:val="24"/>
        </w:rPr>
        <w:t>Prihvatljivi su sljedeći prijavitelji:</w:t>
      </w:r>
    </w:p>
    <w:p w14:paraId="1D4C1957" w14:textId="77777777" w:rsidR="00605951" w:rsidRPr="004E3E79" w:rsidRDefault="00605951" w:rsidP="00605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8DF82" w14:textId="609A2C07" w:rsidR="00605951" w:rsidRPr="004E3E79" w:rsidRDefault="00605951" w:rsidP="0060595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sz w:val="24"/>
          <w:szCs w:val="24"/>
        </w:rPr>
        <w:t>tijela državne uprave prema Zakonu o sustavu državne uprave („Narodne novine“, br. 66/19) i Zakonu o ustrojstvu i djelokrugu tijela državne uprave („Narodne novine“, br. 85/20);</w:t>
      </w:r>
    </w:p>
    <w:p w14:paraId="0E6356CC" w14:textId="250D97C6" w:rsidR="00605951" w:rsidRPr="004E3E79" w:rsidRDefault="00605951" w:rsidP="0060595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sz w:val="24"/>
          <w:szCs w:val="24"/>
        </w:rPr>
        <w:t>jedinice lokalne i područne (regionalne) samouprave prema Zakonu o lokalnoj i područnoj (regionalnoj) samoupravi („Narodne novine“, br. 33/01, 60/01, 129/05, 109/07, 125/08, 36/09, 36/09, 150/11, 144/12, 19/13, 137/15, 123/17, 98/19, 144/20) i Zakonu o Gradu Zagrebu („Narodne novine“, br. 62/01, 125/08, 36/09, 119/14, 98/19, 144/20);</w:t>
      </w:r>
    </w:p>
    <w:p w14:paraId="1405780D" w14:textId="77777777" w:rsidR="00605951" w:rsidRPr="004E3E79" w:rsidRDefault="00605951" w:rsidP="0060595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0DB3715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6" w:name="bookmark7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Prihvatljive aktivnosti</w:t>
      </w:r>
      <w:bookmarkEnd w:id="6"/>
    </w:p>
    <w:p w14:paraId="64DCE87C" w14:textId="77777777" w:rsidR="00605951" w:rsidRPr="004E3E79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AEA73B1" w14:textId="77777777" w:rsidR="004552C8" w:rsidRPr="004552C8" w:rsidRDefault="004552C8" w:rsidP="004552C8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trike/>
          <w:sz w:val="24"/>
          <w:szCs w:val="24"/>
          <w:lang w:val="en-GB"/>
        </w:rPr>
      </w:pP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Prihvatljiva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aktivnost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koja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se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može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financirati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u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okviru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ovog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Poziva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je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pružanje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privremenog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smještaja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radi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pokrivanja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potreba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stanovništva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pogođenog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potresom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od 22.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ožujka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 xml:space="preserve"> 2020. </w:t>
      </w:r>
      <w:proofErr w:type="spellStart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godine</w:t>
      </w:r>
      <w:proofErr w:type="spellEnd"/>
      <w:r w:rsidRPr="004552C8">
        <w:rPr>
          <w:rFonts w:ascii="Times New Roman" w:hAnsi="Times New Roman" w:cs="Times New Roman"/>
          <w:strike/>
          <w:sz w:val="24"/>
          <w:szCs w:val="24"/>
          <w:lang w:val="en-GB"/>
        </w:rPr>
        <w:t>.</w:t>
      </w:r>
    </w:p>
    <w:p w14:paraId="0F6556DF" w14:textId="77777777" w:rsidR="004552C8" w:rsidRPr="004552C8" w:rsidRDefault="004552C8" w:rsidP="004552C8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DC26F5F" w14:textId="77777777" w:rsidR="004552C8" w:rsidRPr="004552C8" w:rsidRDefault="004552C8" w:rsidP="004552C8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Prihvatljive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aktivnosti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koje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se </w:t>
      </w: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mogu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financirati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u </w:t>
      </w: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okviru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ovog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Poziva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su</w:t>
      </w:r>
      <w:proofErr w:type="spellEnd"/>
      <w:r w:rsidRPr="004552C8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:</w:t>
      </w:r>
    </w:p>
    <w:p w14:paraId="6737587D" w14:textId="77777777" w:rsidR="004552C8" w:rsidRPr="004552C8" w:rsidRDefault="004552C8" w:rsidP="004552C8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514AB077" w14:textId="77777777" w:rsidR="004552C8" w:rsidRPr="004552C8" w:rsidRDefault="004552C8" w:rsidP="004552C8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  <w:bookmarkStart w:id="7" w:name="_Hlk72314715"/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Grupa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1.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Pružanje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privremenog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smještaja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radi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pokrivanja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potreba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stanovništva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pogođenog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potresom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od 22.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ožujka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2020.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godine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.</w:t>
      </w:r>
    </w:p>
    <w:bookmarkEnd w:id="7"/>
    <w:p w14:paraId="3960A524" w14:textId="77777777" w:rsidR="004552C8" w:rsidRPr="004552C8" w:rsidRDefault="004552C8" w:rsidP="004552C8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</w:pPr>
    </w:p>
    <w:p w14:paraId="4BAC1CBC" w14:textId="77777777" w:rsidR="004552C8" w:rsidRPr="004552C8" w:rsidRDefault="004552C8" w:rsidP="004552C8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8" w:name="_Hlk72314741"/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Grupa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2.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Upravljanje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projektom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i</w:t>
      </w:r>
      <w:proofErr w:type="spellEnd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552C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administracija</w:t>
      </w:r>
      <w:proofErr w:type="spellEnd"/>
    </w:p>
    <w:bookmarkEnd w:id="8"/>
    <w:p w14:paraId="01C48756" w14:textId="6ED37A03" w:rsidR="00605951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FCBA34" w14:textId="77777777" w:rsidR="004552C8" w:rsidRPr="004E3E79" w:rsidRDefault="004552C8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B88AF47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Postupak prijave</w:t>
      </w:r>
    </w:p>
    <w:p w14:paraId="75B92A1B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5B91538E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Projektni prijedlog se podnosi Ministarstvu prostornoga uređenja, graditeljstva i državne imovine, kao tijelu odgovornom za provedbu financijskog doprinosa, putem pošte ili osobno predajom u pisarnicu tijela na adresu:</w:t>
      </w:r>
    </w:p>
    <w:p w14:paraId="713F5144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251D8003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Ministarstvo prostornoga uređenja, graditeljstva i državne imovine</w:t>
      </w:r>
    </w:p>
    <w:p w14:paraId="77C4B28D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Republike Austrije 20 </w:t>
      </w:r>
    </w:p>
    <w:p w14:paraId="5002C5A8" w14:textId="7E658033" w:rsidR="00605951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10000 Zagreb</w:t>
      </w:r>
    </w:p>
    <w:p w14:paraId="16F40EDA" w14:textId="14EE01A7" w:rsidR="00F04631" w:rsidRDefault="00F0463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09C23019" w14:textId="42CFEAFE" w:rsidR="004552C8" w:rsidRDefault="004552C8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D76FC86" w14:textId="18C269E3" w:rsidR="004552C8" w:rsidRDefault="004552C8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564EEB2" w14:textId="77777777" w:rsidR="004552C8" w:rsidRPr="004E3E79" w:rsidRDefault="004552C8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5659061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460A49D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9" w:name="bookmark12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Vrsta Poziva</w:t>
      </w:r>
      <w:bookmarkEnd w:id="9"/>
    </w:p>
    <w:p w14:paraId="3A9810E6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EEC3BB" w14:textId="20FD8380" w:rsidR="00605951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4631">
        <w:rPr>
          <w:rFonts w:ascii="Times New Roman" w:hAnsi="Times New Roman" w:cs="Times New Roman"/>
          <w:sz w:val="24"/>
          <w:szCs w:val="24"/>
        </w:rPr>
        <w:t xml:space="preserve">Poziv se provodi kao otvoreni postupak s krajnjim rokom dostave projektnih prijedloga do iskorištenja financijske alokacije, odnosno do 31.12.2021. godine </w:t>
      </w:r>
      <w:r w:rsidRPr="00EF3E90">
        <w:rPr>
          <w:rFonts w:ascii="Times New Roman" w:hAnsi="Times New Roman" w:cs="Times New Roman"/>
          <w:sz w:val="24"/>
          <w:szCs w:val="24"/>
        </w:rPr>
        <w:t>do 1</w:t>
      </w:r>
      <w:r w:rsidR="00D15DCE" w:rsidRPr="00EF3E90">
        <w:rPr>
          <w:rFonts w:ascii="Times New Roman" w:hAnsi="Times New Roman" w:cs="Times New Roman"/>
          <w:sz w:val="24"/>
          <w:szCs w:val="24"/>
        </w:rPr>
        <w:t>0</w:t>
      </w:r>
      <w:r w:rsidRPr="00EF3E90">
        <w:rPr>
          <w:rFonts w:ascii="Times New Roman" w:hAnsi="Times New Roman" w:cs="Times New Roman"/>
          <w:sz w:val="24"/>
          <w:szCs w:val="24"/>
        </w:rPr>
        <w:t>:00 sati</w:t>
      </w:r>
      <w:r w:rsidRPr="00F04631">
        <w:rPr>
          <w:rFonts w:ascii="Times New Roman" w:hAnsi="Times New Roman" w:cs="Times New Roman"/>
          <w:sz w:val="24"/>
          <w:szCs w:val="24"/>
        </w:rPr>
        <w:t>, ovisno o tome što prije nastupi.</w:t>
      </w:r>
    </w:p>
    <w:p w14:paraId="38AA8DBB" w14:textId="77777777" w:rsidR="00F04631" w:rsidRPr="00F04631" w:rsidRDefault="00F0463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D799B3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sz w:val="24"/>
          <w:szCs w:val="24"/>
        </w:rPr>
        <w:t>Dostava projektnog prijedloga dozvoljena je najranije od  dana objave Poziva.</w:t>
      </w:r>
    </w:p>
    <w:p w14:paraId="58304DC7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14:paraId="5024BEC2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E3E79">
        <w:rPr>
          <w:rFonts w:ascii="Times New Roman" w:hAnsi="Times New Roman" w:cs="Times New Roman"/>
          <w:sz w:val="24"/>
          <w:szCs w:val="24"/>
        </w:rPr>
        <w:t xml:space="preserve">Obrazložena informacija  o izmjenama Poziva, zatvaranju Poziva i obustavu Poziva, kao i sam Poziv objavljuju se na internetskim </w:t>
      </w:r>
      <w:hyperlink r:id="rId10" w:history="1">
        <w:r w:rsidRPr="004E3E79">
          <w:rPr>
            <w:rStyle w:val="Hiperveza"/>
            <w:rFonts w:ascii="Times New Roman" w:hAnsi="Times New Roman" w:cs="Times New Roman"/>
            <w:sz w:val="24"/>
            <w:szCs w:val="24"/>
          </w:rPr>
          <w:t>www.strukturnifondovi.hr</w:t>
        </w:r>
      </w:hyperlink>
      <w:r w:rsidRPr="004E3E79">
        <w:rPr>
          <w:rFonts w:ascii="Times New Roman" w:hAnsi="Times New Roman" w:cs="Times New Roman"/>
          <w:sz w:val="24"/>
          <w:szCs w:val="24"/>
        </w:rPr>
        <w:t xml:space="preserve"> i </w:t>
      </w:r>
      <w:hyperlink r:id="rId11" w:history="1">
        <w:r w:rsidRPr="004E3E79">
          <w:rPr>
            <w:rStyle w:val="Hiperveza"/>
            <w:rFonts w:ascii="Times New Roman" w:hAnsi="Times New Roman" w:cs="Times New Roman"/>
            <w:sz w:val="24"/>
            <w:szCs w:val="24"/>
          </w:rPr>
          <w:t>https://mgipu.gov.hr/</w:t>
        </w:r>
      </w:hyperlink>
      <w:r w:rsidRPr="004E3E7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CB6EECC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sz w:val="24"/>
          <w:szCs w:val="24"/>
        </w:rPr>
        <w:t> </w:t>
      </w:r>
    </w:p>
    <w:p w14:paraId="00F3C52E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sz w:val="24"/>
          <w:szCs w:val="24"/>
        </w:rPr>
        <w:t xml:space="preserve">Poziv se zatvara u trenutku iscrpljenja financijske alokacije Poziva.  </w:t>
      </w:r>
    </w:p>
    <w:p w14:paraId="22E02A9D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0CCF85A8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4E3E79">
        <w:rPr>
          <w:rFonts w:ascii="Times New Roman" w:hAnsi="Times New Roman" w:cs="Times New Roman"/>
          <w:sz w:val="24"/>
          <w:szCs w:val="24"/>
          <w:lang w:bidi="hr-HR"/>
        </w:rPr>
        <w:t>Budući da je Poziv otvoren do iskorištenja raspoloživih sredstava, prijavitelji čiji projektni prijedlozi budu isključeni iz postupka dodjele moći će ponovno podnijeti projektni prijedlog.</w:t>
      </w:r>
    </w:p>
    <w:p w14:paraId="10473AFD" w14:textId="77777777" w:rsidR="00605951" w:rsidRPr="004E3E79" w:rsidRDefault="00605951" w:rsidP="006059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EB98B" w14:textId="77777777" w:rsidR="00605951" w:rsidRPr="004E3E79" w:rsidRDefault="00605951" w:rsidP="006059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E79">
        <w:rPr>
          <w:rFonts w:ascii="Times New Roman" w:eastAsia="Times New Roman" w:hAnsi="Times New Roman" w:cs="Times New Roman"/>
          <w:sz w:val="24"/>
          <w:szCs w:val="24"/>
        </w:rPr>
        <w:t xml:space="preserve">Poziv se obustavlja najkasnije u trenutku kada iznos traženih bespovratnih sredstava zaprimljenih projektnih prijedloga dosegne najviše 200% raspoložive alokacije bespovratnih sredstava Poziva. </w:t>
      </w:r>
    </w:p>
    <w:p w14:paraId="2510B91D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7197401" w14:textId="07E2D84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11" w:name="bookmark13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Pitanja i odgovori</w:t>
      </w:r>
      <w:bookmarkEnd w:id="11"/>
    </w:p>
    <w:p w14:paraId="2490D7C4" w14:textId="77777777" w:rsidR="00605951" w:rsidRPr="004E3E79" w:rsidRDefault="00605951" w:rsidP="00605951">
      <w:pPr>
        <w:pStyle w:val="Odlomakpopisa"/>
        <w:widowControl w:val="0"/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26845206" w14:textId="77777777" w:rsidR="00605951" w:rsidRPr="004E3E79" w:rsidRDefault="00605951" w:rsidP="00605951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4E3E79">
        <w:rPr>
          <w:rFonts w:ascii="Times New Roman" w:hAnsi="Times New Roman" w:cs="Times New Roman"/>
          <w:sz w:val="24"/>
          <w:szCs w:val="24"/>
        </w:rPr>
        <w:t>Potencijalni prijavitelji mogu za vrijeme trajanja Poziva postavljati pitanja u svrhu dobivanja dodatnih pojašnjenja i obrazloženja odredbi Poziva. Postavljeno pitanje treba sadržavati jasnu referencu na Poziv. Odgovori će se objaviti tijekom postupka dodjele na internetskoj stranici </w:t>
      </w:r>
      <w:hyperlink r:id="rId12" w:history="1">
        <w:r w:rsidRPr="004E3E79">
          <w:rPr>
            <w:rStyle w:val="Hiperveza"/>
            <w:rFonts w:ascii="Times New Roman" w:hAnsi="Times New Roman" w:cs="Times New Roman"/>
            <w:sz w:val="24"/>
            <w:szCs w:val="24"/>
          </w:rPr>
          <w:t>www.strukturnifondovi.hr</w:t>
        </w:r>
      </w:hyperlink>
      <w:r w:rsidRPr="004E3E79">
        <w:rPr>
          <w:rFonts w:ascii="Times New Roman" w:hAnsi="Times New Roman" w:cs="Times New Roman"/>
          <w:sz w:val="24"/>
          <w:szCs w:val="24"/>
        </w:rPr>
        <w:t xml:space="preserve"> i </w:t>
      </w:r>
      <w:hyperlink r:id="rId13" w:history="1">
        <w:r w:rsidRPr="004E3E79">
          <w:rPr>
            <w:rStyle w:val="Hiperveza"/>
            <w:rFonts w:ascii="Times New Roman" w:hAnsi="Times New Roman" w:cs="Times New Roman"/>
            <w:sz w:val="24"/>
            <w:szCs w:val="24"/>
          </w:rPr>
          <w:t>https://mgipu.gov.hr/</w:t>
        </w:r>
      </w:hyperlink>
      <w:r w:rsidRPr="004E3E79">
        <w:rPr>
          <w:rFonts w:ascii="Times New Roman" w:hAnsi="Times New Roman" w:cs="Times New Roman"/>
          <w:sz w:val="24"/>
          <w:szCs w:val="24"/>
        </w:rPr>
        <w:t xml:space="preserve">, svakih 7 radnih dana. Pitanja s jasno naznačenom referencom na Poziv moguće je poslati putem elektroničke pošte na adresu: </w:t>
      </w:r>
      <w:hyperlink r:id="rId14" w:history="1">
        <w:r w:rsidRPr="004E3E79">
          <w:rPr>
            <w:rStyle w:val="Hiperveza"/>
            <w:rFonts w:ascii="Times New Roman" w:hAnsi="Times New Roman" w:cs="Times New Roman"/>
            <w:sz w:val="24"/>
            <w:szCs w:val="24"/>
          </w:rPr>
          <w:t>privremenismjestaj@mpgi.hr</w:t>
        </w:r>
      </w:hyperlink>
      <w:r w:rsidRPr="004E3E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B7198" w14:textId="77777777" w:rsidR="00605951" w:rsidRPr="004E3E79" w:rsidRDefault="00605951" w:rsidP="00605951">
      <w:pPr>
        <w:jc w:val="both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sz w:val="24"/>
          <w:szCs w:val="24"/>
        </w:rPr>
        <w:t>U svrhu osiguravanja poštivanja načela jednakog postupanja prema svim prijaviteljima, ne daju se prethodna mišljenja vezana uz prihvatljivost prijavitelja, operacije, aktivnosti i troškova u odnosu na pojedini projektni prijedlog. </w:t>
      </w:r>
    </w:p>
    <w:p w14:paraId="12519DA7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6019C371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576BB398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1DCDAE2" w14:textId="77777777" w:rsidR="007F2576" w:rsidRPr="004E3E79" w:rsidRDefault="007F2576">
      <w:pPr>
        <w:rPr>
          <w:rFonts w:ascii="Times New Roman" w:hAnsi="Times New Roman" w:cs="Times New Roman"/>
        </w:rPr>
      </w:pPr>
    </w:p>
    <w:sectPr w:rsidR="007F2576" w:rsidRPr="004E3E7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E5A21" w14:textId="77777777" w:rsidR="00EB3C55" w:rsidRDefault="00EB3C55">
      <w:pPr>
        <w:spacing w:after="0" w:line="240" w:lineRule="auto"/>
      </w:pPr>
      <w:r>
        <w:separator/>
      </w:r>
    </w:p>
  </w:endnote>
  <w:endnote w:type="continuationSeparator" w:id="0">
    <w:p w14:paraId="0A1102BD" w14:textId="77777777" w:rsidR="00EB3C55" w:rsidRDefault="00EB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86F6B" w14:textId="77777777" w:rsidR="00EB3C55" w:rsidRDefault="00EB3C55">
      <w:pPr>
        <w:spacing w:after="0" w:line="240" w:lineRule="auto"/>
      </w:pPr>
      <w:r>
        <w:separator/>
      </w:r>
    </w:p>
  </w:footnote>
  <w:footnote w:type="continuationSeparator" w:id="0">
    <w:p w14:paraId="1DA7D626" w14:textId="77777777" w:rsidR="00EB3C55" w:rsidRDefault="00EB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07FB" w14:textId="77777777" w:rsidR="00CB3619" w:rsidRDefault="00605951" w:rsidP="00CB3619">
    <w:pPr>
      <w:tabs>
        <w:tab w:val="left" w:pos="549"/>
      </w:tabs>
      <w:kinsoku w:val="0"/>
      <w:overflowPunct w:val="0"/>
      <w:contextualSpacing/>
      <w:jc w:val="both"/>
      <w:outlineLvl w:val="0"/>
      <w:rPr>
        <w:rFonts w:eastAsiaTheme="majorEastAsia"/>
        <w:b/>
        <w:bCs/>
      </w:rPr>
    </w:pPr>
    <w:r w:rsidRPr="0095702F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528BF1A" wp14:editId="173832C5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07FBD" wp14:editId="48315D23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5BD7C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77D33421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07FB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9D5BD7C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77D33421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EDBA3" wp14:editId="22CCC07A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3D5F5" w14:textId="77777777" w:rsidR="00CB3619" w:rsidRPr="00FC7D2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774076C" w14:textId="77777777" w:rsidR="00CB3619" w:rsidRPr="005F36E1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EDBA3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6A43D5F5" w14:textId="77777777" w:rsidR="00CB3619" w:rsidRPr="00FC7D26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774076C" w14:textId="77777777" w:rsidR="00CB3619" w:rsidRPr="005F36E1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eastAsiaTheme="majorEastAsia"/>
        <w:b/>
        <w:bCs/>
        <w:noProof/>
      </w:rPr>
      <w:drawing>
        <wp:inline distT="0" distB="0" distL="0" distR="0" wp14:anchorId="2400CE01" wp14:editId="4DEBD35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EF36" w14:textId="77777777" w:rsidR="00CB3619" w:rsidRDefault="00EB3C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279F"/>
    <w:multiLevelType w:val="hybridMultilevel"/>
    <w:tmpl w:val="71ECD1CC"/>
    <w:lvl w:ilvl="0" w:tplc="CEB478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6BCA"/>
    <w:multiLevelType w:val="hybridMultilevel"/>
    <w:tmpl w:val="C3AE7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C3A"/>
    <w:multiLevelType w:val="hybridMultilevel"/>
    <w:tmpl w:val="FA8EBABA"/>
    <w:lvl w:ilvl="0" w:tplc="1BAA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1"/>
    <w:rsid w:val="000A348A"/>
    <w:rsid w:val="000C7D17"/>
    <w:rsid w:val="00137FAF"/>
    <w:rsid w:val="00146BDC"/>
    <w:rsid w:val="00181999"/>
    <w:rsid w:val="004552C8"/>
    <w:rsid w:val="004A5805"/>
    <w:rsid w:val="004E3E79"/>
    <w:rsid w:val="00605951"/>
    <w:rsid w:val="00783052"/>
    <w:rsid w:val="007B3102"/>
    <w:rsid w:val="007F2576"/>
    <w:rsid w:val="007F6F7B"/>
    <w:rsid w:val="009E21CB"/>
    <w:rsid w:val="00C3643B"/>
    <w:rsid w:val="00CD609F"/>
    <w:rsid w:val="00D15DCE"/>
    <w:rsid w:val="00DC6F2B"/>
    <w:rsid w:val="00EB3C55"/>
    <w:rsid w:val="00EF3E90"/>
    <w:rsid w:val="00F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25B"/>
  <w15:chartTrackingRefBased/>
  <w15:docId w15:val="{739967B2-E353-4339-B889-A1A8FA77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4">
    <w:name w:val="Body text (4)_"/>
    <w:basedOn w:val="Zadanifontodlomka"/>
    <w:link w:val="Bodytext40"/>
    <w:rsid w:val="00605951"/>
    <w:rPr>
      <w:rFonts w:ascii="Calibri" w:eastAsia="Calibri" w:hAnsi="Calibri" w:cs="Calibri"/>
      <w:i/>
      <w:iCs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60595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05951"/>
    <w:pPr>
      <w:widowControl w:val="0"/>
      <w:shd w:val="clear" w:color="auto" w:fill="FFFFFF"/>
      <w:spacing w:before="300" w:after="0" w:line="466" w:lineRule="exact"/>
      <w:jc w:val="center"/>
    </w:pPr>
    <w:rPr>
      <w:rFonts w:ascii="Calibri" w:eastAsia="Calibri" w:hAnsi="Calibri" w:cs="Calibri"/>
      <w:i/>
      <w:iCs/>
    </w:rPr>
  </w:style>
  <w:style w:type="paragraph" w:customStyle="1" w:styleId="Heading10">
    <w:name w:val="Heading #1"/>
    <w:basedOn w:val="Normal"/>
    <w:link w:val="Heading1"/>
    <w:rsid w:val="0060595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  <w:style w:type="character" w:styleId="Referencakomentara">
    <w:name w:val="annotation reference"/>
    <w:uiPriority w:val="99"/>
    <w:unhideWhenUsed/>
    <w:rsid w:val="00605951"/>
    <w:rPr>
      <w:rFonts w:cs="Times New Roman"/>
      <w:sz w:val="16"/>
      <w:szCs w:val="16"/>
    </w:rPr>
  </w:style>
  <w:style w:type="character" w:customStyle="1" w:styleId="Bodytext285pt">
    <w:name w:val="Body text (2) + 8;5 pt"/>
    <w:basedOn w:val="Zadanifontodlomka"/>
    <w:rsid w:val="00605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605951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605951"/>
    <w:pPr>
      <w:spacing w:after="0" w:line="240" w:lineRule="auto"/>
    </w:pPr>
    <w:rPr>
      <w:rFonts w:eastAsiaTheme="minorEastAsia"/>
    </w:rPr>
  </w:style>
  <w:style w:type="character" w:styleId="Hiperveza">
    <w:name w:val="Hyperlink"/>
    <w:basedOn w:val="Zadanifontodlomka"/>
    <w:uiPriority w:val="99"/>
    <w:unhideWhenUsed/>
    <w:rsid w:val="0060595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5951"/>
  </w:style>
  <w:style w:type="paragraph" w:styleId="StandardWeb">
    <w:name w:val="Normal (Web)"/>
    <w:basedOn w:val="Normal"/>
    <w:uiPriority w:val="99"/>
    <w:rsid w:val="0060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2">
    <w:name w:val="Body text (2)"/>
    <w:basedOn w:val="Zadanifontodlomka"/>
    <w:rsid w:val="00605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10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Odlomakpopisa"/>
    <w:link w:val="bulletsChar"/>
    <w:qFormat/>
    <w:rsid w:val="00146BDC"/>
    <w:pPr>
      <w:numPr>
        <w:numId w:val="3"/>
      </w:numPr>
      <w:spacing w:after="0" w:line="240" w:lineRule="auto"/>
    </w:pPr>
    <w:rPr>
      <w:lang w:val="en-GB"/>
    </w:rPr>
  </w:style>
  <w:style w:type="character" w:customStyle="1" w:styleId="bulletsChar">
    <w:name w:val="bullets Char"/>
    <w:link w:val="bullets"/>
    <w:rsid w:val="00146B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gipu.gov.h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rukturnifondovi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gipu.gov.h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strukturnifondov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ivremenismjestaj@mpg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9DF45-5AA9-4AAE-9B3A-DEE045A82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6E0CB-8F7B-467B-BE80-B09C6D482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F5782A0-F393-4044-8F88-37176D17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Bertović</dc:creator>
  <cp:keywords/>
  <dc:description/>
  <cp:lastModifiedBy>Neven Bertović</cp:lastModifiedBy>
  <cp:revision>7</cp:revision>
  <dcterms:created xsi:type="dcterms:W3CDTF">2021-05-18T13:57:00Z</dcterms:created>
  <dcterms:modified xsi:type="dcterms:W3CDTF">2021-06-01T08:47:00Z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