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media/image2.wmf" ContentType="image/x-wmf"/>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t>POSTUPAK NABAVE ZA OSOBE KOJI NISU OBVEZNICI ZAKONA O  JAVNOJ NABAVI (NOJN)</w:t>
      </w:r>
    </w:p>
    <w:p>
      <w:pPr>
        <w:pStyle w:val="Normal"/>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DOKUMENTACIJA ZA NADMETANJE</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 xml:space="preserve"> </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projekta: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Digitalizacija i optimizacija procesa poslovanja u poduzeću STS-tech d.o.o.</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Broj projektnog prijedloga/ugovora:</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KK.11.1.1.01.0792</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nabave: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Ulaganje u zelene tehnologije – izgradnja poslovne hale</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Vrsta postupka nabave:</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sz w:val="26"/>
          <w:szCs w:val="26"/>
        </w:rPr>
        <w:t>Poziv na dostavu ponuda</w:t>
      </w:r>
    </w:p>
    <w:p>
      <w:pPr>
        <w:pStyle w:val="Normal"/>
        <w:tabs>
          <w:tab w:val="clear" w:pos="709"/>
          <w:tab w:val="left" w:pos="567" w:leader="none"/>
        </w:tabs>
        <w:spacing w:lineRule="atLeast" w:line="23" w:before="0" w:after="0"/>
        <w:jc w:val="center"/>
        <w:rPr>
          <w:rFonts w:cs="Calibri" w:cstheme="minorHAnsi"/>
          <w:b/>
          <w:b/>
          <w:sz w:val="26"/>
          <w:szCs w:val="26"/>
          <w:highlight w:val="yellow"/>
        </w:rPr>
      </w:pPr>
      <w:r>
        <w:rPr>
          <w:rFonts w:cs="Calibri" w:cstheme="minorHAnsi"/>
          <w:b/>
          <w:sz w:val="26"/>
          <w:szCs w:val="26"/>
          <w:highlight w:val="yellow"/>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Evidencijski broj nabave: </w:t>
      </w:r>
    </w:p>
    <w:p>
      <w:pPr>
        <w:pStyle w:val="Normal"/>
        <w:tabs>
          <w:tab w:val="clear" w:pos="709"/>
          <w:tab w:val="left" w:pos="567" w:leader="none"/>
        </w:tabs>
        <w:spacing w:lineRule="atLeast" w:line="23" w:before="0" w:after="0"/>
        <w:jc w:val="center"/>
        <w:rPr>
          <w:rFonts w:cs="Calibri" w:cstheme="minorHAnsi"/>
          <w:sz w:val="26"/>
          <w:szCs w:val="26"/>
          <w:highlight w:val="yellow"/>
        </w:rPr>
      </w:pPr>
      <w:r>
        <w:rPr>
          <w:rFonts w:cs="Calibri" w:cstheme="minorHAnsi"/>
          <w:sz w:val="26"/>
          <w:szCs w:val="26"/>
        </w:rPr>
        <w:t>2/2021 - Radovi</w:t>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sectPr>
          <w:headerReference w:type="default" r:id="rId2"/>
          <w:footerReference w:type="default" r:id="rId3"/>
          <w:type w:val="nextPage"/>
          <w:pgSz w:w="11906" w:h="16838"/>
          <w:pgMar w:left="1418" w:right="1418" w:header="567" w:top="1418" w:footer="709" w:bottom="1418" w:gutter="0"/>
          <w:pgNumType w:start="1" w:fmt="decimal"/>
          <w:formProt w:val="false"/>
          <w:textDirection w:val="lrTb"/>
          <w:docGrid w:type="default" w:linePitch="360" w:charSpace="8192"/>
        </w:sectPr>
        <w:pStyle w:val="Normal"/>
        <w:tabs>
          <w:tab w:val="clear" w:pos="709"/>
          <w:tab w:val="left" w:pos="567" w:leader="none"/>
        </w:tabs>
        <w:spacing w:lineRule="atLeast" w:line="23" w:before="0" w:after="0"/>
        <w:jc w:val="center"/>
        <w:rPr>
          <w:rFonts w:cs="Calibri" w:cstheme="minorHAnsi"/>
          <w:sz w:val="20"/>
          <w:szCs w:val="20"/>
        </w:rPr>
      </w:pPr>
      <w:r>
        <w:rPr>
          <w:rFonts w:cs="Calibri" w:cstheme="minorHAnsi"/>
          <w:sz w:val="24"/>
          <w:szCs w:val="20"/>
        </w:rPr>
        <w:t>Mursko Središće, studeni 2021.</w:t>
      </w:r>
    </w:p>
    <w:p>
      <w:pPr>
        <w:pStyle w:val="ListParagraph"/>
        <w:numPr>
          <w:ilvl w:val="0"/>
          <w:numId w:val="1"/>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bookmarkStart w:id="0" w:name="_Toc465158041"/>
      <w:r>
        <w:rPr>
          <w:rFonts w:cs="Calibri" w:cstheme="minorHAnsi"/>
          <w:b/>
          <w:bCs/>
          <w:sz w:val="24"/>
          <w:szCs w:val="24"/>
          <w:lang w:bidi="hr-HR"/>
        </w:rPr>
        <w:t>OPĆI PODACI</w:t>
      </w:r>
      <w:bookmarkEnd w:id="0"/>
    </w:p>
    <w:p>
      <w:pPr>
        <w:pStyle w:val="Normal"/>
        <w:numPr>
          <w:ilvl w:val="0"/>
          <w:numId w:val="0"/>
        </w:numPr>
        <w:tabs>
          <w:tab w:val="clear" w:pos="709"/>
          <w:tab w:val="left" w:pos="567" w:leader="none"/>
        </w:tabs>
        <w:spacing w:lineRule="atLeast" w:line="23" w:before="0" w:after="0"/>
        <w:jc w:val="both"/>
        <w:outlineLvl w:val="0"/>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Naručitelju (NOJN-u):</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Naziv naručitelja: </w:t>
      </w:r>
      <w:r>
        <w:rPr>
          <w:rFonts w:cs="Calibri" w:cstheme="minorHAnsi"/>
          <w:b/>
          <w:bCs/>
          <w:sz w:val="24"/>
          <w:szCs w:val="24"/>
          <w:lang w:bidi="hr-HR"/>
        </w:rPr>
        <w:t xml:space="preserve">STS-tech društvo s ograničenom odgovornošću za proizvodnju i usluge </w:t>
      </w:r>
      <w:r>
        <w:rPr>
          <w:rFonts w:cs="Calibri" w:cstheme="minorHAnsi"/>
          <w:bCs/>
          <w:sz w:val="24"/>
          <w:szCs w:val="24"/>
          <w:lang w:bidi="hr-HR"/>
        </w:rPr>
        <w:t>(u daljnjem tekstu Naručitelj)</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Skraćeni naziv:</w:t>
      </w:r>
      <w:r>
        <w:rPr>
          <w:rFonts w:cs="Calibri" w:cstheme="minorHAnsi"/>
          <w:b/>
          <w:bCs/>
          <w:sz w:val="24"/>
          <w:szCs w:val="24"/>
          <w:lang w:bidi="hr-HR"/>
        </w:rPr>
        <w:t xml:space="preserve"> STS-tech d.o.o.</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Sjedište: </w:t>
      </w:r>
      <w:r>
        <w:rPr>
          <w:rFonts w:cs="Calibri" w:cstheme="minorHAnsi"/>
          <w:b/>
          <w:bCs/>
          <w:sz w:val="24"/>
          <w:szCs w:val="24"/>
          <w:lang w:bidi="hr-HR"/>
        </w:rPr>
        <w:t>Ulica Svetog Josipa Radnika 4, 40 315 Mursko Središće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OIB: </w:t>
      </w:r>
      <w:r>
        <w:rPr>
          <w:rFonts w:cs="Calibri" w:cstheme="minorHAnsi"/>
          <w:b/>
          <w:bCs/>
          <w:sz w:val="24"/>
          <w:szCs w:val="24"/>
          <w:lang w:bidi="hr-HR"/>
        </w:rPr>
        <w:t>90603451829</w:t>
      </w:r>
    </w:p>
    <w:p>
      <w:pPr>
        <w:pStyle w:val="Normal"/>
        <w:tabs>
          <w:tab w:val="clear" w:pos="709"/>
          <w:tab w:val="left" w:pos="567" w:leader="none"/>
        </w:tabs>
        <w:spacing w:lineRule="atLeast" w:line="23" w:before="0" w:after="0"/>
        <w:contextualSpacing/>
        <w:jc w:val="both"/>
        <w:rPr>
          <w:rFonts w:cs="Calibri" w:cstheme="minorHAnsi"/>
          <w:bCs/>
          <w:sz w:val="24"/>
          <w:szCs w:val="24"/>
          <w:highlight w:val="lightGray"/>
          <w:lang w:bidi="hr-HR"/>
        </w:rPr>
      </w:pPr>
      <w:r>
        <w:rPr>
          <w:rFonts w:cs="Calibri" w:cstheme="minorHAnsi"/>
          <w:bCs/>
          <w:sz w:val="24"/>
          <w:szCs w:val="24"/>
          <w:lang w:bidi="hr-HR"/>
        </w:rPr>
        <w:t xml:space="preserve">Kontakt osoba naručitelja: </w:t>
      </w:r>
      <w:r>
        <w:rPr>
          <w:rFonts w:cs="Calibri" w:cstheme="minorHAnsi"/>
          <w:b/>
          <w:bCs/>
          <w:sz w:val="24"/>
          <w:szCs w:val="24"/>
          <w:lang w:bidi="hr-HR"/>
        </w:rPr>
        <w:t>Tino Sabol</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Cs/>
          <w:sz w:val="24"/>
          <w:szCs w:val="24"/>
          <w:lang w:bidi="hr-HR"/>
        </w:rPr>
        <w:t xml:space="preserve">Telefon: </w:t>
      </w:r>
      <w:r>
        <w:rPr>
          <w:rFonts w:cs="Calibri" w:cstheme="minorHAnsi"/>
          <w:b/>
          <w:sz w:val="24"/>
          <w:szCs w:val="24"/>
        </w:rPr>
        <w:t>+385 (0) 99 827 0648</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Elektronička pošta: </w:t>
      </w:r>
      <w:hyperlink r:id="rId4">
        <w:r>
          <w:rPr>
            <w:rStyle w:val="Internetskapoveznica"/>
            <w:rFonts w:cs="Calibri" w:cstheme="minorHAnsi"/>
            <w:bCs/>
            <w:sz w:val="24"/>
            <w:szCs w:val="24"/>
            <w:lang w:bidi="hr-HR"/>
          </w:rPr>
          <w:t>info@sts-tech.hr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Podaci o osobi zaduženoj za komunikaciju s Ponuditeljima</w:t>
      </w:r>
    </w:p>
    <w:p>
      <w:pPr>
        <w:pStyle w:val="Normal"/>
        <w:tabs>
          <w:tab w:val="clear" w:pos="709"/>
          <w:tab w:val="left" w:pos="567" w:leader="none"/>
        </w:tabs>
        <w:spacing w:lineRule="atLeast" w:line="23" w:before="0" w:after="0"/>
        <w:jc w:val="both"/>
        <w:rPr>
          <w:rFonts w:cs="Calibri" w:cstheme="minorHAnsi"/>
          <w:b/>
          <w:b/>
          <w:bCs/>
          <w:sz w:val="24"/>
          <w:szCs w:val="24"/>
          <w:lang w:bidi="hr-HR"/>
        </w:rPr>
      </w:pPr>
      <w:r>
        <w:rPr>
          <w:rFonts w:cs="Calibri" w:cstheme="minorHAnsi"/>
          <w:bCs/>
          <w:sz w:val="24"/>
          <w:szCs w:val="24"/>
          <w:lang w:bidi="hr-HR"/>
        </w:rPr>
        <w:t xml:space="preserve">Kontakt osoba: </w:t>
      </w:r>
      <w:r>
        <w:rPr>
          <w:rFonts w:cs="Calibri" w:cstheme="minorHAnsi"/>
          <w:b/>
          <w:bCs/>
          <w:sz w:val="24"/>
          <w:szCs w:val="24"/>
          <w:lang w:bidi="hr-HR"/>
        </w:rPr>
        <w:t>Tino Sabol</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Cs/>
          <w:sz w:val="24"/>
          <w:szCs w:val="24"/>
          <w:lang w:bidi="hr-HR"/>
        </w:rPr>
        <w:t xml:space="preserve">Telefon: </w:t>
      </w:r>
      <w:r>
        <w:rPr>
          <w:rFonts w:cs="Calibri" w:cstheme="minorHAnsi"/>
          <w:b/>
          <w:sz w:val="24"/>
          <w:szCs w:val="24"/>
        </w:rPr>
        <w:t>+385 (0) 99 827 0648</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Elektronička pošta: </w:t>
      </w:r>
      <w:hyperlink r:id="rId5">
        <w:r>
          <w:rPr>
            <w:rStyle w:val="Internetskapoveznica"/>
            <w:rFonts w:cs="Calibri" w:cstheme="minorHAnsi"/>
            <w:bCs/>
            <w:sz w:val="24"/>
            <w:szCs w:val="24"/>
            <w:lang w:bidi="hr-HR"/>
          </w:rPr>
          <w:t>info@sts-tech.hr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Upite i zahtjeve za objašnjenjem i izmjenom dokumentacije za nadmetanje u vezi ovog postupka nabave gospodarski subjekti mogu uputiti na gore navedenu adresu elektroničke pošte.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Komunikacija i svaka druga razmjena informacija između Naručitelja i gospodarskih subjekata može se obavljati isključivo na hrvatskom jeziku.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Sukladno Prilogu 03 „Pravila o provedbi postupaka nabava za neobveznike Zakona o javnoj nabavi“ (u daljnjem tekstu: „Pravila“), pod uvjetom da je zahtjev dostavljen pravodobno, pojašnjenje će se staviti na raspolaganje svim gospodarskim subjektima putem internetskih stranica </w:t>
      </w:r>
      <w:hyperlink r:id="rId6">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sz w:val="24"/>
          <w:szCs w:val="24"/>
        </w:rPr>
        <w:t>Zahtjev za dodatnim informacijama je pravodoban ako je dostavljen naručitelju najkasnije tijekom 6 (šestog) dana prije dana u kojem ističe rok za dostavu ponuda.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Nabava se provodi temeljem (pravni temelj):</w:t>
      </w:r>
    </w:p>
    <w:p>
      <w:pPr>
        <w:pStyle w:val="ListParagraph"/>
        <w:numPr>
          <w:ilvl w:val="0"/>
          <w:numId w:val="6"/>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Zakona o uspostavi institucionalnog okvira za provedbu europskih strukturnih i investicijskih fondova u Republici Hrvatskoj u financijskom razdoblju od 2014.-2020. (NN 92/14) </w:t>
      </w:r>
    </w:p>
    <w:p>
      <w:pPr>
        <w:pStyle w:val="ListParagraph"/>
        <w:numPr>
          <w:ilvl w:val="0"/>
          <w:numId w:val="6"/>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pPr>
        <w:pStyle w:val="ListParagraph"/>
        <w:numPr>
          <w:ilvl w:val="0"/>
          <w:numId w:val="6"/>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Pravila o provedbi postupaka nabava za neobveznike Zakona o javnoj nabavi (NOJN) („Postupci nabave“), Prilog 4. (verzija 7.0).</w:t>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Popis gospodarskih subjekata s kojima je Naručitelj u sukobu interesa temeljen na načelu izbjegavanja sukoba interesa kako je definiran Postupcima nabave:</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Ne postoje gospodarski subjekti s kojima Naručitelj i s njima povezane osobe ne smiju sklapati ugovore o nabavi (u svojstvu ponuditelja, člana zajednice ponuditelja ili podugovoritelja odabranom ponuditelju).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Vrsta postupka nabave i vrsta ugovora </w:t>
      </w:r>
    </w:p>
    <w:p>
      <w:pPr>
        <w:pStyle w:val="Normal"/>
        <w:tabs>
          <w:tab w:val="clear" w:pos="709"/>
          <w:tab w:val="left" w:pos="567" w:leader="none"/>
        </w:tabs>
        <w:spacing w:lineRule="atLeast" w:line="23" w:before="0" w:after="0"/>
        <w:contextualSpacing/>
        <w:jc w:val="both"/>
        <w:rPr>
          <w:rFonts w:cs="Calibri" w:cstheme="minorHAnsi"/>
        </w:rPr>
      </w:pPr>
      <w:r>
        <w:rPr>
          <w:rFonts w:eastAsia="Calibri" w:cs="Calibri" w:cstheme="minorHAnsi"/>
          <w:sz w:val="24"/>
          <w:szCs w:val="24"/>
        </w:rPr>
        <w:t>Poziv na dostavu ponuda temeljem kojeg će se sklopiti ugovor o nabavi radova.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Danom početka postupka nabave smatra se dan objave Obavijesti o nabavi i dokumentacije za nadmetanje s pripadajućim prilozima na internetskoj stranici: </w:t>
      </w:r>
      <w:hyperlink r:id="rId7">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t xml:space="preserve">Evidencijski broj nabave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Evidencijski broj nabave je 2/2021 – Radovi.</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1.7. </w:t>
      </w:r>
      <w:r>
        <w:rPr>
          <w:rFonts w:cs="Calibri" w:cstheme="minorHAnsi"/>
          <w:b/>
          <w:bCs/>
          <w:sz w:val="24"/>
          <w:szCs w:val="24"/>
        </w:rPr>
        <w:t>Procijenjena vrijednost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Procijenjena vrijednost nabave bez PDV-a: </w:t>
      </w:r>
      <w:r>
        <w:rPr>
          <w:rFonts w:cs="Calibri" w:cstheme="minorHAnsi"/>
          <w:b/>
          <w:bCs/>
          <w:sz w:val="24"/>
          <w:szCs w:val="24"/>
          <w:lang w:bidi="hr-HR"/>
        </w:rPr>
        <w:t>2.836.711,90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Iznos  PDV-a:  </w:t>
      </w:r>
      <w:r>
        <w:rPr>
          <w:rFonts w:cs="Calibri" w:cstheme="minorHAnsi"/>
          <w:b/>
          <w:bCs/>
          <w:sz w:val="24"/>
          <w:szCs w:val="24"/>
          <w:lang w:bidi="hr-HR"/>
        </w:rPr>
        <w:t>709.177,98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Ukupna procijenjena vrijednost nabave s PDV-om: </w:t>
      </w:r>
      <w:r>
        <w:rPr>
          <w:rFonts w:eastAsia="Calibri" w:cs="Calibri" w:cstheme="minorHAnsi"/>
          <w:b/>
          <w:bCs/>
          <w:sz w:val="24"/>
          <w:szCs w:val="24"/>
          <w:lang w:bidi="hr-HR"/>
        </w:rPr>
        <w:t>3.545.889,88</w:t>
      </w:r>
      <w:r>
        <w:rPr>
          <w:rFonts w:cs="Calibri" w:cstheme="minorHAnsi"/>
          <w:b/>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tabs>
          <w:tab w:val="clear" w:pos="709"/>
          <w:tab w:val="left" w:pos="567" w:leader="none"/>
        </w:tabs>
        <w:spacing w:lineRule="atLeast" w:line="23" w:before="0" w:after="0"/>
        <w:ind w:left="360" w:hanging="0"/>
        <w:contextualSpacing/>
        <w:jc w:val="both"/>
        <w:rPr>
          <w:rFonts w:cs="Calibri" w:cstheme="minorHAnsi"/>
          <w:b/>
          <w:b/>
          <w:sz w:val="24"/>
          <w:szCs w:val="24"/>
        </w:rPr>
      </w:pPr>
      <w:r>
        <w:rPr>
          <w:rFonts w:cs="Calibri" w:cstheme="minorHAnsi"/>
          <w:sz w:val="24"/>
          <w:szCs w:val="24"/>
        </w:rPr>
        <w:t xml:space="preserve">1.8. </w:t>
      </w:r>
      <w:r>
        <w:rPr>
          <w:rFonts w:cs="Calibri" w:cstheme="minorHAnsi"/>
          <w:b/>
          <w:sz w:val="24"/>
          <w:szCs w:val="24"/>
        </w:rPr>
        <w:t>Dostupnost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Dokumentacija za nadmetanje, zaprimljena pitanja zainteresiranih gospodarskih subjekata i odgovori na pitanja, kao i sve obavijesti o izmjenama i dopunama dokumentacije za nadmetanje, bit će stavljene na raspolaganje gospodarskim subjektima na internetskoj stranici </w:t>
      </w:r>
      <w:hyperlink r:id="rId8">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tabs>
          <w:tab w:val="clear" w:pos="709"/>
          <w:tab w:val="left" w:pos="567" w:leader="none"/>
        </w:tabs>
        <w:spacing w:lineRule="atLeast" w:line="23" w:before="0" w:after="0"/>
        <w:ind w:left="360" w:hanging="0"/>
        <w:contextualSpacing/>
        <w:jc w:val="both"/>
        <w:rPr>
          <w:rFonts w:eastAsia="Times New Roman" w:cs="Calibri" w:cstheme="minorHAnsi"/>
          <w:b/>
          <w:b/>
          <w:bCs/>
          <w:color w:val="000000"/>
          <w:sz w:val="24"/>
          <w:lang w:bidi="hr-HR"/>
        </w:rPr>
      </w:pPr>
      <w:r>
        <w:rPr>
          <w:rFonts w:eastAsia="Times New Roman" w:cs="Calibri" w:cstheme="minorHAnsi"/>
          <w:color w:val="000000"/>
          <w:sz w:val="24"/>
          <w:lang w:bidi="hr-HR"/>
        </w:rPr>
        <w:t xml:space="preserve">1.9. </w:t>
      </w:r>
      <w:r>
        <w:rPr>
          <w:rFonts w:eastAsia="Times New Roman" w:cs="Calibri" w:cstheme="minorHAnsi"/>
          <w:b/>
          <w:bCs/>
          <w:color w:val="000000"/>
          <w:sz w:val="24"/>
          <w:lang w:bidi="hr-HR"/>
        </w:rPr>
        <w:tab/>
      </w:r>
      <w:bookmarkStart w:id="1" w:name="_Toc398624062"/>
      <w:bookmarkStart w:id="2" w:name="_Toc399159434"/>
      <w:r>
        <w:rPr>
          <w:rFonts w:eastAsia="Times New Roman" w:cs="Calibri" w:cstheme="minorHAnsi"/>
          <w:b/>
          <w:bCs/>
          <w:color w:val="000000"/>
          <w:sz w:val="24"/>
          <w:lang w:bidi="hr-HR"/>
        </w:rPr>
        <w:t xml:space="preserve">Objašnjenja i izmjene dokumentacije </w:t>
      </w:r>
      <w:bookmarkStart w:id="3" w:name="_Toc398548190"/>
      <w:bookmarkStart w:id="4" w:name="_Toc398561287"/>
      <w:bookmarkStart w:id="5" w:name="_Toc398564531"/>
      <w:bookmarkStart w:id="6" w:name="_Toc398624063"/>
      <w:bookmarkStart w:id="7" w:name="_Toc399159435"/>
      <w:bookmarkEnd w:id="1"/>
      <w:bookmarkEnd w:id="2"/>
      <w:r>
        <w:rPr>
          <w:rFonts w:eastAsia="Times New Roman" w:cs="Calibri" w:cstheme="minorHAnsi"/>
          <w:b/>
          <w:bCs/>
          <w:color w:val="000000"/>
          <w:sz w:val="24"/>
          <w:lang w:bidi="hr-HR"/>
        </w:rPr>
        <w:t>za nadmetanje</w:t>
      </w:r>
    </w:p>
    <w:p>
      <w:pPr>
        <w:pStyle w:val="ListParagraph"/>
        <w:numPr>
          <w:ilvl w:val="0"/>
          <w:numId w:val="12"/>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Za vrijeme roka za dostavu ponuda gospodarski subjekti mogu zahtijevati dodatne informacije vezane za dokumentaciju za nadmetanje, a Naručitelj će odgovor staviti na raspolaganje na istim mjestima (medijima) na kojima je objavljena Obavijest o nabavi i Dokumentacija za nadmetanje bez otkrivanja identiteta gospodarskog subjekta. </w:t>
      </w:r>
      <w:bookmarkEnd w:id="3"/>
      <w:bookmarkEnd w:id="4"/>
      <w:bookmarkEnd w:id="5"/>
      <w:bookmarkEnd w:id="6"/>
      <w:bookmarkEnd w:id="7"/>
      <w:r>
        <w:rPr>
          <w:rFonts w:cs="Calibri" w:cstheme="minorHAnsi"/>
          <w:bCs/>
          <w:sz w:val="24"/>
          <w:szCs w:val="24"/>
          <w:lang w:bidi="hr-HR"/>
        </w:rPr>
        <w:t xml:space="preserve"> </w:t>
      </w:r>
      <w:bookmarkStart w:id="8" w:name="_Toc398548191"/>
      <w:bookmarkStart w:id="9" w:name="_Toc398561288"/>
      <w:bookmarkStart w:id="10" w:name="_Toc398564532"/>
      <w:bookmarkStart w:id="11" w:name="_Toc398624064"/>
      <w:bookmarkStart w:id="12" w:name="_Toc399159436"/>
    </w:p>
    <w:p>
      <w:pPr>
        <w:pStyle w:val="ListParagraph"/>
        <w:numPr>
          <w:ilvl w:val="0"/>
          <w:numId w:val="12"/>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Pod uvjetom da je zahtjev dostavljen pravodobno, Naručitelj je obvezan odgovor staviti na raspolaganje najkasnije tijekom četvrtog (4) dana prije dana u kojem ističe rok za dostavu ponuda.</w:t>
      </w:r>
      <w:bookmarkStart w:id="13" w:name="_Toc398548192"/>
      <w:bookmarkStart w:id="14" w:name="_Toc398561289"/>
      <w:bookmarkStart w:id="15" w:name="_Toc398564533"/>
      <w:bookmarkStart w:id="16" w:name="_Toc398624065"/>
      <w:bookmarkEnd w:id="8"/>
      <w:bookmarkEnd w:id="9"/>
      <w:bookmarkEnd w:id="10"/>
      <w:bookmarkEnd w:id="11"/>
      <w:bookmarkEnd w:id="12"/>
      <w:r>
        <w:rPr>
          <w:rFonts w:cs="Calibri" w:cstheme="minorHAnsi"/>
          <w:bCs/>
          <w:sz w:val="24"/>
          <w:szCs w:val="24"/>
          <w:lang w:bidi="hr-HR"/>
        </w:rPr>
        <w:t xml:space="preserve"> </w:t>
      </w:r>
      <w:bookmarkStart w:id="17" w:name="_Toc399159437"/>
    </w:p>
    <w:p>
      <w:pPr>
        <w:pStyle w:val="ListParagraph"/>
        <w:numPr>
          <w:ilvl w:val="0"/>
          <w:numId w:val="12"/>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Zahtjev je pravodoban ako je dostavljen Naručitelju najkasnije tijekom šestog (6) dana prije dana u kojem ističe rok za dostavu ponuda.</w:t>
      </w:r>
      <w:bookmarkStart w:id="18" w:name="_Toc398548193"/>
      <w:bookmarkStart w:id="19" w:name="_Toc398561290"/>
      <w:bookmarkStart w:id="20" w:name="_Toc398564534"/>
      <w:bookmarkStart w:id="21" w:name="_Toc398624066"/>
      <w:bookmarkStart w:id="22" w:name="_Toc399159438"/>
      <w:bookmarkEnd w:id="13"/>
      <w:bookmarkEnd w:id="14"/>
      <w:bookmarkEnd w:id="15"/>
      <w:bookmarkEnd w:id="16"/>
      <w:bookmarkEnd w:id="17"/>
      <w:r>
        <w:rPr>
          <w:rFonts w:cs="Calibri" w:cstheme="minorHAnsi"/>
          <w:bCs/>
          <w:sz w:val="24"/>
          <w:szCs w:val="24"/>
          <w:lang w:bidi="hr-HR"/>
        </w:rPr>
        <w:t xml:space="preserve"> </w:t>
      </w:r>
    </w:p>
    <w:p>
      <w:pPr>
        <w:pStyle w:val="ListParagraph"/>
        <w:numPr>
          <w:ilvl w:val="0"/>
          <w:numId w:val="12"/>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Ako iz bilo kojeg razloga pojašnjenje nije objavljeno najkasnije tijekom petog (5) dana prije isteka roka za dostavu ponuda, Naručitelj je dužan produljiti rok za dostavu ponuda.</w:t>
      </w:r>
      <w:bookmarkStart w:id="23" w:name="_Toc398548194"/>
      <w:bookmarkStart w:id="24" w:name="_Toc398561291"/>
      <w:bookmarkStart w:id="25" w:name="_Toc398564535"/>
      <w:bookmarkStart w:id="26" w:name="_Toc398624067"/>
      <w:bookmarkEnd w:id="18"/>
      <w:bookmarkEnd w:id="19"/>
      <w:bookmarkEnd w:id="20"/>
      <w:bookmarkEnd w:id="21"/>
      <w:bookmarkEnd w:id="22"/>
      <w:r>
        <w:rPr>
          <w:rFonts w:cs="Calibri" w:cstheme="minorHAnsi"/>
          <w:bCs/>
          <w:sz w:val="24"/>
          <w:szCs w:val="24"/>
          <w:lang w:bidi="hr-HR"/>
        </w:rPr>
        <w:t xml:space="preserve"> Produljenje roka biti će razmjerno važnosti pojašnjenja te neće biti kraće od pet dana.</w:t>
      </w:r>
      <w:bookmarkStart w:id="27" w:name="_Toc399159439"/>
      <w:r>
        <w:rPr>
          <w:rFonts w:cs="Calibri" w:cstheme="minorHAnsi"/>
          <w:bCs/>
          <w:sz w:val="24"/>
          <w:szCs w:val="24"/>
          <w:lang w:bidi="hr-HR"/>
        </w:rPr>
        <w:t xml:space="preserve"> </w:t>
      </w:r>
    </w:p>
    <w:p>
      <w:pPr>
        <w:pStyle w:val="ListParagraph"/>
        <w:numPr>
          <w:ilvl w:val="0"/>
          <w:numId w:val="12"/>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23"/>
      <w:bookmarkEnd w:id="24"/>
      <w:bookmarkEnd w:id="25"/>
      <w:bookmarkEnd w:id="26"/>
      <w:bookmarkEnd w:id="27"/>
      <w:r>
        <w:rPr>
          <w:rFonts w:cs="Calibri" w:cstheme="minorHAnsi"/>
          <w:bCs/>
          <w:sz w:val="24"/>
          <w:szCs w:val="24"/>
          <w:lang w:bidi="hr-HR"/>
        </w:rPr>
        <w:t>Produljenje roka biti će razmjerno važnosti pojašnjenja, te neće biti kraće od pet dana.</w:t>
      </w:r>
    </w:p>
    <w:p>
      <w:pPr>
        <w:pStyle w:val="ListParagraph"/>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numPr>
          <w:ilvl w:val="0"/>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PREDMETU NABAVE</w:t>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Predmet nabave</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bookmarkStart w:id="28" w:name="_Toc375638516"/>
      <w:r>
        <w:rPr>
          <w:rFonts w:eastAsia="Calibri" w:cs="Calibri" w:cstheme="minorHAnsi"/>
          <w:sz w:val="24"/>
          <w:szCs w:val="24"/>
        </w:rPr>
        <w:t>Predmet nabave</w:t>
      </w:r>
      <w:r>
        <w:rPr>
          <w:rFonts w:eastAsia="Calibri" w:cs="Calibri" w:cstheme="minorHAnsi"/>
          <w:bCs/>
          <w:sz w:val="24"/>
          <w:szCs w:val="24"/>
          <w:lang w:bidi="hr-HR"/>
        </w:rPr>
        <w:t xml:space="preserve"> su radovi na povećanju prostornih kapaciteta čime će se doprinijeti jačanju konkurentske prednosti poduzeća te će doprinijeti optimizaciji poslovanja, smanjenju negativnog utjecaja na okoliš, bolje radne uvjete za zaposlenike i učinkovitije korištenje resursa u proizvodnji, a sukladno tehničkoj dokumentaciji i troškovnicima  koji se nalaze u privitku i čine sastavni dio ove Dokumentacije za nadmetanje. </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bCs/>
          <w:sz w:val="24"/>
          <w:szCs w:val="24"/>
          <w:lang w:bidi="hr-HR"/>
        </w:rPr>
        <w:t>Ako ponuditelj propusti ponuditi neku stavku u Troškovniku, njegova ponuda bit će odbijena.</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bCs/>
          <w:sz w:val="24"/>
          <w:szCs w:val="24"/>
          <w:lang w:bidi="hr-HR"/>
        </w:rPr>
        <w:t xml:space="preserve">Radovi se izvode prema Glavnom projektu, broj tehničkog dnevnika 11/2021, zajednička oznaka projekta K.A.BIRO 11/2021. Projektant glavnog projekta je Miljenko Kovač, dipl. ing. građ. br. upisa u razred ovlaštenih inženjera: 177, klasa: UP/ I-360-01/ 99-01/ 177, Ur. br. 314-01-99-1. </w:t>
      </w:r>
    </w:p>
    <w:p>
      <w:pPr>
        <w:pStyle w:val="Normal"/>
        <w:shd w:val="clear" w:color="auto" w:fill="FFFFFF" w:themeFill="background1"/>
        <w:tabs>
          <w:tab w:val="clear" w:pos="709"/>
          <w:tab w:val="left" w:pos="567" w:leader="none"/>
        </w:tabs>
        <w:spacing w:lineRule="atLeast" w:line="23" w:before="0" w:after="0"/>
        <w:contextualSpacing/>
        <w:jc w:val="both"/>
        <w:rPr>
          <w:rFonts w:cstheme="minorHAnsi"/>
          <w:shd w:fill="auto" w:val="clear"/>
        </w:rPr>
      </w:pPr>
      <w:r>
        <w:rPr>
          <w:rFonts w:eastAsia="Calibri" w:cs="Calibri" w:cstheme="minorHAnsi"/>
          <w:bCs/>
          <w:sz w:val="24"/>
          <w:szCs w:val="24"/>
          <w:shd w:fill="auto" w:val="clear"/>
          <w:lang w:bidi="hr-HR"/>
        </w:rPr>
        <w:t xml:space="preserve">Ovim predmetom nabave obuhvaćena je dogradnja samostalne uporabne cjeline 1.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Aktivnosti koje će se provesti projektom ulaganja su:</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1. građevinsko-obrtnički radovi</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2. elektroinstalacije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3. strojarske instalacije.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eastAsia="Times New Roman" w:cs="Calibri" w:cstheme="minorHAnsi"/>
          <w:sz w:val="24"/>
          <w:szCs w:val="24"/>
          <w:lang w:eastAsia="hr-HR"/>
        </w:rPr>
      </w:pPr>
      <w:r>
        <w:rPr>
          <w:rFonts w:eastAsia="Times New Roman" w:cs="Calibri" w:cstheme="minorHAnsi"/>
          <w:sz w:val="24"/>
          <w:szCs w:val="24"/>
          <w:lang w:eastAsia="hr-HR"/>
        </w:rPr>
        <w:t>Predmetne radove potrebno je izvesti u skladu s odredbama Zakona o gradnji (NN 153/13, 20/17, 39/19 i 125/19) i Zakona o poslovima i djelatnostima prostornog uređenja i gradnje (NN 78/15, 118/18 i 110/19), pravilima struke, tehničkim uputama i rješenjima priloženim ovoj Dokumentaciji za nadmetanje, posebnim zahtjevima Naručitelja i ostalim važećim normama, pravilima struke i primjenjivim pozitivnim propisima.</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Ugrađeni materijali moraju biti propisane kakvoće i izvedbom radova sukladni projektu, tehničkim pravilima struke i pripadajućem troškovniku, ostalim projektima koji zajedno čine Glavni projekt, te se moraju primjenjivati važeći zakoni, pravilnici i drugi propisi, čime se osiguravaju tehnička svojstva odnosno temeljni zahtjevi za građevinu. </w:t>
      </w:r>
    </w:p>
    <w:p>
      <w:pPr>
        <w:pStyle w:val="Normal"/>
        <w:spacing w:lineRule="atLeast" w:line="23" w:before="0" w:after="0"/>
        <w:jc w:val="both"/>
        <w:rPr>
          <w:rFonts w:eastAsia="Times New Roman" w:cs="Calibri" w:cstheme="minorHAnsi"/>
          <w:color w:val="2E74B5"/>
          <w:sz w:val="24"/>
          <w:szCs w:val="24"/>
          <w:lang w:eastAsia="hr-HR"/>
        </w:rPr>
      </w:pPr>
      <w:r>
        <w:rPr>
          <w:rFonts w:eastAsia="Times New Roman" w:cs="Calibri" w:cstheme="minorHAnsi"/>
          <w:color w:val="2E74B5"/>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Obvezno je pridržavati se svih važećih propisa, osobito propisa iz područja zaštite na radu, tako da se osigura sigurnost gradilišta. </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Radovi se izvode sukladno terminskom Planu izvođenja radova, koji će odabrani izvoditelj morati dostaviti naručitelju u roku od 15 dana od dana potpisa ugovora. </w:t>
      </w:r>
    </w:p>
    <w:p>
      <w:pPr>
        <w:pStyle w:val="Normal"/>
        <w:spacing w:lineRule="atLeast" w:line="23" w:before="0" w:after="0"/>
        <w:jc w:val="both"/>
        <w:rPr>
          <w:rFonts w:eastAsia="Times New Roman" w:cs="Calibri" w:cstheme="minorHAnsi"/>
          <w:color w:val="2E74B5"/>
          <w:sz w:val="24"/>
          <w:szCs w:val="24"/>
          <w:lang w:eastAsia="hr-HR"/>
        </w:rPr>
      </w:pPr>
      <w:r>
        <w:rPr>
          <w:rFonts w:eastAsia="Times New Roman" w:cs="Calibri" w:cstheme="minorHAnsi"/>
          <w:color w:val="2E74B5"/>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Prije dostave ponude preporuča se ponuditeljima da izvrše obilazak terena na kojem će se izvoditi radovi uz prethodni dogovor sa osobom zaduženom za tehničke specifikacije: Tino Sabol, tel: +385 99 827 0648, pon. - pet. od 07 - 15 sati.</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shd w:fill="FFFFFF" w:val="clear"/>
          <w:lang w:bidi="hr-HR"/>
        </w:rPr>
        <w:t xml:space="preserve">Radovi se sastoje od građevinsko-obrtničkih radova, </w:t>
      </w:r>
      <w:r>
        <w:rPr>
          <w:rFonts w:eastAsia="Calibri" w:cs="Calibri" w:cstheme="minorHAnsi"/>
          <w:bCs/>
          <w:color w:val="000000"/>
          <w:sz w:val="24"/>
          <w:szCs w:val="24"/>
          <w:shd w:fill="FFFFFF" w:val="clear"/>
          <w:lang w:bidi="hr-HR"/>
        </w:rPr>
        <w:t>elektrotehničkih radova te strojarskih instalacija</w:t>
      </w:r>
      <w:r>
        <w:rPr>
          <w:rFonts w:cs="Calibri" w:cstheme="minorHAnsi"/>
          <w:bCs/>
          <w:sz w:val="24"/>
          <w:szCs w:val="24"/>
          <w:shd w:fill="FFFFFF" w:val="clear"/>
          <w:lang w:bidi="hr-HR"/>
        </w:rPr>
        <w:t xml:space="preserve"> – sve opisano u prilozima ove Dokumentacije za nadmetanje.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Tehničke specifikacije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Radove je potrebno izvršiti sukladno Glavnom projektu (Dodatak II) i Troškovniku (Prilog VI) koji su sastavni dio ove Dokumentacije za nadmetanje.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Ponuditelji mogu obići i detaljno izvršiti pregled mjesta izvođenja radova te su u tom smislu obvezni najaviti svoj dolazak dan prije, kontakt osobi Naručitelja navedenoj u točki 1.2. Podaci o osobi zaduženoj za komunikaciju s Ponuditeljima. Ponuditelji na svoj trošak vrše pregled građevine i upoznaju se s lokacijom na kojoj se planira gradnja zbog ocjene njezinog građevinskog stanja, radova obuhvaćenih troškovnikom, uvjeta organizacije gradilišta, načina i mogućnosti pristupa, mogućnosti zauzimanja javne površine, postave skele i sl. kako bi za sebe i na vlastitu odgovornost prikupili sve informacije koje su potrebne za izradu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Uvid u projektnu dokumentaciju moguće je izvršiti na adresi Naručitelja, te su u tom smislu gospodarski subjekti obvezni najaviti svoj dolazak dan prije, kontakt osobi Naručitelja navedenoj u točki 1.2. Podaci o osobi zaduženoj za komunikaciju s Ponuditeljima.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Neovisno o tome je li ponuditelj obišao mjesto izvođenja radova ili preuzeo svu projektnu dokumentaciju, Naručitelj će smatrati da je ponuditelj obišao i detaljno pregledao lokaciju (zonu obuhvata) i pripadajuće područje, kao i projektnu dokumentaciju te je dobro upoznat sa svim uvjetima, faktorima i resursima u odnosu i u svezi s lokacijom ili onim koji mogu utjecati na izvršenje radova, te da je na temelju navedenog podnio svoju ponudu. Stoga, odabrani ponuditelj nema pravo zahtijevati povećanje cijene ili drugu naknadu, pozivajući se da u vrijeme davanja ponude nije bio upoznat s okolnostima vezanim uz projektnu dokumentaciju i lokaciju postojećih objekata.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 </w:t>
      </w:r>
      <w:r>
        <w:rPr>
          <w:rFonts w:cs="Calibri" w:cstheme="minorHAnsi"/>
          <w:b/>
          <w:bCs/>
          <w:sz w:val="24"/>
          <w:szCs w:val="24"/>
          <w:lang w:bidi="hr-HR"/>
        </w:rPr>
        <w:t>Opis i oznaka grupa predmeta nabave</w:t>
      </w:r>
      <w:bookmarkEnd w:id="28"/>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Predmet nabave nije podijeljen na grupe nabave te nije dozvoljeno nuđenje po grupama ili dijelovima predmeta nabave.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nije podijeljen na grupe jer isti čini jedinstvenu cjelinu. Predmetne funkcije i poslovi međusobno su povezani i međuovisni te bi podjela na grupe učinila izvršenje predmetnih radova neefikasnim i neučinkovitim.</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može podnijeti samo jednu ponudu. Ponuditelju koji preda ili sudjeluje u više ponuda, kao samostalni ponuditelj ili član zajednice ponuditelja, bit će odbijene sve njegove ponude, kao i ponude u kojima je član zajednice ponuditelja.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Količina/opseg predmeta nabave</w:t>
      </w:r>
    </w:p>
    <w:p>
      <w:pPr>
        <w:pStyle w:val="Default"/>
        <w:spacing w:lineRule="atLeast" w:line="23"/>
        <w:rPr>
          <w:rFonts w:asciiTheme="minorHAnsi" w:cstheme="minorHAnsi" w:hAnsiTheme="minorHAnsi"/>
          <w:shd w:fill="auto" w:val="clear"/>
        </w:rPr>
      </w:pPr>
      <w:r>
        <w:rPr>
          <w:rFonts w:cs="Calibri" w:cstheme="minorHAnsi" w:ascii="Calibri" w:hAnsi="Calibri"/>
          <w:shd w:fill="auto" w:val="clear"/>
          <w:lang w:val="hr-HR"/>
        </w:rPr>
        <w:t>Količina predmeta nabave specificirana je u troškovniku koji čine sastavni dio ove Dokumentacije za nadmetanje.</w:t>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Default"/>
        <w:spacing w:lineRule="atLeast" w:line="23"/>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Navedene količine su okvirne, a obračun izvršenih radova vršit će se temeljem stvarno izvedenih količina i ugovorenih jediničnih cijena.</w:t>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Mjesto isporuke predmeta nabave</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t xml:space="preserve">Radovi se izvode na sljedećoj lokaciji: STS-tech d.o.o., Ulica Svetog Josipa Radnika 4, 40315 Mursko Središće, k.č. br. 692/6, k.o. Mursko Središće. </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
          <w:bCs/>
          <w:sz w:val="24"/>
          <w:szCs w:val="24"/>
          <w:lang w:bidi="hr-HR"/>
        </w:rPr>
        <w:t>Rok isporuke predmeta nabave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Rok za izvo</w:t>
      </w:r>
      <w:r>
        <w:rPr>
          <w:rFonts w:eastAsia="Times New Roman" w:cs="Calibri" w:cstheme="minorHAnsi"/>
          <w:color w:val="000000"/>
          <w:sz w:val="24"/>
          <w:szCs w:val="24"/>
          <w:shd w:fill="auto" w:val="clear"/>
          <w:lang w:eastAsia="hr-HR"/>
        </w:rPr>
        <w:t xml:space="preserve">đenje radova: </w:t>
      </w:r>
      <w:r>
        <w:rPr>
          <w:rFonts w:eastAsia="Times New Roman" w:cs="Calibri" w:cstheme="minorHAnsi"/>
          <w:color w:val="000000"/>
          <w:sz w:val="24"/>
          <w:szCs w:val="24"/>
          <w:shd w:fill="auto" w:val="clear"/>
          <w:lang w:eastAsia="hr-HR"/>
        </w:rPr>
        <w:t>1</w:t>
      </w:r>
      <w:r>
        <w:rPr>
          <w:rFonts w:eastAsia="Times New Roman" w:cs="Calibri" w:cstheme="minorHAnsi"/>
          <w:color w:val="000000"/>
          <w:sz w:val="24"/>
          <w:szCs w:val="24"/>
          <w:shd w:fill="auto" w:val="clear"/>
          <w:lang w:eastAsia="hr-HR"/>
        </w:rPr>
        <w:t>1</w:t>
      </w:r>
      <w:r>
        <w:rPr>
          <w:rFonts w:eastAsia="Times New Roman" w:cs="Calibri" w:cstheme="minorHAnsi"/>
          <w:color w:val="000000"/>
          <w:sz w:val="24"/>
          <w:szCs w:val="24"/>
          <w:shd w:fill="auto" w:val="clear"/>
          <w:lang w:eastAsia="hr-HR"/>
        </w:rPr>
        <w:t xml:space="preserve"> mjeseci </w:t>
      </w:r>
      <w:r>
        <w:rPr>
          <w:rFonts w:eastAsia="Times New Roman" w:cs="Calibri" w:cstheme="minorHAnsi"/>
          <w:color w:val="000000"/>
          <w:sz w:val="24"/>
          <w:szCs w:val="24"/>
          <w:shd w:fill="auto" w:val="clear"/>
          <w:lang w:eastAsia="hr-HR"/>
        </w:rPr>
        <w:t xml:space="preserve"> </w:t>
      </w:r>
      <w:r>
        <w:rPr>
          <w:rFonts w:eastAsia="Times New Roman" w:cs="Calibri" w:cstheme="minorHAnsi"/>
          <w:color w:val="000000"/>
          <w:sz w:val="24"/>
          <w:szCs w:val="24"/>
          <w:lang w:eastAsia="hr-HR"/>
        </w:rPr>
        <w:t>od dana početka izvođenja radova, datum početka radova unosi se u građevinski dnevnik.</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Početak izvođenja radova: po potpisu ugovora i uvođenju u posao.</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Uvođenje u posao mora biti najkasnije 7 dana od dana potpisa ugovora s odabranim ponuditeljem.</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Naručitelj će, na zahtjev Izvoditelja, produžiti rok završetka radova, ako je po mišljenju Naručitelja nastupio jedan od slijedećih slučajeva:</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a) uslijed nastupa više sile;</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b) uslijed mjera predviđenih aktima javnopravnih tijela, osim ako su te mjere donesene iz razloga za koji odgovornost snosi Izvoditelj;</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c) uslijed šutnje administracije u postupku ishođenja uporabne dozvole;</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d) uslijed zahtjeva za privremenim prekidom radova (npr. u slučaju kada radovi zastaju zbog uvjeta na koje Izvoditelj i Naručitelj ne mogu utjecati kao što su npr.: zimski uvjeti, kiša, led, visoke podzemne vode i sl.)</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 slučaju produženja roka iz gore navedenih razloga, ugovorne strane će sklopiti dodatak ovom Ugovoru. Izvoditelj je obvezan produžiti rok važenja jamstva za uredno ispunjenje ugovora za period produženja roka završetka radova. Rok za dostavu jamstva za uredno ispunjenje ugovora s produženim rokom važenja je 10 radnih dana od dana sklapanja dodatka Ugovora. Ako Izvoditelj novo jamstvo ne dostavi u propisanom roku ili ako ne potpiše dodatak Ugovora u tekstu kojega mu dostavi Naručitelj, Naručitelj ima pravo jednostrano raskinuti ovaj Ugovor i aktivirati jamstvo za uredno ispunjenje ugovora, s time da je prije toga obvezan dati Izvoditelju naknadni primjereni rok za ispunjenje predmetnih obveza.</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U slučaju iz nastupa više sile, Naručitelj će produžiti rok za vrijeme koje je, po njegovom mišljenju, Izvoditelj bio u nemogućnosti izvoditi radove koji su predmet ovog Ugovora. Pod višom silom podrazumijevaju se prirodni događaji (primjerice poplava, potres i sl.) ili pak ljudske radnje koje utječu na tijek radova (primjerice rat, karantena, iznenadno ograničenje robama bitnim za odvijanje radova i sl.), a koji događaji se nisu mogli predvidjeti i otkloniti. Ugovorne strane neće u navedenim slučajevima imati međusobnih potraživanja zbog eventualno nastale štete uslijed produženja roka. </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Ponuditelj će Naručitelju platiti penale po dnevnoj stopi od 2‰ (dva promila) za svaki dan zakašnjenja isporuke robe i usluga u odnosu na utvrđeni rok, ukoliko je do zakašnjenja došlo krivnjom Ponuditelja.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Ukupni iznos penala ne može prekoračiti iznos od 10% od ukupne vrijednosti ugovora.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ListParagraph"/>
        <w:keepNext w:val="true"/>
        <w:keepLines/>
        <w:numPr>
          <w:ilvl w:val="0"/>
          <w:numId w:val="2"/>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bookmarkStart w:id="29" w:name="_Toc443558708"/>
      <w:bookmarkStart w:id="30" w:name="_Toc465157989"/>
      <w:bookmarkStart w:id="31" w:name="_Toc465158042"/>
      <w:r>
        <w:rPr>
          <w:rFonts w:cs="Calibri" w:cstheme="minorHAnsi"/>
          <w:b/>
          <w:bCs/>
          <w:sz w:val="24"/>
          <w:szCs w:val="24"/>
          <w:lang w:bidi="hr-HR"/>
        </w:rPr>
        <w:t>OBAVEZNI RAZLOZI ISKLJUČENJA PONUDITELJA</w:t>
      </w:r>
      <w:bookmarkEnd w:id="29"/>
      <w:bookmarkEnd w:id="30"/>
      <w:bookmarkEnd w:id="31"/>
      <w:r>
        <w:rPr>
          <w:rFonts w:cs="Calibri" w:cstheme="minorHAnsi"/>
          <w:b/>
          <w:bCs/>
          <w:sz w:val="24"/>
          <w:szCs w:val="24"/>
          <w:lang w:bidi="hr-HR"/>
        </w:rPr>
        <w:t xml:space="preserve"> </w:t>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bookmarkStart w:id="32" w:name="_Toc398548207"/>
      <w:bookmarkStart w:id="33" w:name="_Toc398561305"/>
      <w:bookmarkStart w:id="34" w:name="_Toc398564550"/>
      <w:bookmarkStart w:id="35" w:name="_Toc398624082"/>
      <w:bookmarkStart w:id="36" w:name="_Toc399159455"/>
      <w:bookmarkStart w:id="37" w:name="_Toc398548207"/>
      <w:bookmarkStart w:id="38" w:name="_Toc398561305"/>
      <w:bookmarkStart w:id="39" w:name="_Toc398564550"/>
      <w:bookmarkStart w:id="40" w:name="_Toc398624082"/>
      <w:bookmarkStart w:id="41" w:name="_Toc399159455"/>
      <w:bookmarkEnd w:id="37"/>
      <w:bookmarkEnd w:id="38"/>
      <w:bookmarkEnd w:id="39"/>
      <w:bookmarkEnd w:id="40"/>
      <w:bookmarkEnd w:id="41"/>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Gospodarski subjekt biti će isključen iz postupka ukoliko: </w:t>
      </w:r>
    </w:p>
    <w:p>
      <w:pPr>
        <w:pStyle w:val="ListParagraph"/>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17"/>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17"/>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17"/>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1"/>
          <w:numId w:val="17"/>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2"/>
          <w:numId w:val="17"/>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je on ili osoba ovlaštena za njegovo zakonsko zastupanje pravomoćno osuđena za kazneno djelo sudjelovanje u zločinačkoj organizaciji, korupcije, prijevare, terorizma, financiranja terorizma, pranja novca, dječjeg rada ili drugih oblika trgovanja ljudima.</w:t>
      </w:r>
    </w:p>
    <w:p>
      <w:pPr>
        <w:pStyle w:val="ListParagraph"/>
        <w:numPr>
          <w:ilvl w:val="2"/>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nije ispunio obavezu plaćanja dospjelih poreznih obveza i obveza za mirovinsko i zdravstveno osiguranje, osim ako mu prema posebnom zakonu plaćanje tih obveza nije dopušteno ili je odobrena odgoda plaćanja.</w:t>
      </w:r>
    </w:p>
    <w:p>
      <w:pPr>
        <w:pStyle w:val="ListParagraph"/>
        <w:numPr>
          <w:ilvl w:val="2"/>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lažno predstavio ili pružio neistinite podatke u vezi s uvjetima koje je Naručitelj naveo kao razloge za isključenje ili uvjete kvalifikacije.</w:t>
      </w:r>
    </w:p>
    <w:p>
      <w:pPr>
        <w:pStyle w:val="ListParagraph"/>
        <w:numPr>
          <w:ilvl w:val="2"/>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zemlje u kojoj ima nastan.</w:t>
      </w:r>
    </w:p>
    <w:p>
      <w:pPr>
        <w:pStyle w:val="ListParagraph"/>
        <w:numPr>
          <w:ilvl w:val="2"/>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posljednje dvije godine do početka postupka nabave učinio težak profesionalni propust koji Naručitelj može dokazati na bilo koji način.</w:t>
      </w:r>
    </w:p>
    <w:p>
      <w:pPr>
        <w:pStyle w:val="ListParagraph"/>
        <w:numPr>
          <w:ilvl w:val="2"/>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se sukob interesa ne može ukloniti izuzimanjem predstavnika Naručitelja iz Odbora za nabavu.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Nepostojanje razloga za isključenje iz točke 3.1 ove Dokumentacije za nadmetanje ponuditelj će</w:t>
      </w:r>
      <w:r>
        <w:rPr>
          <w:rFonts w:cs="Calibri" w:cstheme="minorHAnsi"/>
          <w:b/>
          <w:bCs/>
          <w:sz w:val="24"/>
          <w:szCs w:val="24"/>
          <w:lang w:bidi="hr-HR"/>
        </w:rPr>
        <w:t xml:space="preserve"> </w:t>
      </w:r>
      <w:r>
        <w:rPr>
          <w:rFonts w:cs="Calibri" w:cstheme="minorHAnsi"/>
          <w:bCs/>
          <w:sz w:val="24"/>
          <w:szCs w:val="24"/>
          <w:lang w:bidi="hr-HR"/>
        </w:rPr>
        <w:t>dokazati:</w:t>
      </w:r>
    </w:p>
    <w:p>
      <w:pPr>
        <w:pStyle w:val="ListParagraph"/>
        <w:numPr>
          <w:ilvl w:val="0"/>
          <w:numId w:val="13"/>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potpisanom izjavom</w:t>
      </w:r>
      <w:r>
        <w:rPr>
          <w:rFonts w:cs="Calibri" w:cstheme="minorHAnsi"/>
          <w:bCs/>
          <w:sz w:val="24"/>
          <w:szCs w:val="24"/>
          <w:lang w:bidi="hr-HR"/>
        </w:rPr>
        <w:t xml:space="preserve"> koju dostavlja s ponudom </w:t>
      </w:r>
      <w:r>
        <w:rPr>
          <w:rFonts w:cs="Calibri" w:cstheme="minorHAnsi"/>
          <w:b/>
          <w:bCs/>
          <w:sz w:val="24"/>
          <w:szCs w:val="24"/>
          <w:lang w:bidi="hr-HR"/>
        </w:rPr>
        <w:t xml:space="preserve">(Prilog II Dokumentacije za nadmetanje – za točke 3.1.1., 3.1.3., 3.1.4., 3.1.5. i 3.1.6.) i </w:t>
      </w:r>
    </w:p>
    <w:p>
      <w:pPr>
        <w:pStyle w:val="ListParagraph"/>
        <w:numPr>
          <w:ilvl w:val="0"/>
          <w:numId w:val="13"/>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potvrdom Porezne uprave o stanju duga</w:t>
      </w:r>
      <w:r>
        <w:rPr>
          <w:rFonts w:cs="Calibri" w:cstheme="minorHAnsi"/>
          <w:b/>
          <w:bCs/>
          <w:sz w:val="24"/>
          <w:szCs w:val="24"/>
          <w:lang w:bidi="hr-HR"/>
        </w:rPr>
        <w:t xml:space="preserve"> koja ne smije biti starija od 30 dana računajući od dana početka postupka, u originalu ili neovjerenoj preslici – za točku 3.1.2. </w:t>
      </w:r>
    </w:p>
    <w:p>
      <w:pPr>
        <w:pStyle w:val="ListParagraph"/>
        <w:numPr>
          <w:ilvl w:val="0"/>
          <w:numId w:val="13"/>
        </w:numPr>
        <w:tabs>
          <w:tab w:val="clear" w:pos="709"/>
          <w:tab w:val="left" w:pos="567" w:leader="none"/>
        </w:tabs>
        <w:spacing w:lineRule="atLeast" w:line="23" w:before="0" w:after="0"/>
        <w:contextualSpacing/>
        <w:jc w:val="both"/>
        <w:rPr>
          <w:rFonts w:cs="Calibri" w:cstheme="minorHAnsi"/>
          <w:bCs/>
          <w:sz w:val="24"/>
          <w:szCs w:val="24"/>
          <w:lang w:bidi="hr-HR"/>
        </w:rPr>
      </w:pPr>
      <w:bookmarkStart w:id="42" w:name="_Toc398548209"/>
      <w:bookmarkStart w:id="43" w:name="_Toc398561307"/>
      <w:bookmarkStart w:id="44" w:name="_Toc398564552"/>
      <w:bookmarkStart w:id="45" w:name="_Toc398624084"/>
      <w:bookmarkStart w:id="46" w:name="_Toc399159457"/>
      <w:r>
        <w:rPr>
          <w:rFonts w:cs="Calibri" w:cstheme="minorHAnsi"/>
          <w:bCs/>
          <w:sz w:val="24"/>
          <w:szCs w:val="24"/>
          <w:lang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nabave, ako se u državi sjedišta gospodarskog subjekta ne izdaje potvrda Porezne uprave ili jednakovrijedni dokument nadležnog tijela države sjedišta gospodarskog subjekta.</w:t>
      </w:r>
    </w:p>
    <w:p>
      <w:pPr>
        <w:pStyle w:val="ListParagraph"/>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284" w:hanging="360"/>
        <w:contextualSpacing/>
        <w:jc w:val="both"/>
        <w:rPr>
          <w:rFonts w:cs="Calibri" w:cstheme="minorHAnsi"/>
          <w:bCs/>
          <w:sz w:val="24"/>
          <w:szCs w:val="24"/>
          <w:lang w:bidi="hr-HR"/>
        </w:rPr>
      </w:pPr>
      <w:r>
        <w:rPr>
          <w:rFonts w:cs="Calibri" w:cstheme="minorHAnsi"/>
          <w:bCs/>
          <w:sz w:val="24"/>
          <w:szCs w:val="24"/>
          <w:lang w:bidi="hr-HR"/>
        </w:rPr>
        <w:t xml:space="preserve">U slučaju </w:t>
      </w:r>
      <w:r>
        <w:rPr>
          <w:rFonts w:cs="Calibri" w:cstheme="minorHAnsi"/>
          <w:b/>
          <w:bCs/>
          <w:sz w:val="24"/>
          <w:szCs w:val="24"/>
          <w:lang w:bidi="hr-HR"/>
        </w:rPr>
        <w:t>zajednice</w:t>
      </w:r>
      <w:r>
        <w:rPr>
          <w:rFonts w:cs="Calibri" w:cstheme="minorHAnsi"/>
          <w:bCs/>
          <w:sz w:val="24"/>
          <w:szCs w:val="24"/>
          <w:lang w:bidi="hr-HR"/>
        </w:rPr>
        <w:t xml:space="preserve"> </w:t>
      </w:r>
      <w:r>
        <w:rPr>
          <w:rFonts w:cs="Calibri" w:cstheme="minorHAnsi"/>
          <w:b/>
          <w:bCs/>
          <w:sz w:val="24"/>
          <w:szCs w:val="24"/>
          <w:lang w:bidi="hr-HR"/>
        </w:rPr>
        <w:t>ponuditelja</w:t>
      </w:r>
      <w:r>
        <w:rPr>
          <w:rFonts w:cs="Calibri" w:cstheme="minorHAnsi"/>
          <w:bCs/>
          <w:sz w:val="24"/>
          <w:szCs w:val="24"/>
          <w:lang w:bidi="hr-HR"/>
        </w:rPr>
        <w:t xml:space="preserve">, okolnosti vezane uz razloge isključenja utvrđuju se za sve članove zajednice ponuditelja </w:t>
      </w:r>
      <w:r>
        <w:rPr>
          <w:rFonts w:cs="Calibri" w:cstheme="minorHAnsi"/>
          <w:b/>
          <w:bCs/>
          <w:sz w:val="24"/>
          <w:szCs w:val="24"/>
          <w:lang w:bidi="hr-HR"/>
        </w:rPr>
        <w:t>pojedinačno te traženu izjavu mora potpisati svaki član zajednice ponuditelja,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2"/>
        </w:numPr>
        <w:tabs>
          <w:tab w:val="clear" w:pos="709"/>
          <w:tab w:val="left" w:pos="567" w:leader="none"/>
        </w:tabs>
        <w:spacing w:lineRule="atLeast" w:line="23" w:before="0" w:after="0"/>
        <w:ind w:left="142" w:hanging="218"/>
        <w:contextualSpacing/>
        <w:jc w:val="both"/>
        <w:rPr>
          <w:rFonts w:cs="Calibri" w:cstheme="minorHAnsi"/>
          <w:sz w:val="24"/>
          <w:szCs w:val="24"/>
          <w:lang w:bidi="hr-HR"/>
        </w:rPr>
      </w:pPr>
      <w:r>
        <w:rPr>
          <w:rFonts w:cs="Calibri" w:cstheme="minorHAnsi"/>
          <w:color w:val="000000"/>
          <w:sz w:val="24"/>
          <w:szCs w:val="24"/>
        </w:rPr>
        <w:t>U slučaju</w:t>
      </w:r>
      <w:r>
        <w:rPr>
          <w:rFonts w:cs="Calibri" w:cstheme="minorHAnsi"/>
          <w:b/>
          <w:color w:val="000000"/>
          <w:sz w:val="24"/>
          <w:szCs w:val="24"/>
        </w:rPr>
        <w:t xml:space="preserve"> podugovaratelja</w:t>
      </w:r>
      <w:r>
        <w:rPr>
          <w:rFonts w:cs="Calibri" w:cstheme="minorHAnsi"/>
          <w:color w:val="000000"/>
          <w:sz w:val="24"/>
          <w:szCs w:val="24"/>
        </w:rPr>
        <w:t xml:space="preserve">, </w:t>
      </w:r>
      <w:r>
        <w:rPr>
          <w:rFonts w:cs="Calibri" w:cstheme="minorHAnsi"/>
          <w:bCs/>
          <w:sz w:val="24"/>
          <w:szCs w:val="24"/>
          <w:lang w:bidi="hr-HR"/>
        </w:rPr>
        <w:t xml:space="preserve">okolnosti vezane uz razloge isključenja utvrđuju se za sve podugovaratelje </w:t>
      </w:r>
      <w:r>
        <w:rPr>
          <w:rFonts w:cs="Calibri" w:cstheme="minorHAnsi"/>
          <w:b/>
          <w:bCs/>
          <w:sz w:val="24"/>
          <w:szCs w:val="24"/>
          <w:lang w:bidi="hr-HR"/>
        </w:rPr>
        <w:t>pojedinačno te traženu izjavu mora potpisati svaki podugovaratelj,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 Ukoliko neki od razloga isključenja postoji kod podugovaratelja, </w:t>
      </w:r>
      <w:r>
        <w:rPr>
          <w:rFonts w:cs="Calibri" w:cstheme="minorHAnsi"/>
          <w:color w:val="000000"/>
          <w:sz w:val="24"/>
          <w:szCs w:val="24"/>
        </w:rPr>
        <w:t>Naručitelj će u postupku pregleda ocjene ponuda ili prijava zahtijevati da gospodarski subjekt zamijeni podugovaratelja kod kojeg postoji neki od razloga za isključenje.</w:t>
      </w:r>
      <w:bookmarkEnd w:id="42"/>
      <w:bookmarkEnd w:id="43"/>
      <w:bookmarkEnd w:id="44"/>
      <w:bookmarkEnd w:id="45"/>
      <w:bookmarkEnd w:id="46"/>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 xml:space="preserve">UVJETI I DOKAZI KVALIFIKACIJE PONUDITELJA (UVJETI SPOSPOBNOSTI) </w:t>
      </w:r>
    </w:p>
    <w:p>
      <w:pPr>
        <w:pStyle w:val="Normal"/>
        <w:tabs>
          <w:tab w:val="clear" w:pos="709"/>
          <w:tab w:val="left" w:pos="567" w:leader="none"/>
          <w:tab w:val="left" w:pos="4629"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Sposobnost za obavljanje profesionalne djelatnosti</w:t>
      </w:r>
    </w:p>
    <w:p>
      <w:pPr>
        <w:pStyle w:val="Normal"/>
        <w:spacing w:lineRule="atLeast" w:line="23" w:before="0" w:after="0"/>
        <w:jc w:val="both"/>
        <w:rPr>
          <w:rFonts w:cs="Calibri" w:cstheme="minorHAnsi"/>
          <w:b/>
          <w:b/>
          <w:bCs/>
          <w:sz w:val="24"/>
          <w:szCs w:val="24"/>
          <w:highlight w:val="green"/>
        </w:rPr>
      </w:pPr>
      <w:r>
        <w:rPr>
          <w:rFonts w:cs="Calibri" w:cstheme="minorHAnsi"/>
          <w:b/>
          <w:bCs/>
          <w:sz w:val="24"/>
          <w:szCs w:val="24"/>
          <w:highlight w:val="green"/>
        </w:rPr>
      </w:r>
    </w:p>
    <w:p>
      <w:pPr>
        <w:pStyle w:val="Normal"/>
        <w:spacing w:lineRule="atLeast" w:line="23" w:before="0" w:after="0"/>
        <w:jc w:val="both"/>
        <w:rPr>
          <w:rFonts w:cs="Calibri" w:cstheme="minorHAnsi"/>
          <w:sz w:val="24"/>
          <w:szCs w:val="24"/>
        </w:rPr>
      </w:pPr>
      <w:r>
        <w:rPr>
          <w:rFonts w:cs="Calibri" w:cstheme="minorHAnsi"/>
          <w:b/>
          <w:bCs/>
          <w:sz w:val="24"/>
          <w:szCs w:val="24"/>
        </w:rPr>
        <w:t xml:space="preserve">4.1.1. Izvadak iz sudskog, obrtnog, strukovnog ili drugog odgovarajućeg registra države sjedišta </w:t>
      </w:r>
      <w:r>
        <w:rPr>
          <w:rFonts w:cs="Calibri" w:cstheme="minorHAnsi"/>
          <w:sz w:val="24"/>
          <w:szCs w:val="24"/>
        </w:rPr>
        <w:t>kojim ponuditelj dokazuje upis u sudski, obrtni, strukovni ili drugi odgovarajući registar države sjedišta.</w:t>
      </w:r>
    </w:p>
    <w:p>
      <w:pPr>
        <w:pStyle w:val="Normal"/>
        <w:spacing w:lineRule="atLeast" w:line="23" w:before="0" w:after="0"/>
        <w:jc w:val="both"/>
        <w:rPr>
          <w:rFonts w:cs="Calibri" w:cstheme="minorHAnsi"/>
          <w:b/>
          <w:b/>
          <w:bCs/>
          <w:sz w:val="24"/>
          <w:szCs w:val="24"/>
          <w:u w:val="single"/>
        </w:rPr>
      </w:pPr>
      <w:r>
        <w:rPr>
          <w:rFonts w:cs="Calibri" w:cstheme="minorHAnsi"/>
          <w:b/>
          <w:sz w:val="24"/>
          <w:szCs w:val="24"/>
        </w:rPr>
        <w:t>Izvod ne smije biti stariji od šest mjeseci računajući od dana početka postupka nabave.</w:t>
      </w:r>
      <w:r>
        <w:rPr>
          <w:rFonts w:cs="Calibri" w:cstheme="minorHAnsi"/>
          <w:b/>
          <w:bCs/>
          <w:sz w:val="24"/>
          <w:szCs w:val="24"/>
          <w:u w:val="single"/>
        </w:rPr>
        <w:t xml:space="preserve"> Izvod se može dostaviti u originalu ili neovjerenoj preslici.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U slučaju zajednice ponuditelja i podugovaratelja traženu sposobnost obvezni su pojedinačno dokazati članovi zajednice ponuditelja i podugovaratelji.</w:t>
      </w:r>
    </w:p>
    <w:p>
      <w:pPr>
        <w:pStyle w:val="Default"/>
        <w:spacing w:lineRule="atLeast" w:line="23"/>
        <w:jc w:val="both"/>
        <w:rPr>
          <w:rFonts w:ascii="Calibri" w:hAnsi="Calibri" w:cs="Calibri" w:asciiTheme="minorHAnsi" w:cstheme="minorHAnsi" w:hAnsiTheme="minorHAnsi"/>
          <w:bCs/>
          <w:lang w:val="hr-HR" w:bidi="hr-HR"/>
        </w:rPr>
      </w:pPr>
      <w:r>
        <w:rPr>
          <w:rFonts w:cs="Calibri" w:cstheme="minorHAnsi" w:ascii="Calibri" w:hAnsi="Calibri"/>
          <w:bCs/>
          <w:lang w:val="hr-HR"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Tehnička i stručna sposobnost </w:t>
      </w:r>
    </w:p>
    <w:p>
      <w:pPr>
        <w:pStyle w:val="T98"/>
        <w:numPr>
          <w:ilvl w:val="2"/>
          <w:numId w:val="3"/>
        </w:numPr>
        <w:spacing w:lineRule="atLeast" w:line="23" w:beforeAutospacing="0" w:before="280" w:afterAutospacing="0" w:after="0"/>
        <w:ind w:left="0" w:hanging="0"/>
        <w:jc w:val="both"/>
        <w:rPr>
          <w:rFonts w:asciiTheme="minorHAnsi" w:cstheme="minorHAnsi" w:hAnsiTheme="minorHAnsi"/>
          <w:shd w:fill="auto" w:val="clear"/>
        </w:rPr>
      </w:pPr>
      <w:r>
        <w:rPr>
          <w:rFonts w:cs="Calibri" w:cstheme="minorHAnsi" w:ascii="Calibri" w:hAnsi="Calibri"/>
          <w:bCs/>
          <w:shd w:fill="auto" w:val="clear"/>
          <w:lang w:bidi="hr-HR"/>
        </w:rPr>
        <w:t xml:space="preserve">Ponuditelj mora dokazati da je u godini u kojoj je započeo postupak nabave i tijekom pet godina koje prethode toj godini (2020. - 2016.), uredno izveo </w:t>
      </w:r>
      <w:r>
        <w:rPr>
          <w:rFonts w:cs="Calibri" w:cstheme="minorHAnsi" w:ascii="Calibri" w:hAnsi="Calibri"/>
          <w:b/>
          <w:bCs/>
          <w:shd w:fill="auto" w:val="clear"/>
          <w:lang w:bidi="hr-HR"/>
        </w:rPr>
        <w:t>najmanje jedne, a najviše pet radova istih ili sličnih predmetu nabave, a čija je kumulativna vrijednost najmanje 2.000.000,00 kuna bez PDV-a.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Kao dokaz ispunjenja uvjeta tehničke i stručne sposobnosti ponuditelj dostavlja Popis glavnih isporuka robe u godini u kojoj je započeo postupak nabave i tijekom tri godine koje prethode toj godini (Prilog III).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br/>
        <w:t>Popis sadržava:</w:t>
      </w:r>
    </w:p>
    <w:p>
      <w:pPr>
        <w:pStyle w:val="ListParagraph"/>
        <w:numPr>
          <w:ilvl w:val="0"/>
          <w:numId w:val="19"/>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opis izvršene isporuke robe</w:t>
      </w:r>
    </w:p>
    <w:p>
      <w:pPr>
        <w:pStyle w:val="ListParagraph"/>
        <w:numPr>
          <w:ilvl w:val="0"/>
          <w:numId w:val="19"/>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vrijednost bez PDV-a</w:t>
      </w:r>
    </w:p>
    <w:p>
      <w:pPr>
        <w:pStyle w:val="ListParagraph"/>
        <w:numPr>
          <w:ilvl w:val="0"/>
          <w:numId w:val="19"/>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mjesto i datum izvršenja </w:t>
      </w:r>
    </w:p>
    <w:p>
      <w:pPr>
        <w:pStyle w:val="ListParagraph"/>
        <w:numPr>
          <w:ilvl w:val="0"/>
          <w:numId w:val="19"/>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naziv druge ugovorne strane.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Ako je potrebno, Naručitelj može izravno od druge ugovorne strane zatražiti provjeru istinitosti potvrde. </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U slučaju zajednice gospodarskih subjekata, svi članovi zajednice zajedno dužni su dokazati (kumulativno) zajedničku tehničku i stručnu sposobnost.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Financijska sposobnost</w:t>
      </w:r>
    </w:p>
    <w:p>
      <w:pPr>
        <w:pStyle w:val="T98"/>
        <w:spacing w:lineRule="atLeast" w:line="23" w:beforeAutospacing="0" w:before="280" w:afterAutospacing="0" w:after="0"/>
        <w:jc w:val="both"/>
        <w:rPr>
          <w:rFonts w:ascii="Calibri" w:hAnsi="Calibri" w:eastAsia="Calibri" w:cs="Calibri" w:asciiTheme="minorHAnsi" w:cstheme="minorHAnsi" w:eastAsiaTheme="minorHAnsi" w:hAnsiTheme="minorHAnsi"/>
          <w:bCs/>
          <w:lang w:eastAsia="en-US" w:bidi="hr-HR"/>
        </w:rPr>
      </w:pPr>
      <w:r>
        <w:rPr>
          <w:rFonts w:eastAsia="Calibri" w:cs="Calibri" w:ascii="Calibri" w:hAnsi="Calibri" w:asciiTheme="minorHAnsi" w:cstheme="minorHAnsi" w:eastAsiaTheme="minorHAnsi" w:hAnsiTheme="minorHAnsi"/>
          <w:bCs/>
          <w:lang w:eastAsia="en-US" w:bidi="hr-HR"/>
        </w:rPr>
        <w:t xml:space="preserve">Ponuditelj mora dokazati da je ostvario </w:t>
      </w:r>
      <w:r>
        <w:rPr>
          <w:rFonts w:eastAsia="Calibri" w:cs="Calibri" w:ascii="Calibri" w:hAnsi="Calibri" w:asciiTheme="minorHAnsi" w:cstheme="minorHAnsi" w:eastAsiaTheme="minorHAnsi" w:hAnsiTheme="minorHAnsi"/>
          <w:b/>
          <w:bCs/>
          <w:lang w:eastAsia="en-US" w:bidi="hr-HR"/>
        </w:rPr>
        <w:t>ukupni godišnji promet</w:t>
      </w:r>
      <w:r>
        <w:rPr>
          <w:rFonts w:eastAsia="Calibri" w:cs="Calibri" w:ascii="Calibri" w:hAnsi="Calibri" w:asciiTheme="minorHAnsi" w:cstheme="minorHAnsi" w:eastAsiaTheme="minorHAnsi" w:hAnsiTheme="minorHAnsi"/>
          <w:bCs/>
          <w:lang w:eastAsia="en-US" w:bidi="hr-HR"/>
        </w:rPr>
        <w:t xml:space="preserve"> za svaku od tri posljednje dostupne financijske godine (2018., 2019., 2020.), ovisno o datumu osnivanja ili početka obavljanja djelatnosti gospodarskog subjekta, ako je informacija o ovim prometima d</w:t>
      </w:r>
      <w:r>
        <w:rPr>
          <w:rFonts w:eastAsia="Calibri" w:cs="Calibri" w:ascii="Calibri" w:hAnsi="Calibri" w:asciiTheme="minorHAnsi" w:cstheme="minorHAnsi" w:eastAsiaTheme="minorHAnsi" w:hAnsiTheme="minorHAnsi"/>
          <w:bCs/>
          <w:shd w:fill="auto" w:val="clear"/>
          <w:lang w:eastAsia="en-US" w:bidi="hr-HR"/>
        </w:rPr>
        <w:t xml:space="preserve">ostupna, </w:t>
      </w:r>
      <w:r>
        <w:rPr>
          <w:rFonts w:eastAsia="Calibri" w:cs="Calibri" w:ascii="Calibri" w:hAnsi="Calibri" w:asciiTheme="minorHAnsi" w:cstheme="minorHAnsi" w:eastAsiaTheme="minorHAnsi" w:hAnsiTheme="minorHAnsi"/>
          <w:b/>
          <w:bCs/>
          <w:shd w:fill="auto" w:val="clear"/>
          <w:lang w:eastAsia="en-US" w:bidi="hr-HR"/>
        </w:rPr>
        <w:t>minimalno u iznosu 2.000.000,00 kuna</w:t>
      </w:r>
      <w:r>
        <w:rPr>
          <w:rFonts w:eastAsia="Calibri" w:cs="Calibri" w:ascii="Calibri" w:hAnsi="Calibri" w:asciiTheme="minorHAnsi" w:cstheme="minorHAnsi" w:eastAsiaTheme="minorHAnsi" w:hAnsiTheme="minorHAnsi"/>
          <w:bCs/>
          <w:shd w:fill="auto" w:val="clear"/>
          <w:lang w:eastAsia="en-US" w:bidi="hr-HR"/>
        </w:rPr>
        <w:t>.</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Cs/>
          <w:sz w:val="24"/>
          <w:szCs w:val="24"/>
          <w:lang w:bidi="hr-HR"/>
        </w:rPr>
        <w:t xml:space="preserve">Kao dokaz ispunjenja uvjeta financijske sposobnosti, </w:t>
      </w:r>
      <w:r>
        <w:rPr>
          <w:rFonts w:cs="Calibri" w:cstheme="minorHAnsi"/>
          <w:b/>
          <w:bCs/>
          <w:sz w:val="24"/>
          <w:szCs w:val="24"/>
          <w:lang w:bidi="hr-HR"/>
        </w:rPr>
        <w:t xml:space="preserve">ponuditelj dostavlja izjavu </w:t>
      </w:r>
      <w:r>
        <w:rPr>
          <w:rFonts w:cs="Calibri" w:cstheme="minorHAnsi"/>
          <w:b/>
          <w:sz w:val="24"/>
          <w:szCs w:val="24"/>
        </w:rPr>
        <w:t>osobe ovlaštene za zastupanje gospodarskog subjekta (Prilog IV).</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 xml:space="preserve">Kao dokaz ispunjenja uvjeta financijske sposobnosti, NOJN može u bilo kojem trenutku tijekom postupka nabave, zahtijevati od ponuditelja da prije sklapanja ugovora dostavi drugi prikladan dokaz (račun dobiti i gubitka ili drugi odgovarajući financijski izvještaj). </w:t>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U slučaju zajednice gospodarskih subjekta, svi članovi zajednice zajedno dužni su dokazati (kumulativno) zajedničku financijsku sposobnost.</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4.4. Za dokazivanje uvjeta pod točkom 4.2 i 4.3, Ponuditelj se može osloniti na sposobnost drugih subjekata, bez obzira na pravnu prirodu njihova međusobna odnosa. Ponuditelji se mogu osloniti na sposobnost drugih subjekata radi dokazivanja ispunjenja kriterija koji su vezani uz obrazovne i stručne kvalifikacije ili uz relevantno stručno iskustvo samo ako će ti subjekti izvoditi  radove za koje se ta sposobnost traži.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provjeriti ispunjavaju li drugi subjekti na čiju se sposobnost ponuditelj oslanja relevantne kriterije za odabir gospodarskog subjekta te postoje li osnove za njihovo isključenje.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od ponuditelja zahtijevati da zamijeni subjekt na čiju se sposobnost oslonio radi dokazivanja kriterija za odabir ako, na temelju provjere utvrdi da kod tog subjekta postoje osnove za isključenje ili da ne udovoljava relevantnim kriterijima za odabir gospodarskog subjekta.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Ako se ponuditelj oslanja na sposobnost drugih subjekata radi dokazivanja ispunjavanja kriterija financijske sposobnosti, Naručitelj će zahtijevati njihovu solidarnu odgovornost za izvršenje ugovora.</w:t>
      </w:r>
    </w:p>
    <w:p>
      <w:pPr>
        <w:pStyle w:val="T98"/>
        <w:spacing w:lineRule="atLeast" w:line="23" w:beforeAutospacing="0" w:before="280" w:afterAutospacing="0" w:after="0"/>
        <w:jc w:val="both"/>
        <w:rPr>
          <w:rFonts w:ascii="Calibri" w:hAnsi="Calibri" w:cs="Calibri" w:asciiTheme="minorHAnsi" w:cstheme="minorHAnsi" w:hAnsiTheme="minorHAnsi"/>
          <w:b/>
          <w:b/>
          <w:bCs/>
          <w:lang w:bidi="hr-HR"/>
        </w:rPr>
      </w:pPr>
      <w:r>
        <w:rPr>
          <w:rFonts w:cs="Calibri" w:ascii="Calibri" w:hAnsi="Calibri" w:asciiTheme="minorHAnsi" w:cstheme="minorHAnsi" w:hAnsiTheme="minorHAnsi"/>
          <w:b/>
          <w:bCs/>
          <w:lang w:bidi="hr-HR"/>
        </w:rPr>
        <w:t xml:space="preserve">Ponuditelj mora dokazati Naručitelju da će imati na raspolaganju resurse nužne za izvršenje ugovora, primjerice, prihvaćanjem obveze drugih subjekata da će te resurse staviti na raspolaganje gospodarskom subjektu (izjava ili ugovor). </w:t>
      </w:r>
    </w:p>
    <w:p>
      <w:pPr>
        <w:pStyle w:val="T98"/>
        <w:spacing w:lineRule="atLeast" w:line="23" w:beforeAutospacing="0" w:before="280" w:afterAutospacing="0" w:after="0"/>
        <w:jc w:val="both"/>
        <w:rPr>
          <w:rFonts w:ascii="Calibri" w:hAnsi="Calibri" w:cs="Calibri" w:asciiTheme="minorHAnsi" w:cstheme="minorHAnsi" w:hAnsiTheme="minorHAnsi"/>
          <w:b/>
          <w:b/>
          <w:bCs/>
          <w:lang w:bidi="hr-HR"/>
        </w:rPr>
      </w:pPr>
      <w:r>
        <w:rPr>
          <w:rFonts w:cs="Calibri" w:cstheme="minorHAnsi" w:ascii="Calibri" w:hAnsi="Calibri"/>
          <w:b/>
          <w:bCs/>
          <w:lang w:bidi="hr-HR"/>
        </w:rPr>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Pod istim uvjetima, zajednica ponuditelja može se osloniti na sposobnost članova zajednice ponuditelja ili drugih subjekata.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5.1  Sadržaj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Pri izradi ponude, ponuditelj se mora pridržavati zahtjeva i uvjeta iz dokumentacije i svih njenih priloga te ne smije ni na koji način mijenjati i nadopunjavati tekst dokumentacije. </w:t>
        <w:b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Ponuda mora sadržavati najmanje:</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popunjeni ponudbeni list (</w:t>
      </w:r>
      <w:r>
        <w:rPr>
          <w:rFonts w:cs="Calibri" w:cstheme="minorHAnsi"/>
          <w:b/>
          <w:bCs/>
          <w:sz w:val="24"/>
          <w:szCs w:val="24"/>
          <w:lang w:bidi="hr-HR"/>
        </w:rPr>
        <w:t>Prilog I</w:t>
      </w:r>
      <w:r>
        <w:rPr>
          <w:rFonts w:cs="Calibri" w:cstheme="minorHAnsi"/>
          <w:bCs/>
          <w:sz w:val="24"/>
          <w:szCs w:val="24"/>
          <w:lang w:bidi="hr-HR"/>
        </w:rPr>
        <w:t xml:space="preserve"> Dokumentacije za nadmetanje) i </w:t>
      </w:r>
      <w:r>
        <w:rPr>
          <w:rFonts w:cs="Calibri" w:cstheme="minorHAnsi"/>
          <w:b/>
          <w:bCs/>
          <w:sz w:val="24"/>
          <w:szCs w:val="24"/>
          <w:lang w:bidi="hr-HR"/>
        </w:rPr>
        <w:t xml:space="preserve">Dodatak 1 – </w:t>
      </w:r>
      <w:r>
        <w:rPr>
          <w:rFonts w:cs="Calibri" w:cstheme="minorHAnsi"/>
          <w:bCs/>
          <w:sz w:val="24"/>
          <w:szCs w:val="24"/>
          <w:lang w:bidi="hr-HR"/>
        </w:rPr>
        <w:t>samo</w:t>
      </w:r>
      <w:r>
        <w:rPr>
          <w:rFonts w:cs="Calibri" w:cstheme="minorHAnsi"/>
          <w:b/>
          <w:bCs/>
          <w:sz w:val="24"/>
          <w:szCs w:val="24"/>
          <w:lang w:bidi="hr-HR"/>
        </w:rPr>
        <w:t xml:space="preserve"> </w:t>
      </w:r>
      <w:r>
        <w:rPr>
          <w:rFonts w:cs="Calibri" w:cstheme="minorHAnsi"/>
          <w:bCs/>
          <w:sz w:val="24"/>
          <w:szCs w:val="24"/>
          <w:lang w:bidi="hr-HR"/>
        </w:rPr>
        <w:t>u slučaju davanja dijela ugovora podugovarateljima;</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Izjava o nepostojanju razloga isključenja (</w:t>
      </w:r>
      <w:r>
        <w:rPr>
          <w:rFonts w:cs="Calibri" w:cstheme="minorHAnsi"/>
          <w:b/>
          <w:bCs/>
          <w:sz w:val="24"/>
          <w:szCs w:val="24"/>
          <w:lang w:bidi="hr-HR"/>
        </w:rPr>
        <w:t>Prilog II</w:t>
      </w:r>
      <w:r>
        <w:rPr>
          <w:rFonts w:cs="Calibri" w:cstheme="minorHAnsi"/>
          <w:bCs/>
          <w:sz w:val="24"/>
          <w:szCs w:val="24"/>
          <w:lang w:bidi="hr-HR"/>
        </w:rPr>
        <w:t xml:space="preserve"> Dokumentacije za nadmetanje - izjavom ponuditelj dokazuje da ne postoje razlozi isključenja iz točke 3.  Dokumentacije za nadmetanje);</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Potvrda Porezne uprave o nepostojanju duga;</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 </w:t>
      </w:r>
      <w:r>
        <w:rPr>
          <w:rFonts w:cs="Calibri" w:cstheme="minorHAnsi"/>
          <w:bCs/>
          <w:sz w:val="24"/>
          <w:szCs w:val="24"/>
        </w:rPr>
        <w:t>Izvadak iz sudskog, obrtnog, strukovnog ili drugog odgovarajućeg registra države sjedišta;</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Popis glavnih isporuka robe </w:t>
      </w:r>
      <w:r>
        <w:rPr>
          <w:rFonts w:cs="Calibri" w:cstheme="minorHAnsi"/>
          <w:b/>
          <w:bCs/>
          <w:sz w:val="24"/>
          <w:szCs w:val="24"/>
        </w:rPr>
        <w:t>(Prilog III)</w:t>
      </w:r>
      <w:r>
        <w:rPr>
          <w:rFonts w:cs="Calibri" w:cstheme="minorHAnsi"/>
          <w:bCs/>
          <w:sz w:val="24"/>
          <w:szCs w:val="24"/>
        </w:rPr>
        <w:t>;</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ukupnom godišnjem prometu </w:t>
      </w:r>
      <w:r>
        <w:rPr>
          <w:rFonts w:cs="Calibri" w:cstheme="minorHAnsi"/>
          <w:b/>
          <w:bCs/>
          <w:sz w:val="24"/>
          <w:szCs w:val="24"/>
          <w:lang w:bidi="hr-HR"/>
        </w:rPr>
        <w:t>(Prilog IV);</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solidarnoj odgovornosti zajednice ponuditelja, ako je primjenjivo </w:t>
      </w:r>
      <w:r>
        <w:rPr>
          <w:rFonts w:cs="Calibri" w:cstheme="minorHAnsi"/>
          <w:b/>
          <w:bCs/>
          <w:sz w:val="24"/>
          <w:szCs w:val="24"/>
          <w:lang w:bidi="hr-HR"/>
        </w:rPr>
        <w:t>(Prilog V);</w:t>
      </w:r>
    </w:p>
    <w:p>
      <w:pPr>
        <w:pStyle w:val="ListParagraph"/>
        <w:numPr>
          <w:ilvl w:val="0"/>
          <w:numId w:val="18"/>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popunjeni Troškovnik (</w:t>
      </w:r>
      <w:r>
        <w:rPr>
          <w:rFonts w:cs="Calibri" w:cstheme="minorHAnsi"/>
          <w:b/>
          <w:bCs/>
          <w:sz w:val="24"/>
          <w:szCs w:val="24"/>
          <w:lang w:bidi="hr-HR"/>
        </w:rPr>
        <w:t>Prilog VI)</w:t>
      </w:r>
    </w:p>
    <w:p>
      <w:pPr>
        <w:pStyle w:val="ListParagraph"/>
        <w:numPr>
          <w:ilvl w:val="0"/>
          <w:numId w:val="18"/>
        </w:numPr>
        <w:tabs>
          <w:tab w:val="clear" w:pos="709"/>
          <w:tab w:val="left" w:pos="567" w:leader="none"/>
        </w:tabs>
        <w:spacing w:lineRule="atLeast" w:line="23" w:before="0" w:after="0"/>
        <w:contextualSpacing/>
        <w:jc w:val="both"/>
        <w:rPr/>
      </w:pPr>
      <w:r>
        <w:rPr>
          <w:rFonts w:cs="Calibri" w:cstheme="minorHAnsi"/>
          <w:sz w:val="24"/>
          <w:szCs w:val="24"/>
          <w:lang w:bidi="hr-HR"/>
        </w:rPr>
        <w:t>Jamstvo za ozbiljnost ponude (bankarska garancija ili potvrda uplate novčanog pologa).</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Ponuda  mora biti izrađena u papirnatom obliku, otisnuta ili pisana neizbrisivom tintom, a predaje se u izvorniku. Predaje se jedan original ponude.</w:t>
        <w:br/>
        <w:t xml:space="preserve"> Ponuda se zajedno s pripadajućom dokumentacijom izrađuje na hrvatskom jeziku i latiničnom pismu. </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Cijena ponude izražava se u kunama (HRK), na najviše dvije decimale.</w:t>
      </w:r>
      <w:r>
        <w:rPr>
          <w:rFonts w:cs="Calibri" w:cstheme="minorHAnsi"/>
          <w:sz w:val="24"/>
          <w:szCs w:val="24"/>
        </w:rPr>
        <w:t xml:space="preserve"> </w:t>
      </w:r>
      <w:r>
        <w:rPr>
          <w:rFonts w:cs="Calibri" w:cstheme="minorHAnsi"/>
          <w:bCs/>
          <w:sz w:val="24"/>
          <w:szCs w:val="24"/>
          <w:lang w:bidi="hr-HR"/>
        </w:rPr>
        <w:t>Cijena ponude je fiksna i nepromjenjiva tijekom trajanja ugovora o nabavi.</w:t>
      </w:r>
    </w:p>
    <w:p>
      <w:pPr>
        <w:pStyle w:val="Normal"/>
        <w:spacing w:before="0" w:after="0"/>
        <w:rPr>
          <w:rFonts w:cs="Calibri" w:cstheme="minorHAnsi"/>
          <w:bCs/>
          <w:sz w:val="24"/>
          <w:szCs w:val="24"/>
          <w:lang w:bidi="hr-HR"/>
        </w:rPr>
      </w:pPr>
      <w:r>
        <w:rPr>
          <w:rFonts w:cs="Calibri" w:cstheme="minorHAnsi"/>
          <w:bCs/>
          <w:sz w:val="24"/>
          <w:szCs w:val="24"/>
          <w:lang w:bidi="hr-HR"/>
        </w:rPr>
      </w:r>
    </w:p>
    <w:p>
      <w:pPr>
        <w:pStyle w:val="Normal"/>
        <w:numPr>
          <w:ilvl w:val="1"/>
          <w:numId w:val="11"/>
        </w:numPr>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Ponuditelj je u Troškovniku dužan ponuditi, tj. upisati jediničnu cijenu za svaku stavku i ukupnu cijenu bez poreza na dodanu vrijednost (PDV-a). Cijene se iskazuju na dvije decimale.</w:t>
      </w:r>
    </w:p>
    <w:p>
      <w:pPr>
        <w:pStyle w:val="Normal"/>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Normal"/>
        <w:spacing w:lineRule="atLeast" w:line="23" w:before="0" w:after="0"/>
        <w:ind w:left="360" w:hanging="0"/>
        <w:contextualSpacing/>
        <w:jc w:val="both"/>
        <w:rPr>
          <w:rFonts w:cs="Calibri" w:cstheme="minorHAnsi"/>
          <w:bCs/>
          <w:sz w:val="24"/>
          <w:szCs w:val="24"/>
          <w:lang w:bidi="hr-HR"/>
        </w:rPr>
      </w:pPr>
      <w:r>
        <w:rPr>
          <w:rFonts w:cs="Calibri" w:cstheme="minorHAnsi"/>
          <w:b/>
          <w:bCs/>
          <w:sz w:val="24"/>
          <w:szCs w:val="24"/>
          <w:lang w:bidi="hr-HR"/>
        </w:rPr>
        <w:t xml:space="preserve">U cijenu stavke potrebno je uključiti sav potreban rad i materijal prema opisu u troškovniku. </w:t>
        <w:br/>
        <w:br/>
      </w:r>
      <w:r>
        <w:rPr>
          <w:rFonts w:cs="Calibri" w:cstheme="minorHAnsi"/>
          <w:bCs/>
          <w:sz w:val="24"/>
          <w:szCs w:val="24"/>
          <w:lang w:bidi="hr-HR"/>
        </w:rPr>
        <w:t>Cijene po stavkama (jedinične cijene) troškovnika moraju uključivati:</w:t>
      </w:r>
    </w:p>
    <w:p>
      <w:pPr>
        <w:pStyle w:val="ListParagraph"/>
        <w:spacing w:lineRule="atLeast" w:line="23" w:before="0" w:after="0"/>
        <w:ind w:left="1080" w:hanging="0"/>
        <w:contextualSpacing/>
        <w:jc w:val="both"/>
        <w:rPr>
          <w:rFonts w:cs="Calibri" w:cstheme="minorHAnsi"/>
          <w:bCs/>
          <w:sz w:val="24"/>
          <w:szCs w:val="24"/>
          <w:lang w:bidi="hr-HR"/>
        </w:rPr>
      </w:pPr>
      <w:r>
        <w:rPr>
          <w:rFonts w:cs="Calibri" w:cstheme="minorHAnsi"/>
          <w:bCs/>
          <w:sz w:val="24"/>
          <w:szCs w:val="24"/>
          <w:lang w:bidi="hr-HR"/>
        </w:rPr>
        <w:t xml:space="preserve">- nabavu, transport i ugradnju materijala ili opreme na mjestu ugradnje kao i sve ostale zavisne troškove, </w:t>
      </w:r>
    </w:p>
    <w:p>
      <w:pPr>
        <w:pStyle w:val="ListParagraph"/>
        <w:spacing w:lineRule="atLeast" w:line="23" w:before="0" w:after="0"/>
        <w:ind w:left="1080" w:hanging="0"/>
        <w:contextualSpacing/>
        <w:jc w:val="both"/>
        <w:rPr>
          <w:rFonts w:cs="Calibri" w:cstheme="minorHAnsi"/>
          <w:bCs/>
          <w:sz w:val="24"/>
          <w:szCs w:val="24"/>
          <w:lang w:bidi="hr-HR"/>
        </w:rPr>
      </w:pPr>
      <w:r>
        <w:rPr>
          <w:rFonts w:cs="Calibri" w:cstheme="minorHAnsi"/>
          <w:bCs/>
          <w:sz w:val="24"/>
          <w:szCs w:val="24"/>
          <w:lang w:bidi="hr-HR"/>
        </w:rPr>
        <w:t>- mogućnosti pristupa gradilištu, odšteta, troškove osiguranja mjesta za privremeno i trajno odlaganje materijala, naknade za korištenje terena kod deponiranja materijala, troškove električne energije, pitke i tehnološke vode,</w:t>
      </w:r>
    </w:p>
    <w:p>
      <w:pPr>
        <w:pStyle w:val="ListParagraph"/>
        <w:spacing w:lineRule="atLeast" w:line="23" w:before="0" w:after="0"/>
        <w:ind w:left="1080" w:hanging="0"/>
        <w:contextualSpacing/>
        <w:jc w:val="both"/>
        <w:rPr>
          <w:rFonts w:cs="Calibri" w:cstheme="minorHAnsi"/>
          <w:bCs/>
          <w:sz w:val="24"/>
          <w:szCs w:val="24"/>
          <w:lang w:bidi="hr-HR"/>
        </w:rPr>
      </w:pPr>
      <w:r>
        <w:rPr>
          <w:rFonts w:cs="Calibri" w:cstheme="minorHAnsi"/>
          <w:bCs/>
          <w:sz w:val="24"/>
          <w:szCs w:val="24"/>
          <w:lang w:bidi="hr-HR"/>
        </w:rPr>
        <w:t xml:space="preserve">- sve potrebne alate, pomagala pri radu, zaštitu podova i ostalih ugrađenih elemenata, uklanjanje štete načinjene pri radu na okolnim objektima, čišćenje prostorija i gradilišta, </w:t>
      </w:r>
    </w:p>
    <w:p>
      <w:pPr>
        <w:pStyle w:val="ListParagraph"/>
        <w:spacing w:lineRule="atLeast" w:line="23" w:before="0" w:after="0"/>
        <w:ind w:left="1080" w:hanging="0"/>
        <w:contextualSpacing/>
        <w:jc w:val="both"/>
        <w:rPr>
          <w:rFonts w:cs="Calibri" w:cstheme="minorHAnsi"/>
          <w:bCs/>
          <w:sz w:val="24"/>
          <w:szCs w:val="24"/>
          <w:lang w:bidi="hr-HR"/>
        </w:rPr>
      </w:pPr>
      <w:r>
        <w:rPr>
          <w:rFonts w:cs="Calibri" w:cstheme="minorHAnsi"/>
          <w:bCs/>
          <w:sz w:val="24"/>
          <w:szCs w:val="24"/>
          <w:lang w:bidi="hr-HR"/>
        </w:rPr>
        <w:t xml:space="preserve">- odvoz otpada na gradski/županijski deponij, troškove zbrinjavanja otpada, kao i: </w:t>
      </w:r>
    </w:p>
    <w:p>
      <w:pPr>
        <w:pStyle w:val="Normal"/>
        <w:spacing w:lineRule="atLeast" w:line="23" w:before="0" w:after="0"/>
        <w:ind w:left="720" w:hanging="0"/>
        <w:jc w:val="both"/>
        <w:rPr>
          <w:rFonts w:cs="Calibri" w:cstheme="minorHAnsi"/>
          <w:bCs/>
          <w:sz w:val="24"/>
          <w:szCs w:val="24"/>
          <w:lang w:bidi="hr-HR"/>
        </w:rPr>
      </w:pPr>
      <w:r>
        <w:rPr>
          <w:rFonts w:cs="Calibri" w:cstheme="minorHAnsi"/>
          <w:bCs/>
          <w:sz w:val="24"/>
          <w:szCs w:val="24"/>
          <w:lang w:bidi="hr-HR"/>
        </w:rPr>
        <w:t xml:space="preserve">- održavanje: - tijekom izvođenja radova osim na samom gradilištu, potrebno je konstantno održavati čistoću svih prostora na putovima transporta unutar i oko objekta izvan zone predmetnog zahvata. </w:t>
      </w:r>
    </w:p>
    <w:p>
      <w:pPr>
        <w:pStyle w:val="Normal"/>
        <w:spacing w:lineRule="atLeast" w:line="23" w:before="0" w:after="0"/>
        <w:ind w:left="720" w:hanging="0"/>
        <w:jc w:val="both"/>
        <w:rPr>
          <w:rFonts w:cs="Calibri" w:cstheme="minorHAnsi"/>
          <w:bCs/>
          <w:sz w:val="24"/>
          <w:szCs w:val="24"/>
          <w:lang w:bidi="hr-HR"/>
        </w:rPr>
      </w:pPr>
      <w:r>
        <w:rPr>
          <w:rFonts w:cs="Calibri" w:cstheme="minorHAnsi"/>
          <w:bCs/>
          <w:sz w:val="24"/>
          <w:szCs w:val="24"/>
          <w:lang w:bidi="hr-HR"/>
        </w:rPr>
        <w:t>- štete i oštećenja - sve štete učinjene tijekom izvođenja radova na objektima i transportnim putovima, kako unutar, tako i izvan zone zahvata (putovi transporta unutar i oko objekta), ukloniti će se na račun izvođača radova.</w:t>
        <w:br/>
      </w:r>
    </w:p>
    <w:p>
      <w:pPr>
        <w:pStyle w:val="Normal"/>
        <w:spacing w:lineRule="atLeast" w:line="23" w:before="0" w:after="0"/>
        <w:ind w:left="720" w:hanging="0"/>
        <w:jc w:val="both"/>
        <w:rPr>
          <w:rFonts w:cs="Calibri" w:cstheme="minorHAnsi"/>
          <w:bCs/>
          <w:sz w:val="24"/>
          <w:szCs w:val="24"/>
          <w:lang w:bidi="hr-HR"/>
        </w:rPr>
      </w:pPr>
      <w:r>
        <w:rPr>
          <w:rFonts w:cs="Calibri" w:cstheme="minorHAnsi"/>
          <w:b/>
          <w:i/>
          <w:iCs/>
          <w:sz w:val="24"/>
          <w:szCs w:val="24"/>
        </w:rPr>
        <w:t xml:space="preserve">Ponuditelj se upozorava da prije podnošenja ponude prouči cijelu projektno - tehničku dokumentaciju, dozvole i troškovnike, temeljem kojih će se izvoditi radovi na gradnji građevine te da se upozna s lokacijom na kojoj će se izvoditi radovi, jer se kasnije neće moći pozivati na nepoznavanje uvjeta gradnje pa time neće imati pravo na kasniju izmjenu cijene ili bilo koje druge odredbe iz ove Dokumentacije i Ugovora o građenju. </w:t>
      </w:r>
      <w:r>
        <w:rPr>
          <w:rFonts w:cs="Calibri" w:cstheme="minorHAnsi"/>
          <w:b/>
          <w:bCs/>
          <w:sz w:val="24"/>
          <w:szCs w:val="24"/>
          <w:lang w:bidi="hr-HR"/>
        </w:rPr>
        <w:t xml:space="preserve"> </w:t>
      </w:r>
    </w:p>
    <w:p>
      <w:pPr>
        <w:pStyle w:val="Normal"/>
        <w:spacing w:lineRule="atLeast" w:line="23" w:before="0" w:after="0"/>
        <w:ind w:left="360" w:hanging="0"/>
        <w:jc w:val="both"/>
        <w:rPr>
          <w:rFonts w:cs="Calibri" w:cstheme="minorHAnsi"/>
          <w:b/>
          <w:b/>
          <w:bCs/>
          <w:sz w:val="24"/>
          <w:szCs w:val="24"/>
          <w:lang w:bidi="hr-HR"/>
        </w:rPr>
      </w:pPr>
      <w:r>
        <w:rPr>
          <w:rFonts w:cs="Calibri" w:cstheme="minorHAnsi"/>
          <w:b/>
          <w:bCs/>
          <w:sz w:val="24"/>
          <w:szCs w:val="24"/>
          <w:lang w:bidi="hr-HR"/>
        </w:rPr>
      </w:r>
    </w:p>
    <w:p>
      <w:pPr>
        <w:pStyle w:val="Normal"/>
        <w:spacing w:lineRule="atLeast" w:line="23" w:before="0" w:after="0"/>
        <w:ind w:left="360" w:hanging="0"/>
        <w:jc w:val="both"/>
        <w:rPr>
          <w:rFonts w:cs="Calibri" w:cstheme="minorHAnsi"/>
          <w:bCs/>
          <w:sz w:val="24"/>
          <w:szCs w:val="24"/>
          <w:lang w:bidi="hr-HR"/>
        </w:rPr>
      </w:pPr>
      <w:r>
        <w:rPr>
          <w:rFonts w:cs="Calibri" w:cstheme="minorHAnsi"/>
          <w:bCs/>
          <w:sz w:val="24"/>
          <w:szCs w:val="24"/>
          <w:lang w:bidi="hr-HR"/>
        </w:rPr>
        <w:t xml:space="preserve">Ponuditelj u troškovnik unosi cijene (jedinične cijene) koje se izražavaju u kunama i koje pomnožene s količinom stavke daju ukupnu cijenu za svaku od stavki troškovnika. </w:t>
      </w:r>
    </w:p>
    <w:p>
      <w:pPr>
        <w:pStyle w:val="Normal"/>
        <w:spacing w:lineRule="atLeast" w:line="23" w:before="0" w:after="0"/>
        <w:ind w:left="360" w:hanging="0"/>
        <w:jc w:val="both"/>
        <w:rPr>
          <w:rFonts w:cs="Calibri" w:cstheme="minorHAnsi"/>
          <w:bCs/>
          <w:sz w:val="24"/>
          <w:szCs w:val="24"/>
          <w:lang w:bidi="hr-HR"/>
        </w:rPr>
      </w:pPr>
      <w:r>
        <w:rPr>
          <w:rFonts w:cs="Calibri" w:cstheme="minorHAnsi"/>
          <w:bCs/>
          <w:sz w:val="24"/>
          <w:szCs w:val="24"/>
          <w:lang w:bidi="hr-HR"/>
        </w:rPr>
        <w:t xml:space="preserve">Zbroj svih ukupnih cijena stavki čini cijenu ponude. </w:t>
      </w:r>
    </w:p>
    <w:p>
      <w:pPr>
        <w:pStyle w:val="Normal"/>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t>Cijene (jedinične cijene) svake stavke troškovnika smiju biti iskazane s najviše 2 (dvije) decimale.</w:t>
      </w:r>
    </w:p>
    <w:p>
      <w:pPr>
        <w:pStyle w:val="Normal"/>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t xml:space="preserve">Excel tablica za obrazac ponudbenog troškovnika već ima unesene formule za automatsko izračunavanje i zbrajanje, tako da Ponuditelj treba za svaku stavku troškovnika ispuniti samo jediničnu cijenu stavke bez PDV-a dok će ostali podaci automatski biti izračunati i zbrojeni. </w:t>
        <w:br/>
      </w:r>
    </w:p>
    <w:p>
      <w:pPr>
        <w:pStyle w:val="ListParagraph"/>
        <w:numPr>
          <w:ilvl w:val="1"/>
          <w:numId w:val="11"/>
        </w:numPr>
        <w:spacing w:lineRule="atLeast" w:line="23" w:before="0" w:after="0"/>
        <w:contextualSpacing/>
        <w:rPr>
          <w:rFonts w:cs="Calibri" w:cstheme="minorHAnsi"/>
          <w:b/>
          <w:b/>
          <w:bCs/>
          <w:color w:val="000000"/>
          <w:szCs w:val="24"/>
        </w:rPr>
      </w:pPr>
      <w:r>
        <w:rPr>
          <w:rFonts w:cs="Calibri" w:cstheme="minorHAnsi"/>
          <w:bCs/>
          <w:sz w:val="24"/>
          <w:szCs w:val="24"/>
          <w:lang w:bidi="hr-HR"/>
        </w:rPr>
        <w:t xml:space="preserve">Ponudbeni list: </w:t>
      </w:r>
      <w:r>
        <w:rPr>
          <w:rFonts w:cs="Calibri" w:cstheme="minorHAnsi"/>
          <w:b/>
          <w:bCs/>
          <w:sz w:val="24"/>
          <w:szCs w:val="24"/>
          <w:lang w:bidi="hr-HR"/>
        </w:rPr>
        <w:t>U cijenu ponude bez PDV-a moraju biti uračunati svi troškovi i popusti koji su potrebni za izvršenje isporuke robe koja je predmet nabave.</w:t>
      </w:r>
      <w:r>
        <w:rPr>
          <w:rFonts w:cs="Calibri" w:cstheme="minorHAnsi"/>
          <w:b/>
          <w:bCs/>
          <w:color w:val="000000"/>
          <w:szCs w:val="24"/>
        </w:rPr>
        <w:t xml:space="preserve"> </w:t>
      </w:r>
    </w:p>
    <w:p>
      <w:pPr>
        <w:pStyle w:val="Normal"/>
        <w:spacing w:lineRule="atLeast" w:line="23" w:before="0" w:after="0"/>
        <w:rPr>
          <w:rFonts w:cs="Calibri" w:cstheme="minorHAnsi"/>
          <w:color w:val="000000"/>
          <w:szCs w:val="24"/>
        </w:rPr>
      </w:pPr>
      <w:r>
        <w:rPr>
          <w:rFonts w:cs="Calibri" w:cstheme="minorHAnsi"/>
          <w:color w:val="000000"/>
          <w:szCs w:val="24"/>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je dužan u ponudbenom listu upisati cijenu za svaku stavku, ukupnu cijenu bez poreza na dodanu vrijednost (PDV-a), zatim iznos poreza na dodanu vrijednost (PDV-a) te ukupnu cijenu s porezom na dodanu vrijednost (PDV-om), zaokruženo na dvije decimale.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Ukoliko je riječ o Ponuditelju iz inozemstva, on cijenu svoje ponude treba prikazati samo bez PDV-a, pri čemu na mjesto predviđeno za upis cijene ponude s PDV-om upisuje isti iznos kao što je upisan na mjestu predviđenom za upis cijene ponude bez PDV-a, a mjesto predviđeno za upis iznosa PDV-a ostavlja prazno.</w:t>
      </w:r>
    </w:p>
    <w:p>
      <w:pPr>
        <w:pStyle w:val="Normal"/>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5.6</w:t>
      </w:r>
      <w:r>
        <w:rPr>
          <w:rFonts w:cs="Calibri" w:cstheme="minorHAnsi"/>
          <w:bCs/>
          <w:sz w:val="24"/>
          <w:szCs w:val="24"/>
          <w:lang w:bidi="hr-HR"/>
        </w:rPr>
        <w:t xml:space="preserve"> Ponuda se izrađuje na način da čini cjelinu. Ako zbog opsega ili drugih objektivnih okolnosti ponuda ne može biti izrađena na način da čini cjelinu, onda se izrađuje u dva ili više</w:t>
      </w:r>
      <w:r>
        <w:rPr>
          <w:rFonts w:cs="Calibri" w:cstheme="minorHAnsi"/>
          <w:sz w:val="24"/>
          <w:szCs w:val="24"/>
        </w:rPr>
        <w:t xml:space="preserve"> dijelova, a ponuditelj mora u sadržaju ponude navesti od koliko se dijelova  ponuda sastoji. Ispravci u ponudi moraju biti izrađeni na način da ispravljeni tekst ostane vidljiv (čitak) ili dokaziv. Ispravci moraju uz navod datuma biti potvrđeni potpisom ponuditelja.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
          <w:sz w:val="24"/>
          <w:szCs w:val="24"/>
        </w:rPr>
        <w:t>5.7.</w:t>
      </w:r>
      <w:r>
        <w:rPr>
          <w:rFonts w:cs="Calibri" w:cstheme="minorHAnsi"/>
          <w:sz w:val="24"/>
          <w:szCs w:val="24"/>
        </w:rPr>
        <w:t xml:space="preserve"> Pri izradi ponude ponuditelj se mora pridržavati zahtjeva i uvjeta iz Dokumentacije za nadmetanje te ne smije mijenjati i nadopunjavati tekst Dokumentacije za nadmetanje. </w:t>
      </w:r>
      <w:r>
        <w:rPr>
          <w:rFonts w:cs="Calibri" w:cstheme="minorHAnsi"/>
          <w:bCs/>
          <w:sz w:val="24"/>
          <w:szCs w:val="24"/>
          <w:lang w:bidi="hr-HR"/>
        </w:rPr>
        <w:t>Sve troškove izrade ponude snose ponuditelji. Ponuditelji nemaju pravo na bilo kakvu nadoknadu troškova izrade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5.8.</w:t>
      </w:r>
      <w:r>
        <w:rPr>
          <w:rFonts w:cs="Calibri" w:cstheme="minorHAnsi"/>
          <w:sz w:val="24"/>
          <w:szCs w:val="24"/>
        </w:rPr>
        <w:t xml:space="preserve"> 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ListParagraph"/>
        <w:numPr>
          <w:ilvl w:val="0"/>
          <w:numId w:val="11"/>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sz w:val="24"/>
          <w:szCs w:val="24"/>
        </w:rPr>
        <w:t xml:space="preserve"> </w:t>
      </w:r>
      <w:bookmarkStart w:id="47" w:name="_Toc360627038"/>
      <w:r>
        <w:rPr>
          <w:rFonts w:cs="Calibri" w:cstheme="minorHAnsi"/>
          <w:b/>
          <w:bCs/>
          <w:sz w:val="24"/>
          <w:szCs w:val="24"/>
        </w:rPr>
        <w:t>NAČIN DOSTAVE PONUDE</w:t>
      </w:r>
      <w:bookmarkEnd w:id="47"/>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Ponudu u zatvorenoj omotnici ponuditelj predaje neposredno ili preporučenom poštanskom pošiljkom na adresu Naručitelja (STS-tech d.o.o., Ulica Svetog Josipa Radnika 4, 40 315 Mursko Središće), na kojoj mora biti naznačeno:</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0"/>
          <w:numId w:val="14"/>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na prednjoj strani omotnice: </w:t>
      </w:r>
    </w:p>
    <w:p>
      <w:pPr>
        <w:pStyle w:val="Normal"/>
        <w:tabs>
          <w:tab w:val="clear" w:pos="709"/>
          <w:tab w:val="left" w:pos="567" w:leader="none"/>
        </w:tabs>
        <w:spacing w:lineRule="atLeast" w:line="23" w:before="0" w:after="0"/>
        <w:contextualSpacing/>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4"/>
          <w:szCs w:val="24"/>
        </w:rPr>
      </w:pPr>
      <w:r>
        <w:rPr>
          <w:rFonts w:cs="Calibri" w:cstheme="minorHAnsi"/>
          <w:b/>
          <w:sz w:val="24"/>
          <w:szCs w:val="24"/>
        </w:rPr>
        <w:t xml:space="preserve">Naručitelj (NOJN): </w:t>
      </w:r>
      <w:r>
        <w:rPr>
          <w:rFonts w:cs="Calibri" w:cstheme="minorHAnsi"/>
          <w:b/>
          <w:bCs/>
          <w:sz w:val="24"/>
          <w:szCs w:val="24"/>
          <w:lang w:bidi="hr-HR"/>
        </w:rPr>
        <w:t>STS-tech  d.o.o.</w:t>
      </w:r>
    </w:p>
    <w:p>
      <w:pPr>
        <w:pStyle w:val="Normal"/>
        <w:tabs>
          <w:tab w:val="clear" w:pos="709"/>
          <w:tab w:val="left" w:pos="567" w:leader="none"/>
        </w:tabs>
        <w:spacing w:lineRule="atLeast" w:line="23" w:before="0" w:after="0"/>
        <w:jc w:val="center"/>
        <w:rPr>
          <w:rFonts w:cs="Calibri" w:cstheme="minorHAnsi"/>
          <w:b/>
          <w:b/>
          <w:sz w:val="24"/>
          <w:szCs w:val="24"/>
        </w:rPr>
      </w:pPr>
      <w:r>
        <w:rPr>
          <w:rFonts w:cs="Calibri" w:cstheme="minorHAnsi"/>
          <w:b/>
          <w:sz w:val="24"/>
          <w:szCs w:val="24"/>
        </w:rPr>
        <w:t xml:space="preserve">Adresa: Ulica Svetog Josipa Radnika 4, 40 315 Mursko Središće </w:t>
      </w:r>
    </w:p>
    <w:p>
      <w:pPr>
        <w:pStyle w:val="Normal"/>
        <w:tabs>
          <w:tab w:val="clear" w:pos="709"/>
          <w:tab w:val="left" w:pos="567" w:leader="none"/>
        </w:tabs>
        <w:spacing w:lineRule="atLeast" w:line="23" w:before="0" w:after="0"/>
        <w:jc w:val="center"/>
        <w:rPr>
          <w:rFonts w:cs="Calibri" w:cstheme="minorHAnsi"/>
          <w:b/>
          <w:b/>
          <w:bCs/>
          <w:sz w:val="24"/>
          <w:szCs w:val="24"/>
          <w:highlight w:val="lightGray"/>
        </w:rPr>
      </w:pPr>
      <w:r>
        <w:rPr>
          <w:rFonts w:cs="Calibri" w:cstheme="minorHAnsi"/>
          <w:b/>
          <w:sz w:val="24"/>
          <w:szCs w:val="24"/>
        </w:rPr>
        <w:t>Evidencijski broj nabave: 2/2021 – Radovi</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Naziv nabave:  Ulaganje u zelene tehnologije  - izgradnja poslovne zgrade</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w:t>
      </w:r>
      <w:r>
        <w:rPr>
          <w:rFonts w:cs="Calibri" w:cstheme="minorHAnsi"/>
          <w:b/>
          <w:bCs/>
          <w:sz w:val="24"/>
          <w:szCs w:val="24"/>
        </w:rPr>
        <w:t>NE OTVARAJ“</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r>
    </w:p>
    <w:p>
      <w:pPr>
        <w:pStyle w:val="Normal"/>
        <w:numPr>
          <w:ilvl w:val="0"/>
          <w:numId w:val="4"/>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sz w:val="24"/>
          <w:szCs w:val="24"/>
        </w:rPr>
        <w:t>na poleđini ili u gornjem lijevom kutu omotnice:</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 xml:space="preserve">Naziv i adresa ponuditelja/zajednice ponuditelja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Ponuditelj samostalno određuje način dostave ponude i sam snosi rizik eventualnog gubitka odnosno nepravovremene dostave ponude. Ako omotnica nije označena u skladu sa zahtjevima iz ove Dokumentacije za nadmetanje, Naručitelj ne preuzima nikakvu odgovornost u slučaju gubitka ili preranog otvaranja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Ponude i  dokumentacija priložena uz ponude ne vraćaju se ponuditeljima, osim jamstva za ozbiljnost ponude koje se vraća u roku od 10 dana od dana potpisa ugovora odnosno dostave jamstva za uredno izvršenje ugovora.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Alternativne ponude nisu dopuštene.</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Ponuditelj može do isteka roka za dostavu ponuda dostaviti izmjenu i/ili dopunu ponude.</w:t>
      </w:r>
      <w:r>
        <w:rPr>
          <w:rFonts w:cs="Calibri" w:cstheme="minorHAnsi"/>
          <w:sz w:val="24"/>
          <w:szCs w:val="24"/>
        </w:rPr>
        <w:t xml:space="preserve"> </w:t>
      </w:r>
      <w:r>
        <w:rPr>
          <w:rFonts w:cs="Calibri" w:cstheme="minorHAnsi"/>
          <w:color w:val="000000"/>
          <w:sz w:val="24"/>
          <w:szCs w:val="24"/>
        </w:rPr>
        <w:t>Izmjena i/ili dopuna ponude dostavlja se na isti način kao i osnovna ponuda s obveznom naznakom da se radi o izmjeni i/ili dopuni ponude.</w:t>
      </w:r>
      <w:r>
        <w:rPr>
          <w:rFonts w:cs="Calibri" w:cstheme="minorHAnsi"/>
          <w:sz w:val="24"/>
          <w:szCs w:val="24"/>
        </w:rPr>
        <w:t xml:space="preserve"> </w:t>
      </w:r>
      <w:r>
        <w:rPr>
          <w:rFonts w:cs="Calibri" w:cstheme="minorHAnsi"/>
          <w:color w:val="000000"/>
          <w:sz w:val="24"/>
          <w:szCs w:val="24"/>
        </w:rPr>
        <w:t>U tom se slučaju ponude otvaraju obrnutim redoslijedom zaprimanja, a vremenom zaprimanja smatra se dostava posljednje verzije izmjene ponude. Nakon proteka roka za dostavu, ponuda se ne smije mijenjati.</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5"/>
        </w:numPr>
        <w:tabs>
          <w:tab w:val="clear" w:pos="709"/>
          <w:tab w:val="left" w:pos="567" w:leader="none"/>
        </w:tabs>
        <w:spacing w:lineRule="atLeast" w:line="23" w:before="0" w:after="0"/>
        <w:ind w:left="0" w:hanging="0"/>
        <w:contextualSpacing/>
        <w:jc w:val="both"/>
        <w:rPr>
          <w:rFonts w:cs="Calibri" w:cstheme="minorHAnsi"/>
          <w:color w:val="000000"/>
          <w:sz w:val="24"/>
          <w:szCs w:val="24"/>
        </w:rPr>
      </w:pPr>
      <w:r>
        <w:rPr>
          <w:rFonts w:cs="Calibri" w:cstheme="minorHAnsi"/>
          <w:color w:val="000000"/>
          <w:sz w:val="24"/>
          <w:szCs w:val="24"/>
        </w:rPr>
        <w:t xml:space="preserve"> </w:t>
      </w:r>
      <w:r>
        <w:rPr>
          <w:rFonts w:cs="Calibri" w:cstheme="minorHAnsi"/>
          <w:color w:val="000000"/>
          <w:sz w:val="24"/>
          <w:szCs w:val="24"/>
        </w:rPr>
        <w:tab/>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11"/>
        </w:numPr>
        <w:tabs>
          <w:tab w:val="clear" w:pos="709"/>
          <w:tab w:val="left" w:pos="567" w:leader="none"/>
        </w:tabs>
        <w:spacing w:lineRule="atLeast" w:line="23" w:before="0" w:after="0"/>
        <w:ind w:left="0" w:hanging="0"/>
        <w:jc w:val="both"/>
        <w:rPr>
          <w:rFonts w:cs="Calibri" w:cstheme="minorHAnsi"/>
          <w:b/>
          <w:b/>
          <w:bCs/>
          <w:sz w:val="24"/>
          <w:szCs w:val="24"/>
        </w:rPr>
      </w:pPr>
      <w:bookmarkStart w:id="48" w:name="_Toc360627039"/>
      <w:r>
        <w:rPr>
          <w:rFonts w:cs="Calibri" w:cstheme="minorHAnsi"/>
          <w:b/>
          <w:bCs/>
          <w:sz w:val="24"/>
          <w:szCs w:val="24"/>
        </w:rPr>
        <w:t>DATUM, VRIJEME I MJESTO DOSTAVE</w:t>
      </w:r>
      <w:bookmarkEnd w:id="48"/>
      <w:r>
        <w:rPr>
          <w:rFonts w:cs="Calibri" w:cstheme="minorHAnsi"/>
          <w:b/>
          <w:bCs/>
          <w:sz w:val="24"/>
          <w:szCs w:val="24"/>
        </w:rPr>
        <w:t xml:space="preserv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color w:val="000000"/>
          <w:sz w:val="24"/>
          <w:szCs w:val="24"/>
        </w:rPr>
        <w:t>7.1. Ponuda</w:t>
      </w:r>
      <w:r>
        <w:rPr>
          <w:rFonts w:cs="Calibri" w:cstheme="minorHAnsi"/>
          <w:sz w:val="24"/>
          <w:szCs w:val="24"/>
        </w:rPr>
        <w:t xml:space="preserve"> mora biti zaprimljena od strane Naručitelja, na adresi iz točke 6.1. ove Dokumentacije, najkasnije do </w:t>
      </w:r>
      <w:r>
        <w:rPr>
          <w:rFonts w:cs="Calibri" w:cstheme="minorHAnsi"/>
          <w:b/>
          <w:sz w:val="24"/>
          <w:szCs w:val="24"/>
        </w:rPr>
        <w:t>2</w:t>
      </w:r>
      <w:r>
        <w:rPr>
          <w:rFonts w:cs="Calibri" w:cstheme="minorHAnsi"/>
          <w:b/>
          <w:sz w:val="24"/>
          <w:szCs w:val="24"/>
        </w:rPr>
        <w:t>6</w:t>
      </w:r>
      <w:r>
        <w:rPr>
          <w:rFonts w:cs="Calibri" w:cstheme="minorHAnsi"/>
          <w:b/>
          <w:sz w:val="24"/>
          <w:szCs w:val="24"/>
        </w:rPr>
        <w:t xml:space="preserve">.11.2021. godine do 14:00 sati po lokalnom vremenu </w:t>
      </w:r>
      <w:r>
        <w:rPr>
          <w:rFonts w:cs="Calibri" w:cstheme="minorHAnsi"/>
          <w:sz w:val="24"/>
          <w:szCs w:val="24"/>
        </w:rPr>
        <w:t>bez obzira na način dostave. Otvaranje ponude provest će ovlaštene osobe Naručitelja odmah po isteku roka za dostavu ponuda. Otvaranje ponuda nije javno.</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11"/>
        </w:numPr>
        <w:tabs>
          <w:tab w:val="clear" w:pos="709"/>
          <w:tab w:val="left" w:pos="567" w:leader="none"/>
        </w:tabs>
        <w:spacing w:lineRule="atLeast" w:line="23" w:before="0" w:after="0"/>
        <w:ind w:left="0" w:hanging="0"/>
        <w:jc w:val="both"/>
        <w:rPr>
          <w:rFonts w:cs="Calibri" w:cstheme="minorHAnsi"/>
          <w:b/>
          <w:b/>
          <w:bCs/>
          <w:sz w:val="24"/>
          <w:szCs w:val="24"/>
        </w:rPr>
      </w:pPr>
      <w:bookmarkStart w:id="49" w:name="_Toc360627041"/>
      <w:r>
        <w:rPr>
          <w:rFonts w:cs="Calibri" w:cstheme="minorHAnsi"/>
          <w:b/>
          <w:bCs/>
          <w:sz w:val="24"/>
          <w:szCs w:val="24"/>
        </w:rPr>
        <w:t>KRITERIJ ZA ODABIR PONUDE</w:t>
      </w:r>
      <w:bookmarkEnd w:id="49"/>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8.1. Kriterij za odabir ponude je </w:t>
      </w:r>
      <w:r>
        <w:rPr>
          <w:rFonts w:cs="Calibri" w:cstheme="minorHAnsi"/>
          <w:b/>
          <w:sz w:val="24"/>
          <w:szCs w:val="24"/>
          <w:lang w:bidi="hr-HR"/>
        </w:rPr>
        <w:t xml:space="preserve">najniža cijena. </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1"/>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JEZIK I PISMO PONUDE</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9.1. Ponuda mora biti izrađena </w:t>
      </w:r>
      <w:r>
        <w:rPr>
          <w:rFonts w:cs="Calibri" w:cstheme="minorHAnsi"/>
          <w:b/>
          <w:sz w:val="24"/>
          <w:szCs w:val="24"/>
          <w:lang w:bidi="hr-HR"/>
        </w:rPr>
        <w:t>na hrvatskom jeziku</w:t>
      </w:r>
      <w:r>
        <w:rPr>
          <w:rFonts w:cs="Calibri" w:cstheme="minorHAnsi"/>
          <w:sz w:val="24"/>
          <w:szCs w:val="24"/>
          <w:lang w:bidi="hr-HR"/>
        </w:rPr>
        <w:t xml:space="preserve"> i latiničnom pismu. U slučaju dostave nekog od dokumenata na drugom jeziku, isti dokument mora biti dostavljen uz priloženi prijevod na hrvatski jezik.</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1"/>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ROK VALJANOSTI PONUDE</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10.1. Rok valjanosti ponude mora biti najmanje 30 dana od krajnjeg roka za dostavu ponuda. Ponude s kraćim rokom valjanosti bit će odbijene. Naručitelj može po potrebi zatražiti od Ponuditelja primjereno produženje roka valjanosti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11"/>
        </w:numPr>
        <w:tabs>
          <w:tab w:val="clear" w:pos="709"/>
          <w:tab w:val="left" w:pos="567" w:leader="none"/>
        </w:tabs>
        <w:spacing w:lineRule="atLeast" w:line="23" w:before="0" w:after="0"/>
        <w:ind w:left="0" w:hanging="0"/>
        <w:contextualSpacing/>
        <w:jc w:val="both"/>
        <w:rPr>
          <w:rFonts w:cs="Calibri" w:cstheme="minorHAnsi"/>
          <w:b/>
          <w:b/>
          <w:bCs/>
          <w:sz w:val="24"/>
          <w:szCs w:val="24"/>
        </w:rPr>
      </w:pPr>
      <w:bookmarkStart w:id="50" w:name="_Toc360627042"/>
      <w:r>
        <w:rPr>
          <w:rFonts w:cs="Calibri" w:cstheme="minorHAnsi"/>
          <w:b/>
          <w:bCs/>
          <w:sz w:val="24"/>
          <w:szCs w:val="24"/>
        </w:rPr>
        <w:t xml:space="preserve">PREGLED I OCJENA </w:t>
      </w:r>
      <w:bookmarkEnd w:id="50"/>
      <w:r>
        <w:rPr>
          <w:rFonts w:cs="Calibri" w:cstheme="minorHAnsi"/>
          <w:b/>
          <w:bCs/>
          <w:sz w:val="24"/>
          <w:szCs w:val="24"/>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ListParagraph"/>
        <w:numPr>
          <w:ilvl w:val="1"/>
          <w:numId w:val="7"/>
        </w:numPr>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Odbor za nabavu nakon isteka roka za dostavu ponuda pregledava i ocjenjuje sadržaj podnesenih ponuda u odnosu na uvjete iz Dokumentacije za nadmetanje.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7"/>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U postupku pregleda i ocjene ponuda Naručitelj vrši:</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provjeru sukladnosti ponude s formalnim zahtjevima</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postojanja razloga isključenja i ispunjenja uvjeta kvalifikacije</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tehničke i materijalne sukladnosti</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xml:space="preserve">- evaluaciju ponuda na temelju prethodno objavljenih kriterija za odabir. </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1"/>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POJAŠNJENJE I UPOTPUNJAVANJE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lang w:bidi="hr-HR"/>
        </w:rPr>
        <w:t xml:space="preserve">12.1 </w:t>
      </w:r>
      <w:r>
        <w:rPr>
          <w:rFonts w:cs="Calibri" w:cstheme="minorHAnsi"/>
          <w:sz w:val="24"/>
          <w:szCs w:val="24"/>
        </w:rPr>
        <w:t>Ako podaci ili dokumentacija koju je trebao podnijeti ponuditelj jesu ili se čine nepotpuni ili pogrešni ili ako nedostaju određeni dokumenti, Naručitelj može tijekom pregleda i ocjene prijava i ponuda zahtijevati od tih ponuditelja da podnesu, dopune, pojasne ili upotpune nužne podatke ili dokumentaciju u primjerenom roku koji ne smije biti kraći od 5 kalendarskih dana niti dulji od 15 kalendarskih dana.</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Podnošenje, dopunjavanje, pojašnjenje ili upotpunjavanje u vezi s dokumentima traženim u svrhu </w:t>
      </w:r>
      <w:r>
        <w:rPr>
          <w:rFonts w:cs="Calibri" w:cstheme="minorHAnsi"/>
          <w:sz w:val="24"/>
          <w:szCs w:val="24"/>
          <w:lang w:bidi="hr-HR"/>
        </w:rPr>
        <w:t>procjene postojanja razloga isključenja i ispunjenja uvjeta kvalifikacije</w:t>
      </w:r>
      <w:r>
        <w:rPr>
          <w:rFonts w:cs="Calibri" w:cstheme="minorHAnsi"/>
          <w:color w:val="000000"/>
          <w:sz w:val="24"/>
          <w:szCs w:val="24"/>
        </w:rPr>
        <w:t xml:space="preserve"> ne smatra se izmjenom ponude.</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Naručitelj može pozvati ponuditelje da u roku koji ne smije biti kraći od 5 kalendarskih dana niti duži od 10 kalendarskih dana pojasne pojedine elemente ponude u dijelu koji se odnosi na ponuđeni predmet nabave, pri čemu pojašnjenje ne smije rezultirati izmjenom ponude. </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t>Postupanje Naručitelja vezano uz pojašnjenje i upotpunjavanje prijava i ponuda, odnosno zahtjevi i postupanje Naručitelja, moraju biti u skladu s načelima jednakog tretmana i transparentnosti.</w:t>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11"/>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ODLUKA O ODABIRU ILI PONIŠTENJU</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Nakon pregleda i ocjene ponuda valjane ponude će se rangirati prema kriteriju za odabir ponude.</w:t>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Ako dvije ili više valjanih ponuda budu jednako rangirane prema kriteriju za odabir ponude, Naručitelj će odabrati ponudu koja je zaprimljena ranije.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ListParagraph"/>
        <w:numPr>
          <w:ilvl w:val="1"/>
          <w:numId w:val="8"/>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Naručitelj (NOJN) je obvezan na temelju rezultata pregleda i ocjene prijava ili ponuda odbiti:</w:t>
      </w:r>
    </w:p>
    <w:p>
      <w:pPr>
        <w:pStyle w:val="Normal"/>
        <w:tabs>
          <w:tab w:val="clear" w:pos="709"/>
          <w:tab w:val="left" w:pos="0"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koja nije cjelovita (ne sadrži sve Pozivom na dostavu ponuda propisane obveze elemente),</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koja nije u skladu sa odredbama poziva na dostavu ponuda,</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u kojoj cijena nije iskazana u apsolutnom iznosu,</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koja sadrži pogreške, nedostatke odnosno nejasnoće ako pogreške, nedostaci odnosno nejasnoće nisu uklonjive,</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u kojoj pojašnjenjem ili upotpunjavanjem u skladu s ovim pravilima nije uklonjena pogreška, nedostatak ili nejasnoća,</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ponudu za koju ponuditelj nije pisanim putem prihvatio ispravak računske pogreške,</w:t>
      </w:r>
    </w:p>
    <w:p>
      <w:pPr>
        <w:pStyle w:val="ListParagraph"/>
        <w:numPr>
          <w:ilvl w:val="0"/>
          <w:numId w:val="2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ako nisu dostavljena zahtijevana jamstva.</w:t>
      </w:r>
    </w:p>
    <w:p>
      <w:pPr>
        <w:pStyle w:val="Normal"/>
        <w:tabs>
          <w:tab w:val="clear" w:pos="709"/>
          <w:tab w:val="left" w:pos="284" w:leader="none"/>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Default"/>
        <w:numPr>
          <w:ilvl w:val="1"/>
          <w:numId w:val="8"/>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 </w:t>
      </w:r>
      <w:r>
        <w:rPr>
          <w:rFonts w:eastAsia="Calibri" w:cs="Calibri" w:ascii="Calibri" w:hAnsi="Calibri" w:asciiTheme="minorHAnsi" w:cstheme="minorHAnsi" w:eastAsiaTheme="minorHAnsi" w:hAnsiTheme="minorHAnsi"/>
          <w:lang w:val="hr-HR"/>
        </w:rPr>
        <w:t xml:space="preserve">NOJN će na osnovu rezultata pregleda i ocjene ponuda, a temeljem kriterija za odabir ponude, donijeti Odluku o odabiru najpovoljnije ponude. </w:t>
        <w:br/>
        <w:t xml:space="preserve">Odluka o odabiru najbolje ponude </w:t>
      </w:r>
      <w:r>
        <w:rPr>
          <w:rFonts w:cs="Calibri" w:ascii="Calibri" w:hAnsi="Calibri" w:asciiTheme="minorHAnsi" w:cstheme="minorHAnsi" w:hAnsiTheme="minorHAnsi"/>
          <w:lang w:val="hr-HR"/>
        </w:rPr>
        <w:t xml:space="preserve">će minimalno sadržavati naziv i adresu odabranog ponuditelja, ukupnu vrijednost odabrane ponude, sa i bez PDV-a te </w:t>
      </w:r>
      <w:r>
        <w:rPr>
          <w:rFonts w:eastAsia="Calibri" w:cs="Calibri" w:ascii="Calibri" w:hAnsi="Calibri" w:asciiTheme="minorHAnsi" w:cstheme="minorHAnsi" w:eastAsiaTheme="minorHAnsi" w:hAnsiTheme="minorHAnsi"/>
          <w:lang w:val="hr-HR"/>
        </w:rPr>
        <w:t>datum donošenja i potpis odgovorne osobe.</w:t>
        <w:br/>
        <w:br/>
        <w:t>Odluka o odabiru ili poništenju će se donijeti u roku od 30 dana od dana isteka roka za dostavu ponuda.</w:t>
      </w:r>
    </w:p>
    <w:p>
      <w:pPr>
        <w:pStyle w:val="Default"/>
        <w:spacing w:lineRule="atLeast" w:line="23"/>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8"/>
        </w:numPr>
        <w:spacing w:lineRule="atLeast" w:line="23"/>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xml:space="preserve"> </w:t>
      </w:r>
      <w:r>
        <w:rPr>
          <w:rFonts w:cs="Calibri" w:ascii="Calibri" w:hAnsi="Calibri" w:asciiTheme="minorHAnsi" w:cstheme="minorHAnsi" w:hAnsiTheme="minorHAnsi"/>
          <w:lang w:val="hr-HR"/>
        </w:rPr>
        <w:t>NOJN će poništiti postupak nabave ako:</w:t>
      </w:r>
    </w:p>
    <w:p>
      <w:pPr>
        <w:pStyle w:val="Default"/>
        <w:spacing w:lineRule="atLeast" w:line="23"/>
        <w:ind w:left="450" w:hanging="0"/>
        <w:jc w:val="both"/>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 nije pristigla niti jedna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nakon odbijanja ponuda ne preostane nijedna valjana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b/>
          <w:lang w:val="hr-HR"/>
        </w:rPr>
        <w:t>13.4</w:t>
      </w:r>
      <w:r>
        <w:rPr>
          <w:rFonts w:eastAsia="Calibri" w:cs="Calibri" w:ascii="Calibri" w:hAnsi="Calibri" w:asciiTheme="minorHAnsi" w:cstheme="minorHAnsi" w:eastAsiaTheme="minorHAnsi" w:hAnsiTheme="minorHAnsi"/>
          <w:lang w:val="hr-HR"/>
        </w:rPr>
        <w:t xml:space="preserve"> NOJN može poništiti postupak nabave ako:</w:t>
      </w:r>
    </w:p>
    <w:p>
      <w:pPr>
        <w:pStyle w:val="ListParagraph"/>
        <w:numPr>
          <w:ilvl w:val="0"/>
          <w:numId w:val="9"/>
        </w:numPr>
        <w:spacing w:lineRule="atLeast" w:line="23" w:before="0" w:after="0"/>
        <w:ind w:left="851" w:hanging="360"/>
        <w:contextualSpacing/>
        <w:jc w:val="both"/>
        <w:rPr>
          <w:rFonts w:cs="Calibri" w:cstheme="minorHAnsi"/>
          <w:color w:val="000000"/>
          <w:sz w:val="24"/>
          <w:szCs w:val="24"/>
        </w:rPr>
      </w:pPr>
      <w:r>
        <w:rPr>
          <w:rFonts w:cs="Calibri" w:cstheme="minorHAnsi"/>
          <w:color w:val="000000"/>
          <w:sz w:val="24"/>
          <w:szCs w:val="24"/>
        </w:rPr>
        <w:t>je cijena najpovoljnije ponude veća od osiguranih sredstava za nabavu,</w:t>
      </w:r>
    </w:p>
    <w:p>
      <w:pPr>
        <w:pStyle w:val="Default"/>
        <w:spacing w:lineRule="atLeast" w:line="23"/>
        <w:ind w:left="491"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U slučaju poništenja postupka nabave, NOJN donosi Odluku o poništenju u kojoj će minimalno navesti </w:t>
      </w:r>
      <w:r>
        <w:rPr>
          <w:rFonts w:cs="Calibri" w:ascii="Calibri" w:hAnsi="Calibri" w:asciiTheme="minorHAnsi" w:cstheme="minorHAnsi" w:hAnsiTheme="minorHAnsi"/>
          <w:lang w:val="hr-HR"/>
        </w:rPr>
        <w:t>predmet nabave za kojeg se donosi odluka o poništenju, obrazloženje razloga poništenja, rok u kojem će pokrenuti novi postupak za isti ili sličan predmet nabave, ako je primjenjivo te</w:t>
      </w:r>
      <w:r>
        <w:rPr>
          <w:rFonts w:eastAsia="Calibri" w:cs="Calibri" w:ascii="Calibri" w:hAnsi="Calibri" w:asciiTheme="minorHAnsi" w:cstheme="minorHAnsi" w:eastAsiaTheme="minorHAnsi" w:hAnsiTheme="minorHAnsi"/>
          <w:lang w:val="hr-HR"/>
        </w:rPr>
        <w:t xml:space="preserve"> datum donošenja i potpis odgovorne osobe.</w:t>
      </w:r>
    </w:p>
    <w:p>
      <w:pPr>
        <w:pStyle w:val="ListParagraph"/>
        <w:tabs>
          <w:tab w:val="clear" w:pos="709"/>
          <w:tab w:val="left" w:pos="0" w:leader="none"/>
        </w:tabs>
        <w:spacing w:lineRule="atLeast" w:line="23" w:before="0" w:after="0"/>
        <w:ind w:left="567"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0"/>
        </w:numPr>
        <w:tabs>
          <w:tab w:val="clear" w:pos="709"/>
          <w:tab w:val="left" w:pos="0" w:leader="none"/>
        </w:tabs>
        <w:spacing w:lineRule="atLeast" w:line="23" w:before="0" w:after="0"/>
        <w:ind w:left="284" w:hanging="284"/>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 xml:space="preserve">U slučaju poništenja postupka nabave, naručitelj donosi Odluku o poništenju. </w:t>
      </w:r>
    </w:p>
    <w:p>
      <w:pPr>
        <w:pStyle w:val="Normal"/>
        <w:tabs>
          <w:tab w:val="clear" w:pos="709"/>
          <w:tab w:val="left" w:pos="0"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lang w:bidi="hr-HR"/>
        </w:rPr>
        <w:t>13.6.</w:t>
      </w:r>
      <w:r>
        <w:rPr>
          <w:rFonts w:cs="Calibri" w:cstheme="minorHAnsi"/>
          <w:bCs/>
          <w:sz w:val="24"/>
          <w:szCs w:val="24"/>
          <w:lang w:bidi="hr-HR"/>
        </w:rPr>
        <w:t xml:space="preserve">    Naručitelj će sve ponuditelje obavijestiti o konačnom odabiru, i to objavom Odluke na istom mjestu gdje je objavljen i postupak nabave.</w:t>
      </w:r>
    </w:p>
    <w:p>
      <w:pPr>
        <w:pStyle w:val="Normal"/>
        <w:tabs>
          <w:tab w:val="clear" w:pos="709"/>
          <w:tab w:val="left" w:pos="567" w:leader="none"/>
        </w:tabs>
        <w:spacing w:lineRule="atLeast" w:line="23" w:before="0" w:after="0"/>
        <w:contextualSpacing/>
        <w:jc w:val="both"/>
        <w:rPr>
          <w:rFonts w:eastAsia="Times New Roman" w:cs="Calibri" w:cstheme="minorHAnsi"/>
          <w:color w:val="333333"/>
          <w:sz w:val="24"/>
          <w:szCs w:val="24"/>
          <w:lang w:eastAsia="hr-HR"/>
        </w:rPr>
      </w:pPr>
      <w:r>
        <w:rPr>
          <w:rFonts w:eastAsia="Times New Roman" w:cs="Calibri" w:cstheme="minorHAnsi"/>
          <w:color w:val="333333"/>
          <w:sz w:val="24"/>
          <w:szCs w:val="24"/>
          <w:lang w:eastAsia="hr-HR"/>
        </w:rPr>
      </w:r>
    </w:p>
    <w:p>
      <w:pPr>
        <w:pStyle w:val="ListParagraph"/>
        <w:numPr>
          <w:ilvl w:val="0"/>
          <w:numId w:val="1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OSTALE ODREDBE</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b/>
          <w:sz w:val="24"/>
          <w:szCs w:val="24"/>
        </w:rPr>
        <w:t>14.1.</w:t>
      </w:r>
      <w:r>
        <w:rPr>
          <w:rFonts w:cs="Calibri" w:cstheme="minorHAnsi"/>
          <w:sz w:val="24"/>
          <w:szCs w:val="24"/>
        </w:rPr>
        <w:t xml:space="preserve"> </w:t>
      </w:r>
      <w:r>
        <w:rPr>
          <w:rFonts w:cs="Calibri" w:cstheme="minorHAnsi"/>
          <w:b/>
          <w:sz w:val="24"/>
          <w:szCs w:val="24"/>
        </w:rPr>
        <w:t>Podugovaratelji</w:t>
      </w:r>
      <w:r>
        <w:rPr>
          <w:rFonts w:eastAsia="Times New Roman" w:cs="Calibri" w:cstheme="minorHAnsi"/>
          <w:color w:val="000000"/>
          <w:sz w:val="24"/>
          <w:szCs w:val="24"/>
        </w:rPr>
        <w:t xml:space="preserve"> </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sz w:val="24"/>
          <w:szCs w:val="24"/>
        </w:rPr>
        <w:t xml:space="preserve">Ako ponuditelj namjerava </w:t>
      </w:r>
      <w:r>
        <w:rPr>
          <w:rFonts w:cs="Calibri" w:cstheme="minorHAnsi"/>
          <w:bCs/>
          <w:sz w:val="24"/>
          <w:szCs w:val="24"/>
        </w:rPr>
        <w:t>dati dio ugovora o nabavi u podugovor jednom ili više podugovaratelja, dužan je u ponudi navesti sljedeće podatke:</w:t>
      </w:r>
    </w:p>
    <w:p>
      <w:pPr>
        <w:pStyle w:val="Normal"/>
        <w:numPr>
          <w:ilvl w:val="0"/>
          <w:numId w:val="16"/>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naziv ili tvrtku, sjedište, OIB, (ili nacionalni identifikacijski broj prema zemlji sjedišta gospodarskog subjekta, ako je primjenjivo), IBAN/broj računa podugovaratelja</w:t>
      </w:r>
    </w:p>
    <w:p>
      <w:pPr>
        <w:pStyle w:val="Normal"/>
        <w:numPr>
          <w:ilvl w:val="0"/>
          <w:numId w:val="16"/>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predmet, količinu, vrijednost podugovora i postotni dio ugovora o nabavi koji se daje u podugovor.</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Ako ponuditelj ne dostavi podatke o podugovarateljima, smatra se da će cjelokupni predmet nabave izvršiti samostalno.</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14.2. Zajednica ponuditelja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Više gospodarskih subjekata može se udružiti i dostaviti zajedničku ponudu, neovisno o uređenju njihova međusobnog odnosa. Odgovornost ponuditelja iz zajednice ponuditelja je solidarna (Prilog VIII – Izjava o solidarnoj odgovornosti).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Uvjeti kvalifikacije za članove zajednice ponuditelja dokazuju se u skladu s točkom 3. i 4. ove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 zajedničkoj ponudi mora biti navedeno koji će dio ugovora o nabavi (predmet, količina, vrijednost i postotni dio) izvršavati pojedini član zajednice ponuditelja.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Naručitelj neposredno plaća svakom članu zajednice ponuditelja za onaj dio ugovora o nabavi koji je on izvršio, osim ako zajednica ponuditelja ne odredi drugačije.</w:t>
      </w:r>
    </w:p>
    <w:p>
      <w:pPr>
        <w:pStyle w:val="Normal"/>
        <w:spacing w:lineRule="atLeast" w:line="23" w:before="0" w:after="0"/>
        <w:jc w:val="both"/>
        <w:rPr>
          <w:rFonts w:cs="Calibri" w:cstheme="minorHAnsi"/>
          <w:sz w:val="24"/>
          <w:szCs w:val="24"/>
        </w:rPr>
      </w:pPr>
      <w:r>
        <w:rPr>
          <w:rFonts w:cs="Calibri" w:cstheme="minorHAnsi"/>
          <w:sz w:val="24"/>
          <w:szCs w:val="24"/>
        </w:rPr>
        <w:t>Ponuditelj koji je samostalno podnio ponudu ne smije istodobno sudjelovati u zajedničkoj ponudi.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14.3. Rok, način i uvjeti plaćanja</w:t>
      </w:r>
    </w:p>
    <w:p>
      <w:pPr>
        <w:pStyle w:val="Normal"/>
        <w:spacing w:lineRule="atLeast" w:line="23" w:before="0" w:after="0"/>
        <w:jc w:val="both"/>
        <w:rPr>
          <w:rFonts w:cs="Calibri" w:cstheme="minorHAnsi"/>
          <w:sz w:val="24"/>
          <w:szCs w:val="24"/>
        </w:rPr>
      </w:pPr>
      <w:r>
        <w:rPr>
          <w:rFonts w:cs="Calibri" w:cstheme="minorHAnsi"/>
          <w:sz w:val="24"/>
          <w:szCs w:val="24"/>
        </w:rPr>
        <w:t>Izvoditelj će za izvedene radove ispostavljati mjesečne privremene situacije i okončanu situaciju. Obračun radova vršiti će se po stvarno izvedenim količinama i ugovorenim jediničnim cijenama.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 xml:space="preserve">Naručitelj je dužan ovjeriti privremene situacije, najkasnije u roku 5 (pet) kalendarskih dana, a okončanu u roku 10 (deset) kalendarskih dana, od zaprimanja situacije, prethodno ovjerene od strane stručnog nadzora građenja (rok za ovjeru od strane stručnog nadzora je 5 kalendarskih dana). </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Naručitelj će izvoditelju platiti izvedene radove prema ovjerenim situacijama u roku do 30 (trideset) dana od dana ovjere situacija od strane Naručitelja.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 xml:space="preserve">Isključeno je plaćanje predujma. </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14.4. Jamstva</w:t>
      </w:r>
    </w:p>
    <w:p>
      <w:pPr>
        <w:pStyle w:val="Default"/>
        <w:spacing w:lineRule="atLeast" w:line="23"/>
        <w:jc w:val="both"/>
        <w:rPr>
          <w:rFonts w:ascii="Calibri" w:hAnsi="Calibri" w:eastAsia="Calibri" w:cs="Calibri" w:asciiTheme="minorHAnsi" w:cstheme="minorHAnsi" w:eastAsiaTheme="minorHAnsi" w:hAnsiTheme="minorHAnsi"/>
          <w:b/>
          <w:b/>
          <w:color w:val="auto"/>
          <w:lang w:val="hr-HR"/>
        </w:rPr>
      </w:pPr>
      <w:r>
        <w:rPr>
          <w:rFonts w:cs="Calibri" w:ascii="Calibri" w:hAnsi="Calibri" w:asciiTheme="minorHAnsi" w:cstheme="minorHAnsi" w:hAnsiTheme="minorHAnsi"/>
          <w:b/>
          <w:color w:val="auto"/>
          <w:lang w:val="hr-HR"/>
        </w:rPr>
        <w:t>14.</w:t>
      </w:r>
      <w:r>
        <w:rPr>
          <w:rFonts w:eastAsia="Calibri" w:cs="Calibri" w:ascii="Calibri" w:hAnsi="Calibri" w:asciiTheme="minorHAnsi" w:cstheme="minorHAnsi" w:eastAsiaTheme="minorHAnsi" w:hAnsiTheme="minorHAnsi"/>
          <w:b/>
          <w:color w:val="auto"/>
          <w:lang w:val="hr-HR"/>
        </w:rPr>
        <w:t>4.1</w:t>
      </w:r>
      <w:r>
        <w:rPr>
          <w:rFonts w:eastAsia="Calibri" w:cs="Calibri" w:ascii="Calibri" w:hAnsi="Calibri" w:asciiTheme="minorHAnsi" w:cstheme="minorHAnsi" w:eastAsiaTheme="minorHAnsi" w:hAnsiTheme="minorHAnsi"/>
          <w:b/>
          <w:color w:val="000000"/>
          <w:shd w:fill="auto" w:val="clear"/>
          <w:lang w:val="hr-HR"/>
        </w:rPr>
        <w:t xml:space="preserve">. </w:t>
      </w:r>
      <w:bookmarkStart w:id="51" w:name="_GoBack"/>
      <w:bookmarkEnd w:id="51"/>
      <w:r>
        <w:rPr>
          <w:rFonts w:eastAsia="Calibri" w:cs="Calibri" w:ascii="Calibri" w:hAnsi="Calibri" w:asciiTheme="minorHAnsi" w:cstheme="minorHAnsi" w:eastAsiaTheme="minorHAnsi" w:hAnsiTheme="minorHAnsi"/>
          <w:b/>
          <w:color w:val="000000"/>
          <w:shd w:fill="auto" w:val="clear"/>
          <w:lang w:val="hr-HR"/>
        </w:rPr>
        <w:t>Jamstvo za ozbiljnost ponude</w:t>
      </w:r>
    </w:p>
    <w:p>
      <w:pPr>
        <w:pStyle w:val="Default"/>
        <w:spacing w:lineRule="atLeast" w:line="23"/>
        <w:jc w:val="both"/>
        <w:rPr>
          <w:rFonts w:ascii="Calibri" w:hAnsi="Calibri" w:eastAsia="Calibri" w:cs="Calibri" w:asciiTheme="minorHAnsi" w:cstheme="minorHAnsi" w:eastAsiaTheme="minorHAnsi" w:hAnsiTheme="minorHAnsi"/>
          <w:color w:val="auto"/>
          <w:lang w:val="hr-HR"/>
        </w:rPr>
      </w:pPr>
      <w:r>
        <w:rPr>
          <w:rFonts w:eastAsia="Calibri" w:cs="Calibri" w:ascii="Calibri" w:hAnsi="Calibri" w:asciiTheme="minorHAnsi" w:cstheme="minorHAnsi" w:eastAsiaTheme="minorHAnsi" w:hAnsiTheme="minorHAnsi"/>
          <w:color w:val="auto"/>
          <w:lang w:val="hr-HR"/>
        </w:rPr>
        <w:t>Ponuditelj je obvezan u ponudi dostaviti jamstvo za ozbiljnost ponude u obliku bankarske garanc</w:t>
      </w:r>
      <w:r>
        <w:rPr>
          <w:rFonts w:eastAsia="Calibri" w:cs="Calibri" w:ascii="Calibri" w:hAnsi="Calibri" w:asciiTheme="minorHAnsi" w:cstheme="minorHAnsi" w:eastAsiaTheme="minorHAnsi" w:hAnsiTheme="minorHAnsi"/>
          <w:lang w:val="hr-HR"/>
        </w:rPr>
        <w:t xml:space="preserve">ije, koja mora biti neopoziva i bezuvjetna, naplativa na „prvi poziv“ i „bez prigovora“, na iznos 75.000,00 kn. </w:t>
      </w:r>
    </w:p>
    <w:p>
      <w:pPr>
        <w:pStyle w:val="Normal"/>
        <w:spacing w:lineRule="atLeast" w:line="23" w:before="0" w:after="0"/>
        <w:jc w:val="both"/>
        <w:rPr>
          <w:rFonts w:cs="Calibri" w:cstheme="minorHAnsi"/>
          <w:sz w:val="24"/>
          <w:szCs w:val="24"/>
        </w:rPr>
      </w:pPr>
      <w:r>
        <w:rPr>
          <w:rFonts w:cs="Calibri" w:cstheme="minorHAnsi"/>
          <w:sz w:val="24"/>
          <w:szCs w:val="24"/>
        </w:rPr>
      </w:r>
    </w:p>
    <w:p>
      <w:pPr>
        <w:pStyle w:val="Default"/>
        <w:spacing w:lineRule="atLeast" w:line="23"/>
        <w:jc w:val="both"/>
        <w:rPr>
          <w:rFonts w:ascii="Calibri" w:hAnsi="Calibri" w:eastAsia="Calibri" w:cs="Calibri" w:asciiTheme="minorHAnsi" w:cstheme="minorHAnsi" w:eastAsiaTheme="minorHAnsi" w:hAnsiTheme="minorHAnsi"/>
          <w:color w:val="auto"/>
          <w:lang w:val="hr-HR"/>
        </w:rPr>
      </w:pPr>
      <w:r>
        <w:rPr>
          <w:rFonts w:eastAsia="Calibri" w:cs="Calibri" w:ascii="Calibri" w:hAnsi="Calibri" w:asciiTheme="minorHAnsi" w:cstheme="minorHAnsi" w:eastAsiaTheme="minorHAnsi" w:hAnsiTheme="minorHAnsi"/>
          <w:color w:val="auto"/>
          <w:lang w:val="hr-HR"/>
        </w:rPr>
        <w:t xml:space="preserve">Naručitelj će jamstvo za ozbiljnost ponude naplatiti u slučajevima </w:t>
      </w:r>
      <w:r>
        <w:rPr>
          <w:rFonts w:cs="Calibri" w:ascii="Calibri" w:hAnsi="Calibri" w:asciiTheme="minorHAnsi" w:cstheme="minorHAnsi" w:hAnsiTheme="minorHAnsi"/>
          <w:lang w:val="hr-HR"/>
        </w:rPr>
        <w:t>odustajanja ponuditelja od svoje ponude u roku njezine valjanosti, dostavljanja neistinitih podataka, nedostajanja izvornika ili ovjerenih preslika koje naručitelj može zatražiti od ponuditelja da dostavi prije donošenja odluke o odabiru, odbijanja potpisivanja ugovora o nabavi, odnosno nedostavljanja jamstva za uredno ispunjenje ugovora. Navedeni slučajevi moraju biti izrijekom navedeni u bankarskog garanciji.</w:t>
      </w:r>
    </w:p>
    <w:p>
      <w:pPr>
        <w:pStyle w:val="Default"/>
        <w:spacing w:lineRule="atLeast" w:line="23"/>
        <w:jc w:val="both"/>
        <w:rPr>
          <w:rFonts w:ascii="Calibri" w:hAnsi="Calibri" w:cs="Calibri" w:asciiTheme="minorHAnsi" w:cstheme="minorHAnsi" w:hAnsiTheme="minorHAnsi"/>
          <w:lang w:val="hr-HR"/>
        </w:rPr>
      </w:pPr>
      <w:r>
        <w:rPr>
          <w:rFonts w:cs="Calibri" w:cstheme="minorHAnsi" w:ascii="Calibri" w:hAnsi="Calibri"/>
          <w:lang w:val="hr-HR"/>
        </w:rPr>
      </w:r>
    </w:p>
    <w:p>
      <w:pPr>
        <w:pStyle w:val="Normal"/>
        <w:tabs>
          <w:tab w:val="clear" w:pos="709"/>
          <w:tab w:val="left" w:pos="360" w:leader="none"/>
        </w:tabs>
        <w:spacing w:lineRule="atLeast" w:line="23" w:before="0" w:after="0"/>
        <w:jc w:val="both"/>
        <w:rPr>
          <w:rFonts w:eastAsia="Calibri" w:cs="Calibri" w:cstheme="minorHAnsi"/>
          <w:color w:val="000000"/>
          <w:sz w:val="24"/>
          <w:szCs w:val="24"/>
        </w:rPr>
      </w:pPr>
      <w:r>
        <w:rPr>
          <w:rFonts w:eastAsia="Calibri" w:cs="Calibri" w:cstheme="minorHAnsi"/>
          <w:color w:val="000000"/>
          <w:sz w:val="24"/>
          <w:szCs w:val="24"/>
        </w:rPr>
        <w:t>Jamstvo za ozbiljnost ponude dostavlja se u izvorniku, uloženo u  plastični (PVC) fascikl te se ne smije bušiti.</w:t>
      </w:r>
    </w:p>
    <w:p>
      <w:pPr>
        <w:pStyle w:val="Normal"/>
        <w:tabs>
          <w:tab w:val="clear" w:pos="709"/>
          <w:tab w:val="left" w:pos="120"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120" w:leader="none"/>
        </w:tabs>
        <w:spacing w:lineRule="atLeast" w:line="23" w:before="0" w:after="0"/>
        <w:jc w:val="both"/>
        <w:rPr>
          <w:rFonts w:cs="Calibri" w:cstheme="minorHAnsi"/>
          <w:sz w:val="24"/>
          <w:szCs w:val="24"/>
        </w:rPr>
      </w:pPr>
      <w:r>
        <w:rPr>
          <w:rFonts w:cs="Calibri" w:cstheme="minorHAnsi"/>
          <w:sz w:val="24"/>
          <w:szCs w:val="24"/>
        </w:rPr>
        <w:t xml:space="preserve">Plastični (PVC) fascikl mora biti zatvoren (npr. Naljepnicom, jamstvenikom ili sl.) da se onemogući vađenje bankarske garancije iz fascikla te mora činiti sastavni dio ponude uvezane u cjelinu. </w:t>
      </w:r>
    </w:p>
    <w:p>
      <w:pPr>
        <w:pStyle w:val="Normal"/>
        <w:spacing w:lineRule="atLeast" w:line="23" w:before="0" w:after="0"/>
        <w:jc w:val="both"/>
        <w:rPr>
          <w:rFonts w:cs="Calibri" w:cstheme="minorHAnsi"/>
          <w:sz w:val="24"/>
          <w:szCs w:val="24"/>
        </w:rPr>
      </w:pPr>
      <w:r>
        <w:rPr>
          <w:rFonts w:cs="Calibri" w:cstheme="minorHAnsi"/>
          <w:sz w:val="24"/>
          <w:szCs w:val="24"/>
        </w:rPr>
        <w:t>Ako istekne rok valjanosti ponude, Naručitelj će tražiti od ponuditelja produženje roka valjanosti ponude i jamstva za ozbiljnost ponude sukladno produženom roku. Ako jamstvo za ozbiljnost ponude ne bude naplaćeno Naručitelj se obvezuje vratiti ponuditeljima izvornik jamstva za ozbiljnost ponude u roku od 10 dana od dana potpisa ugovora odnosno dostave jamstva za uredno izvršenje ugovora.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Umjesto dostavljanja bankarske garancije ponuditelj ima mogućnost dati novčani polog u traženom iznosu. Polog se u odgovarajućem iznosu uplaćuje u korist računa: </w:t>
      </w:r>
      <w:r>
        <w:rPr>
          <w:rFonts w:eastAsia="Calibri" w:cs="Calibri" w:cstheme="minorHAnsi"/>
          <w:sz w:val="24"/>
          <w:szCs w:val="24"/>
        </w:rPr>
        <w:t xml:space="preserve">HR9523600001102581170 </w:t>
      </w:r>
      <w:r>
        <w:rPr>
          <w:rFonts w:cs="Calibri" w:cstheme="minorHAnsi"/>
          <w:sz w:val="24"/>
          <w:szCs w:val="24"/>
        </w:rPr>
        <w:t>Poziv na broj: HR  00 - OIB ponuditelja, s opisom plaćanja: jamstvo za ozbiljnost ponude. U tom slučaju ponuditelj dokaz o uplati prilaže u svojoj ponudi.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Default"/>
        <w:tabs>
          <w:tab w:val="clear" w:pos="709"/>
          <w:tab w:val="left" w:pos="284" w:leader="none"/>
        </w:tabs>
        <w:spacing w:lineRule="atLeast" w:line="23"/>
        <w:jc w:val="both"/>
        <w:rPr>
          <w:rFonts w:ascii="Calibri" w:hAnsi="Calibri" w:eastAsia="Calibri" w:cs="Calibri" w:asciiTheme="minorHAnsi" w:cstheme="minorHAnsi" w:eastAsiaTheme="minorHAnsi" w:hAnsiTheme="minorHAnsi"/>
          <w:b/>
          <w:b/>
          <w:color w:val="auto"/>
          <w:lang w:val="hr-HR"/>
        </w:rPr>
      </w:pPr>
      <w:r>
        <w:rPr>
          <w:rFonts w:eastAsia="Calibri" w:cs="Calibri" w:ascii="Calibri" w:hAnsi="Calibri" w:asciiTheme="minorHAnsi" w:cstheme="minorHAnsi" w:eastAsiaTheme="minorHAnsi" w:hAnsiTheme="minorHAnsi"/>
          <w:b/>
          <w:color w:val="auto"/>
          <w:lang w:val="hr-HR"/>
        </w:rPr>
        <w:t xml:space="preserve">14.4.2.  Jamstvo za uredno izvršenje ugovora </w:t>
      </w:r>
    </w:p>
    <w:p>
      <w:pPr>
        <w:pStyle w:val="Normal"/>
        <w:tabs>
          <w:tab w:val="clear" w:pos="709"/>
          <w:tab w:val="left" w:pos="-426" w:leader="none"/>
        </w:tabs>
        <w:spacing w:lineRule="atLeast" w:line="23" w:before="0" w:after="0"/>
        <w:jc w:val="both"/>
        <w:rPr>
          <w:rFonts w:cs="Calibri" w:cstheme="minorHAnsi"/>
          <w:sz w:val="24"/>
          <w:szCs w:val="24"/>
        </w:rPr>
      </w:pPr>
      <w:r>
        <w:rPr>
          <w:rFonts w:cs="Calibri" w:cstheme="minorHAnsi"/>
          <w:sz w:val="24"/>
          <w:szCs w:val="24"/>
        </w:rPr>
        <w:t>Odabrani ponuditelj s kojim je sklopljen ugovor o nabavi radova obavezan je dostaviti Naručitelju jamstvo za uredno ispunjenje ugovora u obliku zadužnice ili bjanko zadužnice ovjerene kod javnog bilježnika odnosno ekvivalentnog instrumenta osiguranja u zemlji poslovnog nastana ponuditelja, najkasnije u roku od 20 dana od dana sklapanja ugovora. Jamstvo mora biti u visini od 10 % (deset posto) vrijednosti ugovora bez PDV-a, s rokom važenja do isteka roka izvršenja radova + 30 dana respira.</w:t>
      </w:r>
      <w:r>
        <w:rPr>
          <w:rFonts w:cs="Calibri" w:cstheme="minorHAnsi"/>
          <w:sz w:val="24"/>
          <w:szCs w:val="24"/>
          <w:highlight w:val="yellow"/>
        </w:rPr>
        <w:t xml:space="preserve"> </w:t>
      </w:r>
    </w:p>
    <w:p>
      <w:pPr>
        <w:pStyle w:val="Normal"/>
        <w:tabs>
          <w:tab w:val="clear" w:pos="709"/>
          <w:tab w:val="left" w:pos="-426"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Umjesto dostavljanja jamstva u gore propisanom obliku ponuditelj ima mogućnost dati novčani polog u traženom iznosu. Polog se u odgovarajućem iznosu uplaćuje u korist računa: </w:t>
      </w:r>
      <w:r>
        <w:rPr>
          <w:rFonts w:eastAsia="Calibri" w:cs="Calibri" w:cstheme="minorHAnsi"/>
          <w:sz w:val="24"/>
          <w:szCs w:val="24"/>
        </w:rPr>
        <w:t xml:space="preserve">HR9523600001102581170 </w:t>
      </w:r>
      <w:r>
        <w:rPr>
          <w:rFonts w:cs="Calibri" w:cstheme="minorHAnsi"/>
          <w:sz w:val="24"/>
          <w:szCs w:val="24"/>
        </w:rPr>
        <w:t>Poziv na broj: HR  00 - OIB ponuditelja, s opisom plaćanja: jamstvo za uredno izvršenje ugovora.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OSOBA OVLAŠTENA ZA ZASTUPANJE NARUČITELJA/NOJN:</w:t>
      </w:r>
    </w:p>
    <w:p>
      <w:p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Tino Sabol</w:t>
      </w:r>
    </w:p>
    <w:sectPr>
      <w:headerReference w:type="default" r:id="rId9"/>
      <w:footerReference w:type="default" r:id="rId10"/>
      <w:type w:val="nextPage"/>
      <w:pgSz w:w="11906" w:h="16838"/>
      <w:pgMar w:left="1418" w:right="1418" w:header="709" w:top="1418" w:footer="709" w:bottom="1418"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tabs>
        <w:tab w:val="clear" w:pos="9072"/>
        <w:tab w:val="center" w:pos="4536" w:leader="none"/>
        <w:tab w:val="right" w:pos="10490" w:leader="none"/>
      </w:tabs>
      <w:ind w:left="-1417" w:right="-567" w:hanging="0"/>
      <w:jc w:val="center"/>
      <w:rPr>
        <w:rFonts w:ascii="Cambria" w:hAnsi="Cambria"/>
        <w:sz w:val="18"/>
        <w:szCs w:val="18"/>
      </w:rPr>
    </w:pPr>
    <w:r>
      <w:rPr>
        <w:rFonts w:ascii="Cambria" w:hAnsi="Cambria"/>
        <w:sz w:val="18"/>
        <w:szCs w:val="18"/>
      </w:rPr>
      <w:t>Projekt je sufinancirala Europska unija iz Europskog fonda za regionalni razvoj.</w:t>
    </w:r>
  </w:p>
  <w:p>
    <w:pPr>
      <w:pStyle w:val="Podnoje"/>
      <w:tabs>
        <w:tab w:val="clear" w:pos="9072"/>
        <w:tab w:val="center" w:pos="4536" w:leader="none"/>
        <w:tab w:val="right" w:pos="10490" w:leader="none"/>
      </w:tabs>
      <w:ind w:left="-1417" w:right="-567" w:hanging="0"/>
      <w:jc w:val="center"/>
      <w:rPr>
        <w:sz w:val="18"/>
        <w:szCs w:val="18"/>
      </w:rPr>
    </w:pPr>
    <w:r>
      <w:rPr>
        <w:rFonts w:ascii="Cambria" w:hAnsi="Cambria"/>
        <w:sz w:val="18"/>
        <w:szCs w:val="18"/>
      </w:rPr>
      <w:t>Sadržaj ove Dokumentacije za nadmetanje isključiva je odgovornost STS-tech d.o.o.</w:t>
    </w:r>
  </w:p>
  <w:p>
    <w:pPr>
      <w:pStyle w:val="Podnoj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drawing>
        <wp:anchor behindDoc="1" distT="0" distB="0" distL="114300" distR="114300" simplePos="0" locked="0" layoutInCell="0" allowOverlap="1" relativeHeight="2">
          <wp:simplePos x="0" y="0"/>
          <wp:positionH relativeFrom="margin">
            <wp:posOffset>2384425</wp:posOffset>
          </wp:positionH>
          <wp:positionV relativeFrom="margin">
            <wp:posOffset>-482600</wp:posOffset>
          </wp:positionV>
          <wp:extent cx="1329055" cy="431800"/>
          <wp:effectExtent l="0" t="0" r="0" b="0"/>
          <wp:wrapSquare wrapText="bothSides"/>
          <wp:docPr id="1" name="Slika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5" descr=""/>
                  <pic:cNvPicPr>
                    <a:picLocks noChangeAspect="1" noChangeArrowheads="1"/>
                  </pic:cNvPicPr>
                </pic:nvPicPr>
                <pic:blipFill>
                  <a:blip r:embed="rId1"/>
                  <a:stretch>
                    <a:fillRect/>
                  </a:stretch>
                </pic:blipFill>
                <pic:spPr bwMode="auto">
                  <a:xfrm>
                    <a:off x="0" y="0"/>
                    <a:ext cx="1329055" cy="431800"/>
                  </a:xfrm>
                  <a:prstGeom prst="rect">
                    <a:avLst/>
                  </a:prstGeom>
                </pic:spPr>
              </pic:pic>
            </a:graphicData>
          </a:graphic>
        </wp:anchor>
      </w:drawing>
      <w:drawing>
        <wp:anchor behindDoc="1" distT="0" distB="0" distL="114300" distR="114300" simplePos="0" locked="0" layoutInCell="0" allowOverlap="1" relativeHeight="3">
          <wp:simplePos x="0" y="0"/>
          <wp:positionH relativeFrom="margin">
            <wp:posOffset>86360</wp:posOffset>
          </wp:positionH>
          <wp:positionV relativeFrom="margin">
            <wp:posOffset>-336550</wp:posOffset>
          </wp:positionV>
          <wp:extent cx="1362710" cy="287655"/>
          <wp:effectExtent l="0" t="0" r="0" b="0"/>
          <wp:wrapSquare wrapText="bothSides"/>
          <wp:docPr id="2" name="Slika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4" descr=""/>
                  <pic:cNvPicPr>
                    <a:picLocks noChangeAspect="1" noChangeArrowheads="1"/>
                  </pic:cNvPicPr>
                </pic:nvPicPr>
                <pic:blipFill>
                  <a:blip r:embed="rId2"/>
                  <a:stretch>
                    <a:fillRect/>
                  </a:stretch>
                </pic:blipFill>
                <pic:spPr bwMode="auto">
                  <a:xfrm>
                    <a:off x="0" y="0"/>
                    <a:ext cx="1362710" cy="287655"/>
                  </a:xfrm>
                  <a:prstGeom prst="rect">
                    <a:avLst/>
                  </a:prstGeom>
                </pic:spPr>
              </pic:pic>
            </a:graphicData>
          </a:graphic>
        </wp:anchor>
      </w:drawing>
    </w:r>
  </w:p>
  <w:p>
    <w:pPr>
      <w:pStyle w:val="Zaglavlj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2">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val="false"/>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lvl w:ilvl="0">
      <w:start w:val="1"/>
      <w:numFmt w:val="decimal"/>
      <w:lvlText w:val="6.%1."/>
      <w:lvlJc w:val="left"/>
      <w:pPr>
        <w:tabs>
          <w:tab w:val="num" w:pos="0"/>
        </w:tabs>
        <w:ind w:left="720" w:hanging="360"/>
      </w:pPr>
      <w:rPr>
        <w:b/>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7">
    <w:lvl w:ilvl="0">
      <w:start w:val="11"/>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8">
    <w:lvl w:ilvl="0">
      <w:start w:val="13"/>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lvl w:ilvl="0">
      <w:start w:val="6"/>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3"/>
      <w:numFmt w:val="decimal"/>
      <w:lvlText w:val="%1"/>
      <w:lvlJc w:val="left"/>
      <w:pPr>
        <w:tabs>
          <w:tab w:val="num" w:pos="0"/>
        </w:tabs>
        <w:ind w:left="450" w:hanging="450"/>
      </w:pPr>
    </w:lvl>
    <w:lvl w:ilvl="1">
      <w:start w:val="5"/>
      <w:numFmt w:val="decimal"/>
      <w:lvlText w:val="%1.%2"/>
      <w:lvlJc w:val="left"/>
      <w:pPr>
        <w:tabs>
          <w:tab w:val="num" w:pos="0"/>
        </w:tabs>
        <w:ind w:left="900" w:hanging="450"/>
      </w:pPr>
      <w:rPr>
        <w:b/>
      </w:r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43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90" w:hanging="144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950" w:hanging="1800"/>
      </w:pPr>
    </w:lvl>
    <w:lvl w:ilvl="8">
      <w:start w:val="1"/>
      <w:numFmt w:val="decimal"/>
      <w:lvlText w:val="%1.%2.%3.%4.%5.%6.%7.%8.%9"/>
      <w:lvlJc w:val="left"/>
      <w:pPr>
        <w:tabs>
          <w:tab w:val="num" w:pos="0"/>
        </w:tabs>
        <w:ind w:left="5400" w:hanging="1800"/>
      </w:pPr>
    </w:lvl>
  </w:abstractNum>
  <w:abstractNum w:abstractNumId="11">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sz w:val="22"/>
        <w:b/>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lvl w:ilvl="0">
      <w:start w:val="1"/>
      <w:numFmt w:val="lowerLetter"/>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lvl w:ilvl="0">
      <w:start w:val="1"/>
      <w:numFmt w:val="bullet"/>
      <w:lvlText w:val=""/>
      <w:lvlJc w:val="left"/>
      <w:pPr>
        <w:tabs>
          <w:tab w:val="num" w:pos="0"/>
        </w:tabs>
        <w:ind w:left="1065" w:hanging="360"/>
      </w:pPr>
      <w:rPr>
        <w:rFonts w:ascii="Symbol" w:hAnsi="Symbol" w:cs="Symbol"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4">
    <w:lvl w:ilvl="0">
      <w:numFmt w:val="bullet"/>
      <w:lvlText w:val="-"/>
      <w:lvlJc w:val="left"/>
      <w:pPr>
        <w:tabs>
          <w:tab w:val="num" w:pos="0"/>
        </w:tabs>
        <w:ind w:left="294" w:hanging="360"/>
      </w:pPr>
      <w:rPr>
        <w:rFonts w:ascii="Arial" w:hAnsi="Arial" w:cs="Arial" w:hint="default"/>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15">
    <w:lvl w:ilvl="0">
      <w:start w:val="1"/>
      <w:numFmt w:val="upperRoman"/>
      <w:lvlText w:val="%1."/>
      <w:lvlJc w:val="right"/>
      <w:pPr>
        <w:tabs>
          <w:tab w:val="num" w:pos="0"/>
        </w:tabs>
        <w:ind w:left="938" w:hanging="360"/>
      </w:pPr>
    </w:lvl>
    <w:lvl w:ilvl="1">
      <w:start w:val="1"/>
      <w:numFmt w:val="lowerLetter"/>
      <w:lvlText w:val="(%2)"/>
      <w:lvlJc w:val="left"/>
      <w:pPr>
        <w:tabs>
          <w:tab w:val="num" w:pos="0"/>
        </w:tabs>
        <w:ind w:left="1658" w:hanging="360"/>
      </w:pPr>
    </w:lvl>
    <w:lvl w:ilvl="2">
      <w:start w:val="1"/>
      <w:numFmt w:val="bullet"/>
      <w:lvlText w:val=""/>
      <w:lvlJc w:val="left"/>
      <w:pPr>
        <w:tabs>
          <w:tab w:val="num" w:pos="0"/>
        </w:tabs>
        <w:ind w:left="2378" w:hanging="360"/>
      </w:pPr>
      <w:rPr>
        <w:rFonts w:ascii="Wingdings" w:hAnsi="Wingdings" w:cs="Wingdings" w:hint="default"/>
      </w:rPr>
    </w:lvl>
    <w:lvl w:ilvl="3">
      <w:start w:val="1"/>
      <w:numFmt w:val="bullet"/>
      <w:lvlText w:val=""/>
      <w:lvlJc w:val="left"/>
      <w:pPr>
        <w:tabs>
          <w:tab w:val="num" w:pos="0"/>
        </w:tabs>
        <w:ind w:left="3098" w:hanging="360"/>
      </w:pPr>
      <w:rPr>
        <w:rFonts w:ascii="Symbol" w:hAnsi="Symbol" w:cs="Symbol" w:hint="default"/>
      </w:rPr>
    </w:lvl>
    <w:lvl w:ilvl="4">
      <w:start w:val="1"/>
      <w:numFmt w:val="bullet"/>
      <w:lvlText w:val="o"/>
      <w:lvlJc w:val="left"/>
      <w:pPr>
        <w:tabs>
          <w:tab w:val="num" w:pos="0"/>
        </w:tabs>
        <w:ind w:left="3818" w:hanging="360"/>
      </w:pPr>
      <w:rPr>
        <w:rFonts w:ascii="Courier New" w:hAnsi="Courier New" w:cs="Courier New" w:hint="default"/>
      </w:rPr>
    </w:lvl>
    <w:lvl w:ilvl="5">
      <w:start w:val="1"/>
      <w:numFmt w:val="bullet"/>
      <w:lvlText w:val=""/>
      <w:lvlJc w:val="left"/>
      <w:pPr>
        <w:tabs>
          <w:tab w:val="num" w:pos="0"/>
        </w:tabs>
        <w:ind w:left="4538" w:hanging="360"/>
      </w:pPr>
      <w:rPr>
        <w:rFonts w:ascii="Wingdings" w:hAnsi="Wingdings" w:cs="Wingdings" w:hint="default"/>
      </w:rPr>
    </w:lvl>
    <w:lvl w:ilvl="6">
      <w:start w:val="1"/>
      <w:numFmt w:val="bullet"/>
      <w:lvlText w:val=""/>
      <w:lvlJc w:val="left"/>
      <w:pPr>
        <w:tabs>
          <w:tab w:val="num" w:pos="0"/>
        </w:tabs>
        <w:ind w:left="5258" w:hanging="360"/>
      </w:pPr>
      <w:rPr>
        <w:rFonts w:ascii="Symbol" w:hAnsi="Symbol" w:cs="Symbol" w:hint="default"/>
      </w:rPr>
    </w:lvl>
    <w:lvl w:ilvl="7">
      <w:start w:val="1"/>
      <w:numFmt w:val="bullet"/>
      <w:lvlText w:val="o"/>
      <w:lvlJc w:val="left"/>
      <w:pPr>
        <w:tabs>
          <w:tab w:val="num" w:pos="0"/>
        </w:tabs>
        <w:ind w:left="5978" w:hanging="360"/>
      </w:pPr>
      <w:rPr>
        <w:rFonts w:ascii="Courier New" w:hAnsi="Courier New" w:cs="Courier New" w:hint="default"/>
      </w:rPr>
    </w:lvl>
    <w:lvl w:ilvl="8">
      <w:start w:val="1"/>
      <w:numFmt w:val="bullet"/>
      <w:lvlText w:val=""/>
      <w:lvlJc w:val="left"/>
      <w:pPr>
        <w:tabs>
          <w:tab w:val="num" w:pos="0"/>
        </w:tabs>
        <w:ind w:left="6698" w:hanging="360"/>
      </w:pPr>
      <w:rPr>
        <w:rFonts w:ascii="Wingdings" w:hAnsi="Wingdings" w:cs="Wingdings" w:hint="default"/>
      </w:rPr>
    </w:lvl>
  </w:abstractNum>
  <w:abstractNum w:abstractNumId="16">
    <w:lvl w:ilvl="0">
      <w:start w:val="3"/>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1476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Stilnaslova1">
    <w:name w:val="Heading 1"/>
    <w:basedOn w:val="Normal"/>
    <w:next w:val="Normal"/>
    <w:link w:val="Heading1Char"/>
    <w:uiPriority w:val="9"/>
    <w:qFormat/>
    <w:rsid w:val="00440c94"/>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Stilnaslova2">
    <w:name w:val="Heading 2"/>
    <w:basedOn w:val="Normal"/>
    <w:next w:val="Normal"/>
    <w:link w:val="Heading2Char"/>
    <w:uiPriority w:val="9"/>
    <w:qFormat/>
    <w:rsid w:val="00cf6455"/>
    <w:pPr>
      <w:keepNext w:val="true"/>
      <w:keepLines/>
      <w:spacing w:lineRule="auto" w:line="276" w:before="200" w:after="0"/>
      <w:outlineLvl w:val="1"/>
    </w:pPr>
    <w:rPr>
      <w:rFonts w:ascii="Times New Roman" w:hAnsi="Times New Roman" w:eastAsia="Times New Roman" w:cs="Times New Roman"/>
      <w:b/>
      <w:bCs/>
      <w:sz w:val="26"/>
      <w:szCs w:val="26"/>
      <w:lang w:val="en-US"/>
    </w:rPr>
  </w:style>
  <w:style w:type="paragraph" w:styleId="Stilnaslova3">
    <w:name w:val="Heading 3"/>
    <w:basedOn w:val="Normal"/>
    <w:next w:val="Normal"/>
    <w:link w:val="Heading3Char"/>
    <w:uiPriority w:val="9"/>
    <w:semiHidden/>
    <w:unhideWhenUsed/>
    <w:qFormat/>
    <w:rsid w:val="000252b2"/>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paragraph" w:styleId="Stilnaslova4">
    <w:name w:val="Heading 4"/>
    <w:basedOn w:val="Normal"/>
    <w:next w:val="Normal"/>
    <w:link w:val="Heading4Char"/>
    <w:uiPriority w:val="9"/>
    <w:semiHidden/>
    <w:unhideWhenUsed/>
    <w:qFormat/>
    <w:rsid w:val="000252b2"/>
    <w:pPr>
      <w:keepNext w:val="true"/>
      <w:keepLines/>
      <w:spacing w:before="200" w:after="0"/>
      <w:outlineLvl w:val="3"/>
    </w:pPr>
    <w:rPr>
      <w:rFonts w:ascii="Calibri Light" w:hAnsi="Calibri Light" w:eastAsia="" w:cs="" w:asciiTheme="majorHAnsi" w:cstheme="majorBidi" w:eastAsiaTheme="majorEastAsia" w:hAnsiTheme="majorHAnsi"/>
      <w:b/>
      <w:bCs/>
      <w:i/>
      <w:iCs/>
      <w:color w:val="5B9BD5" w:themeColor="accent1"/>
    </w:rPr>
  </w:style>
  <w:style w:type="paragraph" w:styleId="Stilnaslova5">
    <w:name w:val="Heading 5"/>
    <w:basedOn w:val="Normal"/>
    <w:next w:val="Normal"/>
    <w:link w:val="Heading5Char"/>
    <w:uiPriority w:val="9"/>
    <w:semiHidden/>
    <w:unhideWhenUsed/>
    <w:qFormat/>
    <w:rsid w:val="00a2263c"/>
    <w:pPr>
      <w:tabs>
        <w:tab w:val="clear" w:pos="709"/>
        <w:tab w:val="left" w:pos="3600" w:leader="none"/>
      </w:tabs>
      <w:spacing w:lineRule="auto" w:line="240" w:before="240" w:after="60"/>
      <w:ind w:left="3600" w:hanging="720"/>
      <w:outlineLvl w:val="4"/>
    </w:pPr>
    <w:rPr>
      <w:rFonts w:eastAsia="" w:eastAsiaTheme="minorEastAsia"/>
      <w:b/>
      <w:bCs/>
      <w:i/>
      <w:iCs/>
      <w:sz w:val="26"/>
      <w:szCs w:val="26"/>
    </w:rPr>
  </w:style>
  <w:style w:type="paragraph" w:styleId="Stilnaslova6">
    <w:name w:val="Heading 6"/>
    <w:basedOn w:val="Normal"/>
    <w:next w:val="Normal"/>
    <w:link w:val="Heading6Char"/>
    <w:semiHidden/>
    <w:unhideWhenUsed/>
    <w:qFormat/>
    <w:rsid w:val="00a2263c"/>
    <w:pPr>
      <w:tabs>
        <w:tab w:val="clear" w:pos="709"/>
        <w:tab w:val="left" w:pos="4320" w:leader="none"/>
      </w:tabs>
      <w:spacing w:lineRule="auto" w:line="240" w:before="240" w:after="60"/>
      <w:ind w:left="4320" w:hanging="720"/>
      <w:outlineLvl w:val="5"/>
    </w:pPr>
    <w:rPr>
      <w:rFonts w:ascii="Times New Roman" w:hAnsi="Times New Roman" w:eastAsia="Times New Roman" w:cs="Times New Roman"/>
      <w:b/>
      <w:bCs/>
    </w:rPr>
  </w:style>
  <w:style w:type="paragraph" w:styleId="Stilnaslova7">
    <w:name w:val="Heading 7"/>
    <w:basedOn w:val="Normal"/>
    <w:next w:val="Normal"/>
    <w:link w:val="Heading7Char"/>
    <w:uiPriority w:val="9"/>
    <w:semiHidden/>
    <w:unhideWhenUsed/>
    <w:qFormat/>
    <w:rsid w:val="00a2263c"/>
    <w:pPr>
      <w:tabs>
        <w:tab w:val="clear" w:pos="709"/>
        <w:tab w:val="left" w:pos="5040" w:leader="none"/>
      </w:tabs>
      <w:spacing w:lineRule="auto" w:line="240" w:before="240" w:after="60"/>
      <w:ind w:left="5040" w:hanging="720"/>
      <w:outlineLvl w:val="6"/>
    </w:pPr>
    <w:rPr>
      <w:rFonts w:eastAsia="" w:eastAsiaTheme="minorEastAsia"/>
      <w:sz w:val="24"/>
      <w:szCs w:val="24"/>
    </w:rPr>
  </w:style>
  <w:style w:type="paragraph" w:styleId="Stilnaslova8">
    <w:name w:val="Heading 8"/>
    <w:basedOn w:val="Normal"/>
    <w:next w:val="Normal"/>
    <w:link w:val="Heading8Char"/>
    <w:uiPriority w:val="9"/>
    <w:semiHidden/>
    <w:unhideWhenUsed/>
    <w:qFormat/>
    <w:rsid w:val="00a2263c"/>
    <w:pPr>
      <w:tabs>
        <w:tab w:val="clear" w:pos="709"/>
        <w:tab w:val="left" w:pos="5760" w:leader="none"/>
      </w:tabs>
      <w:spacing w:lineRule="auto" w:line="240" w:before="240" w:after="60"/>
      <w:ind w:left="5760" w:hanging="720"/>
      <w:outlineLvl w:val="7"/>
    </w:pPr>
    <w:rPr>
      <w:rFonts w:eastAsia="" w:eastAsiaTheme="minorEastAsia"/>
      <w:i/>
      <w:iCs/>
      <w:sz w:val="24"/>
      <w:szCs w:val="24"/>
    </w:rPr>
  </w:style>
  <w:style w:type="paragraph" w:styleId="Stilnaslova9">
    <w:name w:val="Heading 9"/>
    <w:basedOn w:val="Normal"/>
    <w:next w:val="Normal"/>
    <w:link w:val="Heading9Char"/>
    <w:uiPriority w:val="9"/>
    <w:semiHidden/>
    <w:unhideWhenUsed/>
    <w:qFormat/>
    <w:rsid w:val="00a2263c"/>
    <w:pPr>
      <w:tabs>
        <w:tab w:val="clear" w:pos="709"/>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CommentText"/>
    <w:uiPriority w:val="99"/>
    <w:qFormat/>
    <w:rsid w:val="00636adc"/>
    <w:rPr>
      <w:sz w:val="20"/>
      <w:szCs w:val="20"/>
    </w:rPr>
  </w:style>
  <w:style w:type="character" w:styleId="Annotationreference">
    <w:name w:val="annotation reference"/>
    <w:uiPriority w:val="99"/>
    <w:qFormat/>
    <w:rsid w:val="00636adc"/>
    <w:rPr>
      <w:rFonts w:cs="Times New Roman"/>
      <w:sz w:val="16"/>
    </w:rPr>
  </w:style>
  <w:style w:type="character" w:styleId="BalloonTextChar" w:customStyle="1">
    <w:name w:val="Balloon Text Char"/>
    <w:basedOn w:val="DefaultParagraphFont"/>
    <w:link w:val="BalloonText"/>
    <w:uiPriority w:val="99"/>
    <w:semiHidden/>
    <w:qFormat/>
    <w:rsid w:val="00636adc"/>
    <w:rPr>
      <w:rFonts w:ascii="Segoe UI" w:hAnsi="Segoe UI" w:cs="Segoe UI"/>
      <w:sz w:val="18"/>
      <w:szCs w:val="18"/>
    </w:rPr>
  </w:style>
  <w:style w:type="character" w:styleId="CommentSubjectChar" w:customStyle="1">
    <w:name w:val="Comment Subject Char"/>
    <w:basedOn w:val="CommentTextChar"/>
    <w:link w:val="CommentSubject"/>
    <w:uiPriority w:val="99"/>
    <w:semiHidden/>
    <w:qFormat/>
    <w:rsid w:val="005f3fe1"/>
    <w:rPr>
      <w:b/>
      <w:bCs/>
      <w:sz w:val="20"/>
      <w:szCs w:val="20"/>
    </w:rPr>
  </w:style>
  <w:style w:type="character" w:styleId="Heading2Char" w:customStyle="1">
    <w:name w:val="Heading 2 Char"/>
    <w:basedOn w:val="DefaultParagraphFont"/>
    <w:link w:val="Heading2"/>
    <w:uiPriority w:val="9"/>
    <w:qFormat/>
    <w:rsid w:val="00cf6455"/>
    <w:rPr>
      <w:rFonts w:ascii="Times New Roman" w:hAnsi="Times New Roman" w:eastAsia="Times New Roman" w:cs="Times New Roman"/>
      <w:b/>
      <w:bCs/>
      <w:sz w:val="26"/>
      <w:szCs w:val="26"/>
      <w:lang w:val="en-US"/>
    </w:rPr>
  </w:style>
  <w:style w:type="character" w:styleId="FootnoteTextChar" w:customStyle="1">
    <w:name w:val="Footnote Text Char"/>
    <w:basedOn w:val="DefaultParagraphFont"/>
    <w:link w:val="FootnoteText"/>
    <w:uiPriority w:val="99"/>
    <w:semiHidden/>
    <w:qFormat/>
    <w:rsid w:val="001b6a93"/>
    <w:rPr>
      <w:sz w:val="20"/>
      <w:szCs w:val="20"/>
    </w:rPr>
  </w:style>
  <w:style w:type="character" w:styleId="Sidrofusnote" w:customStyle="1">
    <w:name w:val="Sidro fusnote"/>
    <w:rPr>
      <w:vertAlign w:val="superscript"/>
    </w:rPr>
  </w:style>
  <w:style w:type="character" w:styleId="FootnoteCharacters" w:customStyle="1">
    <w:name w:val="Footnote Characters"/>
    <w:basedOn w:val="DefaultParagraphFont"/>
    <w:uiPriority w:val="99"/>
    <w:semiHidden/>
    <w:unhideWhenUsed/>
    <w:qFormat/>
    <w:rsid w:val="001b6a93"/>
    <w:rPr>
      <w:vertAlign w:val="superscript"/>
    </w:rPr>
  </w:style>
  <w:style w:type="character" w:styleId="Heading1Char" w:customStyle="1">
    <w:name w:val="Heading 1 Char"/>
    <w:basedOn w:val="DefaultParagraphFont"/>
    <w:link w:val="Heading1"/>
    <w:uiPriority w:val="9"/>
    <w:qFormat/>
    <w:rsid w:val="00440c94"/>
    <w:rPr>
      <w:rFonts w:ascii="Calibri Light" w:hAnsi="Calibri Light" w:eastAsia="" w:cs="" w:asciiTheme="majorHAnsi" w:cstheme="majorBidi" w:eastAsiaTheme="majorEastAsia" w:hAnsiTheme="majorHAnsi"/>
      <w:color w:val="2E74B5" w:themeColor="accent1" w:themeShade="bf"/>
      <w:sz w:val="32"/>
      <w:szCs w:val="32"/>
    </w:rPr>
  </w:style>
  <w:style w:type="character" w:styleId="HeaderChar" w:customStyle="1">
    <w:name w:val="Header Char"/>
    <w:basedOn w:val="DefaultParagraphFont"/>
    <w:link w:val="Header"/>
    <w:uiPriority w:val="99"/>
    <w:qFormat/>
    <w:rsid w:val="000d109e"/>
    <w:rPr/>
  </w:style>
  <w:style w:type="character" w:styleId="FooterChar" w:customStyle="1">
    <w:name w:val="Footer Char"/>
    <w:basedOn w:val="DefaultParagraphFont"/>
    <w:link w:val="Footer"/>
    <w:uiPriority w:val="99"/>
    <w:qFormat/>
    <w:rsid w:val="000d109e"/>
    <w:rPr/>
  </w:style>
  <w:style w:type="character" w:styleId="PlaceholderText">
    <w:name w:val="Placeholder Text"/>
    <w:uiPriority w:val="99"/>
    <w:semiHidden/>
    <w:qFormat/>
    <w:rsid w:val="000d109e"/>
    <w:rPr>
      <w:color w:val="808080"/>
    </w:rPr>
  </w:style>
  <w:style w:type="character" w:styleId="Isticanje" w:customStyle="1">
    <w:name w:val="Isticanje"/>
    <w:uiPriority w:val="20"/>
    <w:qFormat/>
    <w:rsid w:val="000d109e"/>
    <w:rPr>
      <w:b/>
      <w:bCs/>
      <w:i w:val="false"/>
      <w:iCs w:val="false"/>
    </w:rPr>
  </w:style>
  <w:style w:type="character" w:styleId="St" w:customStyle="1">
    <w:name w:val="st"/>
    <w:basedOn w:val="DefaultParagraphFont"/>
    <w:qFormat/>
    <w:rsid w:val="000d109e"/>
    <w:rPr/>
  </w:style>
  <w:style w:type="character" w:styleId="Internetskapoveznica" w:customStyle="1">
    <w:name w:val="Internetska poveznica"/>
    <w:basedOn w:val="DefaultParagraphFont"/>
    <w:uiPriority w:val="99"/>
    <w:unhideWhenUsed/>
    <w:rsid w:val="00693e22"/>
    <w:rPr>
      <w:color w:val="0563C1" w:themeColor="hyperlink"/>
      <w:u w:val="single"/>
    </w:rPr>
  </w:style>
  <w:style w:type="character" w:styleId="Posjeenainternetskapoveznica" w:customStyle="1">
    <w:name w:val="Posjećena internetska poveznica"/>
    <w:basedOn w:val="DefaultParagraphFont"/>
    <w:uiPriority w:val="99"/>
    <w:semiHidden/>
    <w:unhideWhenUsed/>
    <w:rsid w:val="004d6ba3"/>
    <w:rPr>
      <w:color w:val="954F72" w:themeColor="followedHyperlink"/>
      <w:u w:val="single"/>
    </w:rPr>
  </w:style>
  <w:style w:type="character" w:styleId="Hps" w:customStyle="1">
    <w:name w:val="hps"/>
    <w:basedOn w:val="DefaultParagraphFont"/>
    <w:qFormat/>
    <w:rsid w:val="002e2516"/>
    <w:rPr/>
  </w:style>
  <w:style w:type="character" w:styleId="Shorttext" w:customStyle="1">
    <w:name w:val="short_text"/>
    <w:basedOn w:val="DefaultParagraphFont"/>
    <w:qFormat/>
    <w:rsid w:val="009779c8"/>
    <w:rPr/>
  </w:style>
  <w:style w:type="character" w:styleId="ListParagraphChar" w:customStyle="1">
    <w:name w:val="List Paragraph Char"/>
    <w:link w:val="ListParagraph"/>
    <w:uiPriority w:val="34"/>
    <w:qFormat/>
    <w:rsid w:val="009d6f5d"/>
    <w:rPr/>
  </w:style>
  <w:style w:type="character" w:styleId="Strong">
    <w:name w:val="Strong"/>
    <w:basedOn w:val="DefaultParagraphFont"/>
    <w:uiPriority w:val="22"/>
    <w:qFormat/>
    <w:rsid w:val="007e0e83"/>
    <w:rPr>
      <w:b/>
      <w:bCs/>
    </w:rPr>
  </w:style>
  <w:style w:type="character" w:styleId="Heading3Char" w:customStyle="1">
    <w:name w:val="Heading 3 Char"/>
    <w:basedOn w:val="DefaultParagraphFont"/>
    <w:link w:val="Heading3"/>
    <w:uiPriority w:val="9"/>
    <w:semiHidden/>
    <w:qFormat/>
    <w:rsid w:val="000252b2"/>
    <w:rPr>
      <w:rFonts w:ascii="Calibri Light" w:hAnsi="Calibri Light" w:eastAsia="" w:cs="" w:asciiTheme="majorHAnsi" w:cstheme="majorBidi" w:eastAsiaTheme="majorEastAsia" w:hAnsiTheme="majorHAnsi"/>
      <w:b/>
      <w:bCs/>
      <w:color w:val="5B9BD5" w:themeColor="accent1"/>
    </w:rPr>
  </w:style>
  <w:style w:type="character" w:styleId="Heading4Char" w:customStyle="1">
    <w:name w:val="Heading 4 Char"/>
    <w:basedOn w:val="DefaultParagraphFont"/>
    <w:link w:val="Heading4"/>
    <w:uiPriority w:val="9"/>
    <w:semiHidden/>
    <w:qFormat/>
    <w:rsid w:val="000252b2"/>
    <w:rPr>
      <w:rFonts w:ascii="Calibri Light" w:hAnsi="Calibri Light" w:eastAsia="" w:cs="" w:asciiTheme="majorHAnsi" w:cstheme="majorBidi" w:eastAsiaTheme="majorEastAsia" w:hAnsiTheme="majorHAnsi"/>
      <w:b/>
      <w:bCs/>
      <w:i/>
      <w:iCs/>
      <w:color w:val="5B9BD5" w:themeColor="accent1"/>
    </w:rPr>
  </w:style>
  <w:style w:type="character" w:styleId="Heading5Char" w:customStyle="1">
    <w:name w:val="Heading 5 Char"/>
    <w:basedOn w:val="DefaultParagraphFont"/>
    <w:link w:val="Heading5"/>
    <w:uiPriority w:val="9"/>
    <w:semiHidden/>
    <w:qFormat/>
    <w:rsid w:val="00a2263c"/>
    <w:rPr>
      <w:rFonts w:eastAsia="" w:eastAsiaTheme="minorEastAsia"/>
      <w:b/>
      <w:bCs/>
      <w:i/>
      <w:iCs/>
      <w:sz w:val="26"/>
      <w:szCs w:val="26"/>
    </w:rPr>
  </w:style>
  <w:style w:type="character" w:styleId="Heading6Char" w:customStyle="1">
    <w:name w:val="Heading 6 Char"/>
    <w:basedOn w:val="DefaultParagraphFont"/>
    <w:link w:val="Heading6"/>
    <w:semiHidden/>
    <w:qFormat/>
    <w:rsid w:val="00a2263c"/>
    <w:rPr>
      <w:rFonts w:ascii="Times New Roman" w:hAnsi="Times New Roman" w:eastAsia="Times New Roman" w:cs="Times New Roman"/>
      <w:b/>
      <w:bCs/>
    </w:rPr>
  </w:style>
  <w:style w:type="character" w:styleId="Heading7Char" w:customStyle="1">
    <w:name w:val="Heading 7 Char"/>
    <w:basedOn w:val="DefaultParagraphFont"/>
    <w:link w:val="Heading7"/>
    <w:uiPriority w:val="9"/>
    <w:semiHidden/>
    <w:qFormat/>
    <w:rsid w:val="00a2263c"/>
    <w:rPr>
      <w:rFonts w:eastAsia="" w:eastAsiaTheme="minorEastAsia"/>
      <w:sz w:val="24"/>
      <w:szCs w:val="24"/>
    </w:rPr>
  </w:style>
  <w:style w:type="character" w:styleId="Heading8Char" w:customStyle="1">
    <w:name w:val="Heading 8 Char"/>
    <w:basedOn w:val="DefaultParagraphFont"/>
    <w:link w:val="Heading8"/>
    <w:uiPriority w:val="9"/>
    <w:semiHidden/>
    <w:qFormat/>
    <w:rsid w:val="00a2263c"/>
    <w:rPr>
      <w:rFonts w:eastAsia="" w:eastAsiaTheme="minorEastAsia"/>
      <w:i/>
      <w:iCs/>
      <w:sz w:val="24"/>
      <w:szCs w:val="24"/>
    </w:rPr>
  </w:style>
  <w:style w:type="character" w:styleId="Heading9Char" w:customStyle="1">
    <w:name w:val="Heading 9 Char"/>
    <w:basedOn w:val="DefaultParagraphFont"/>
    <w:link w:val="Heading9"/>
    <w:uiPriority w:val="9"/>
    <w:semiHidden/>
    <w:qFormat/>
    <w:rsid w:val="00a2263c"/>
    <w:rPr>
      <w:rFonts w:ascii="Calibri Light" w:hAnsi="Calibri Light" w:eastAsia="" w:cs="" w:asciiTheme="majorHAnsi" w:cstheme="majorBidi" w:eastAsiaTheme="majorEastAsia" w:hAnsiTheme="majorHAnsi"/>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ListParagraphChar"/>
    <w:uiPriority w:val="34"/>
    <w:qFormat/>
    <w:rsid w:val="00637d31"/>
    <w:pPr>
      <w:spacing w:before="0" w:after="160"/>
      <w:ind w:left="720" w:hanging="0"/>
      <w:contextualSpacing/>
    </w:pPr>
    <w:rPr/>
  </w:style>
  <w:style w:type="paragraph" w:styleId="Annotationtext">
    <w:name w:val="annotation text"/>
    <w:basedOn w:val="Normal"/>
    <w:link w:val="CommentTextChar"/>
    <w:uiPriority w:val="99"/>
    <w:unhideWhenUsed/>
    <w:qFormat/>
    <w:rsid w:val="00636adc"/>
    <w:pPr>
      <w:spacing w:lineRule="auto" w:line="240"/>
    </w:pPr>
    <w:rPr>
      <w:sz w:val="20"/>
      <w:szCs w:val="20"/>
    </w:rPr>
  </w:style>
  <w:style w:type="paragraph" w:styleId="BalloonText">
    <w:name w:val="Balloon Text"/>
    <w:basedOn w:val="Normal"/>
    <w:link w:val="BalloonTextChar"/>
    <w:uiPriority w:val="99"/>
    <w:semiHidden/>
    <w:unhideWhenUsed/>
    <w:qFormat/>
    <w:rsid w:val="00636adc"/>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CommentSubjectChar"/>
    <w:uiPriority w:val="99"/>
    <w:semiHidden/>
    <w:unhideWhenUsed/>
    <w:qFormat/>
    <w:rsid w:val="005f3fe1"/>
    <w:pPr/>
    <w:rPr>
      <w:b/>
      <w:bCs/>
    </w:rPr>
  </w:style>
  <w:style w:type="paragraph" w:styleId="Revision">
    <w:name w:val="Revision"/>
    <w:uiPriority w:val="99"/>
    <w:semiHidden/>
    <w:qFormat/>
    <w:rsid w:val="009c457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Fusnota">
    <w:name w:val="Footnote Text"/>
    <w:basedOn w:val="Normal"/>
    <w:link w:val="FootnoteTextChar"/>
    <w:uiPriority w:val="99"/>
    <w:semiHidden/>
    <w:unhideWhenUsed/>
    <w:rsid w:val="001b6a93"/>
    <w:pPr>
      <w:spacing w:lineRule="auto" w:line="240" w:before="0" w:after="0"/>
    </w:pPr>
    <w:rPr>
      <w:sz w:val="20"/>
      <w:szCs w:val="20"/>
    </w:rPr>
  </w:style>
  <w:style w:type="paragraph" w:styleId="Zaglavljeipodnoje" w:customStyle="1">
    <w:name w:val="Zaglavlje i podnožje"/>
    <w:basedOn w:val="Normal"/>
    <w:qFormat/>
    <w:pPr/>
    <w:rPr/>
  </w:style>
  <w:style w:type="paragraph" w:styleId="Zaglavlje">
    <w:name w:val="Header"/>
    <w:basedOn w:val="Normal"/>
    <w:link w:val="HeaderChar"/>
    <w:uiPriority w:val="99"/>
    <w:unhideWhenUsed/>
    <w:rsid w:val="000d109e"/>
    <w:pPr>
      <w:tabs>
        <w:tab w:val="clear" w:pos="709"/>
        <w:tab w:val="center" w:pos="4536" w:leader="none"/>
        <w:tab w:val="right" w:pos="9072" w:leader="none"/>
      </w:tabs>
      <w:spacing w:lineRule="auto" w:line="240" w:before="0" w:after="0"/>
    </w:pPr>
    <w:rPr/>
  </w:style>
  <w:style w:type="paragraph" w:styleId="Podnoje">
    <w:name w:val="Footer"/>
    <w:basedOn w:val="Normal"/>
    <w:link w:val="FooterChar"/>
    <w:uiPriority w:val="99"/>
    <w:unhideWhenUsed/>
    <w:rsid w:val="000d109e"/>
    <w:pPr>
      <w:tabs>
        <w:tab w:val="clear" w:pos="709"/>
        <w:tab w:val="center" w:pos="4536" w:leader="none"/>
        <w:tab w:val="right" w:pos="9072" w:leader="none"/>
      </w:tabs>
      <w:spacing w:lineRule="auto" w:line="240" w:before="0" w:after="0"/>
    </w:pPr>
    <w:rPr/>
  </w:style>
  <w:style w:type="paragraph" w:styleId="Default" w:customStyle="1">
    <w:name w:val="Default"/>
    <w:uiPriority w:val="99"/>
    <w:qFormat/>
    <w:rsid w:val="000d109e"/>
    <w:pPr>
      <w:widowControl/>
      <w:suppressAutoHyphens w:val="true"/>
      <w:bidi w:val="0"/>
      <w:spacing w:before="0" w:after="0"/>
      <w:jc w:val="left"/>
    </w:pPr>
    <w:rPr>
      <w:rFonts w:ascii="Arial" w:hAnsi="Arial" w:eastAsia="Calibri" w:cs="Arial"/>
      <w:color w:val="000000"/>
      <w:kern w:val="0"/>
      <w:sz w:val="24"/>
      <w:szCs w:val="24"/>
      <w:lang w:val="fr-FR" w:eastAsia="en-US" w:bidi="ar-SA"/>
    </w:rPr>
  </w:style>
  <w:style w:type="paragraph" w:styleId="T98" w:customStyle="1">
    <w:name w:val="t-9-8"/>
    <w:basedOn w:val="Normal"/>
    <w:qFormat/>
    <w:rsid w:val="00423d93"/>
    <w:pPr>
      <w:spacing w:lineRule="auto" w:line="240" w:beforeAutospacing="1" w:afterAutospacing="1"/>
    </w:pPr>
    <w:rPr>
      <w:rFonts w:ascii="Times New Roman" w:hAnsi="Times New Roman" w:eastAsia="Times New Roman" w:cs="Times New Roman"/>
      <w:sz w:val="24"/>
      <w:szCs w:val="24"/>
      <w:lang w:eastAsia="hr-HR"/>
    </w:rPr>
  </w:style>
  <w:style w:type="paragraph" w:styleId="TOCHeading">
    <w:name w:val="TOC Heading"/>
    <w:basedOn w:val="Stilnaslova1"/>
    <w:next w:val="Normal"/>
    <w:uiPriority w:val="39"/>
    <w:unhideWhenUsed/>
    <w:qFormat/>
    <w:rsid w:val="00fe7f63"/>
    <w:pPr>
      <w:spacing w:lineRule="auto" w:line="276" w:before="480" w:after="0"/>
    </w:pPr>
    <w:rPr>
      <w:b/>
      <w:bCs/>
      <w:sz w:val="28"/>
      <w:szCs w:val="28"/>
      <w:lang w:val="en-US"/>
    </w:rPr>
  </w:style>
  <w:style w:type="paragraph" w:styleId="Sadraj1">
    <w:name w:val="TOC 1"/>
    <w:basedOn w:val="Normal"/>
    <w:next w:val="Normal"/>
    <w:autoRedefine/>
    <w:uiPriority w:val="39"/>
    <w:unhideWhenUsed/>
    <w:rsid w:val="00fe7f63"/>
    <w:pPr>
      <w:spacing w:before="0" w:after="100"/>
    </w:pPr>
    <w:rPr/>
  </w:style>
  <w:style w:type="paragraph" w:styleId="NormalWeb">
    <w:name w:val="Normal (Web)"/>
    <w:basedOn w:val="Normal"/>
    <w:uiPriority w:val="99"/>
    <w:semiHidden/>
    <w:unhideWhenUsed/>
    <w:qFormat/>
    <w:rsid w:val="007e0e83"/>
    <w:pPr>
      <w:spacing w:lineRule="auto" w:line="240" w:beforeAutospacing="1" w:afterAutospacing="1"/>
    </w:pPr>
    <w:rPr>
      <w:rFonts w:ascii="Times New Roman" w:hAnsi="Times New Roman" w:eastAsia="Times New Roman" w:cs="Times New Roman"/>
      <w:sz w:val="24"/>
      <w:szCs w:val="24"/>
      <w:lang w:val="en-US"/>
    </w:rPr>
  </w:style>
  <w:style w:type="paragraph" w:styleId="NoSpacing">
    <w:name w:val="No Spacing"/>
    <w:uiPriority w:val="1"/>
    <w:qFormat/>
    <w:rsid w:val="00195be4"/>
    <w:pPr>
      <w:widowControl/>
      <w:suppressAutoHyphens w:val="true"/>
      <w:bidi w:val="0"/>
      <w:spacing w:before="0" w:after="0"/>
      <w:ind w:left="425" w:hanging="0"/>
      <w:jc w:val="left"/>
    </w:pPr>
    <w:rPr>
      <w:rFonts w:cs="Times New Roman" w:ascii="Calibri" w:hAnsi="Calibri" w:eastAsia="Calibri" w:asciiTheme="minorHAnsi" w:eastAsiaTheme="minorHAnsi" w:hAnsiTheme="minorHAnsi"/>
      <w:color w:val="auto"/>
      <w:kern w:val="0"/>
      <w:sz w:val="22"/>
      <w:szCs w:val="22"/>
      <w:lang w:val="hr-HR" w:eastAsia="en-US" w:bidi="ar-SA"/>
    </w:rPr>
  </w:style>
  <w:style w:type="paragraph" w:styleId="Nabrajanje2" w:customStyle="1">
    <w:name w:val="Nabrajanje 2"/>
    <w:basedOn w:val="Normal"/>
    <w:qFormat/>
    <w:rsid w:val="00a2263c"/>
    <w:pPr>
      <w:numPr>
        <w:ilvl w:val="0"/>
        <w:numId w:val="15"/>
      </w:numPr>
      <w:tabs>
        <w:tab w:val="clear" w:pos="709"/>
        <w:tab w:val="left" w:pos="3261" w:leader="dot"/>
      </w:tabs>
      <w:spacing w:lineRule="auto" w:line="240" w:before="0" w:after="120"/>
      <w:contextualSpacing/>
      <w:jc w:val="both"/>
    </w:pPr>
    <w:rPr>
      <w:rFonts w:ascii="Calibri" w:hAnsi="Calibri" w:eastAsia="Times New Roman" w:cs="Times New Roman"/>
      <w:lang w:eastAsia="hr-HR"/>
    </w:rPr>
  </w:style>
  <w:style w:type="paragraph" w:styleId="Nabrajanje3" w:customStyle="1">
    <w:name w:val="Nabrajanje 3"/>
    <w:basedOn w:val="Nabrajanje2"/>
    <w:qFormat/>
    <w:rsid w:val="00a2263c"/>
    <w:pPr/>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0d109e"/>
  </w:style>
  <w:style w:type="numbering" w:styleId="NoList11" w:customStyle="1">
    <w:name w:val="No List11"/>
    <w:uiPriority w:val="99"/>
    <w:semiHidden/>
    <w:unhideWhenUsed/>
    <w:qFormat/>
    <w:rsid w:val="000d109e"/>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d109e"/>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1">
    <w:name w:val="Table Grid11"/>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 Grid3"/>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1-Accent6">
    <w:name w:val="Medium Shading 1 Accent 6"/>
    <w:basedOn w:val="TableNormal"/>
    <w:uiPriority w:val="63"/>
    <w:rsid w:val="00e60c6e"/>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tblPr>
      <w:tblStyleRowBandSize w:val="1"/>
      <w:tblStyleColBandSize w:val="1"/>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Reetkatablice1">
    <w:name w:val="Rešetka tablice1"/>
    <w:basedOn w:val="TableNormal"/>
    <w:uiPriority w:val="39"/>
    <w:rsid w:val="00c65bfa"/>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dTable4-Accent11">
    <w:name w:val="Grid Table 4 - Accent 11"/>
    <w:basedOn w:val="TableNormal"/>
    <w:uiPriority w:val="49"/>
    <w:rsid w:val="00a2263c"/>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Pr/>
    </w:tblStylePr>
    <w:tblStylePr w:type="lastCol">
      <w:rPr>
        <w:b/>
        <w:bCs/>
      </w:rPr>
      <w:tbl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Shading">
    <w:name w:val="Light Shading"/>
    <w:basedOn w:val="TableNormal"/>
    <w:uiPriority w:val="60"/>
    <w:rsid w:val="003a79d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info@sts-tech.hr" TargetMode="External"/><Relationship Id="rId5" Type="http://schemas.openxmlformats.org/officeDocument/2006/relationships/hyperlink" Target="mailto:info@sts-tech.hr" TargetMode="External"/><Relationship Id="rId6" Type="http://schemas.openxmlformats.org/officeDocument/2006/relationships/hyperlink" Target="http://www.strukturnifondovi.hr/" TargetMode="External"/><Relationship Id="rId7" Type="http://schemas.openxmlformats.org/officeDocument/2006/relationships/hyperlink" Target="http://www.strukturnifondovi.hr/" TargetMode="External"/><Relationship Id="rId8" Type="http://schemas.openxmlformats.org/officeDocument/2006/relationships/hyperlink" Target="http://www.strukturnifondovi.hr/"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70026-739E-498A-9246-31AA5BE3E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16232</TotalTime>
  <Application>LibreOffice/7.1.4.2$Windows_X86_64 LibreOffice_project/a529a4fab45b75fefc5b6226684193eb000654f6</Application>
  <AppVersion>15.0000</AppVersion>
  <Pages>16</Pages>
  <Words>5341</Words>
  <Characters>32027</Characters>
  <CharactersWithSpaces>37163</CharactersWithSpaces>
  <Paragraphs>260</Paragraphs>
  <Company>PRO-KLIMA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2016-02-15T14:35:00Z</dcterms:created>
  <dc:creator>2-PJR</dc:creator>
  <dc:description/>
  <dc:language>hr-HR</dc:language>
  <cp:lastModifiedBy/>
  <cp:lastPrinted>2020-10-26T12:59:00Z</cp:lastPrinted>
  <dcterms:modified xsi:type="dcterms:W3CDTF">2021-11-14T11:38:23Z</dcterms:modified>
  <cp:revision>389</cp:revision>
  <dc:subject/>
  <dc:title/>
</cp:coreProperties>
</file>

<file path=docProps/custom.xml><?xml version="1.0" encoding="utf-8"?>
<Properties xmlns="http://schemas.openxmlformats.org/officeDocument/2006/custom-properties" xmlns:vt="http://schemas.openxmlformats.org/officeDocument/2006/docPropsVTypes"/>
</file>