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  <w:bookmarkStart w:id="0" w:name="_GoBack"/>
        <w:bookmarkEnd w:id="0"/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3172" w14:textId="77777777" w:rsidR="00243BDF" w:rsidRDefault="00243BDF" w:rsidP="009B470B">
      <w:pPr>
        <w:spacing w:after="0" w:line="240" w:lineRule="auto"/>
      </w:pPr>
      <w:r>
        <w:separator/>
      </w:r>
    </w:p>
  </w:endnote>
  <w:endnote w:type="continuationSeparator" w:id="0">
    <w:p w14:paraId="005CEEF2" w14:textId="77777777" w:rsidR="00243BDF" w:rsidRDefault="00243BD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3BD2A05B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FB09E9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C382" w14:textId="100AE1C7" w:rsidR="00FB09E9" w:rsidRPr="00F06BE1" w:rsidRDefault="00FB09E9" w:rsidP="00FB09E9">
    <w:pPr>
      <w:pStyle w:val="Footer"/>
      <w:jc w:val="right"/>
      <w:rPr>
        <w:sz w:val="18"/>
        <w:szCs w:val="18"/>
      </w:rPr>
    </w:pPr>
    <w:r w:rsidRPr="00F06BE1">
      <w:rPr>
        <w:sz w:val="18"/>
        <w:szCs w:val="18"/>
      </w:rPr>
      <w:t xml:space="preserve">I </w:t>
    </w:r>
    <w:proofErr w:type="spellStart"/>
    <w:r w:rsidRPr="00F06BE1">
      <w:rPr>
        <w:sz w:val="18"/>
        <w:szCs w:val="18"/>
      </w:rPr>
      <w:t>izmjena</w:t>
    </w:r>
    <w:proofErr w:type="spellEnd"/>
    <w:r w:rsidRPr="00F06BE1">
      <w:rPr>
        <w:sz w:val="18"/>
        <w:szCs w:val="18"/>
      </w:rPr>
      <w:t xml:space="preserve"> </w:t>
    </w:r>
    <w:proofErr w:type="spellStart"/>
    <w:r w:rsidRPr="00F06BE1">
      <w:rPr>
        <w:sz w:val="18"/>
        <w:szCs w:val="18"/>
      </w:rPr>
      <w:t>poziva</w:t>
    </w:r>
    <w:proofErr w:type="spellEnd"/>
  </w:p>
  <w:p w14:paraId="05A28B2E" w14:textId="72570940" w:rsidR="00FB09E9" w:rsidRDefault="00FB09E9">
    <w:pPr>
      <w:pStyle w:val="Footer"/>
    </w:pPr>
  </w:p>
  <w:p w14:paraId="25C9687D" w14:textId="77777777" w:rsidR="00FB09E9" w:rsidRDefault="00FB0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88FA" w14:textId="77777777" w:rsidR="00243BDF" w:rsidRDefault="00243BDF" w:rsidP="009B470B">
      <w:pPr>
        <w:spacing w:after="0" w:line="240" w:lineRule="auto"/>
      </w:pPr>
      <w:r>
        <w:separator/>
      </w:r>
    </w:p>
  </w:footnote>
  <w:footnote w:type="continuationSeparator" w:id="0">
    <w:p w14:paraId="1C7CEE79" w14:textId="77777777" w:rsidR="00243BDF" w:rsidRDefault="00243BD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36C2FB82" w:rsidR="00786AE6" w:rsidRDefault="00605BFB">
    <w:pPr>
      <w:pStyle w:val="Header"/>
    </w:pPr>
    <w:r>
      <w:rPr>
        <w:noProof/>
        <w:lang w:val="hr-HR" w:eastAsia="hr-HR"/>
      </w:rPr>
      <w:drawing>
        <wp:inline distT="0" distB="0" distL="0" distR="0" wp14:anchorId="3AE6AE59" wp14:editId="6288ECB1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hr-HR" w:eastAsia="hr-HR"/>
      </w:rPr>
      <w:drawing>
        <wp:inline distT="0" distB="0" distL="0" distR="0" wp14:anchorId="2B656140" wp14:editId="545407FB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3BDF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05D23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5BFB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4597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A4D11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09E9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FC"/>
    <w:rsid w:val="000D6BD6"/>
    <w:rsid w:val="00A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BFDAD18D3A4305985215E86C072619">
    <w:name w:val="B2BFDAD18D3A4305985215E86C072619"/>
    <w:rsid w:val="00AB7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2021-12-30T14:54:00Z</dcterms:created>
  <dcterms:modified xsi:type="dcterms:W3CDTF">2022-02-02T08:28:00Z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