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11757" w14:textId="77777777" w:rsidR="00161FE8" w:rsidRDefault="007C4615">
      <w:pPr>
        <w:spacing w:after="80" w:line="259" w:lineRule="auto"/>
        <w:ind w:left="1097" w:right="552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CC99D42" wp14:editId="5DA2F62B">
            <wp:simplePos x="0" y="0"/>
            <wp:positionH relativeFrom="column">
              <wp:posOffset>-558</wp:posOffset>
            </wp:positionH>
            <wp:positionV relativeFrom="paragraph">
              <wp:posOffset>-59134</wp:posOffset>
            </wp:positionV>
            <wp:extent cx="542925" cy="704850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4FCABFF0" wp14:editId="30323EBE">
            <wp:simplePos x="0" y="0"/>
            <wp:positionH relativeFrom="column">
              <wp:posOffset>4579061</wp:posOffset>
            </wp:positionH>
            <wp:positionV relativeFrom="paragraph">
              <wp:posOffset>-50244</wp:posOffset>
            </wp:positionV>
            <wp:extent cx="831850" cy="514985"/>
            <wp:effectExtent l="0" t="0" r="0" b="0"/>
            <wp:wrapSquare wrapText="bothSides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EE0000"/>
          <w:sz w:val="16"/>
        </w:rPr>
        <w:t xml:space="preserve">REPUBLIKA HRVATSKA </w:t>
      </w:r>
    </w:p>
    <w:p w14:paraId="0A7942DE" w14:textId="77777777" w:rsidR="0047026B" w:rsidRDefault="007C4615">
      <w:pPr>
        <w:spacing w:after="72" w:line="259" w:lineRule="auto"/>
        <w:ind w:right="552"/>
        <w:jc w:val="left"/>
        <w:rPr>
          <w:sz w:val="24"/>
        </w:rPr>
      </w:pPr>
      <w:r>
        <w:rPr>
          <w:sz w:val="24"/>
        </w:rPr>
        <w:t xml:space="preserve">MINISTARSTVO </w:t>
      </w:r>
      <w:r w:rsidR="0047026B">
        <w:rPr>
          <w:sz w:val="24"/>
        </w:rPr>
        <w:t>GOSPODARSTVA</w:t>
      </w:r>
    </w:p>
    <w:p w14:paraId="69070574" w14:textId="77777777" w:rsidR="00161FE8" w:rsidRDefault="0047026B">
      <w:pPr>
        <w:spacing w:after="72" w:line="259" w:lineRule="auto"/>
        <w:ind w:right="552"/>
        <w:jc w:val="left"/>
      </w:pPr>
      <w:r>
        <w:rPr>
          <w:sz w:val="24"/>
        </w:rPr>
        <w:t>I ODRŽIVOG RAZVOJA</w:t>
      </w:r>
      <w:r w:rsidR="007C4615">
        <w:rPr>
          <w:sz w:val="24"/>
        </w:rPr>
        <w:t xml:space="preserve"> </w:t>
      </w:r>
    </w:p>
    <w:p w14:paraId="4D6925EE" w14:textId="77777777" w:rsidR="0047026B" w:rsidRDefault="007C4615">
      <w:pPr>
        <w:tabs>
          <w:tab w:val="center" w:pos="869"/>
          <w:tab w:val="center" w:pos="7861"/>
          <w:tab w:val="right" w:pos="9073"/>
        </w:tabs>
        <w:spacing w:after="0" w:line="259" w:lineRule="auto"/>
        <w:ind w:lef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55E0FFCA" w14:textId="77777777" w:rsidR="0047026B" w:rsidRDefault="0047026B">
      <w:pPr>
        <w:tabs>
          <w:tab w:val="center" w:pos="869"/>
          <w:tab w:val="center" w:pos="7861"/>
          <w:tab w:val="right" w:pos="9073"/>
        </w:tabs>
        <w:spacing w:after="0" w:line="259" w:lineRule="auto"/>
        <w:ind w:left="0" w:firstLine="0"/>
        <w:jc w:val="left"/>
        <w:rPr>
          <w:rFonts w:ascii="Calibri" w:eastAsia="Calibri" w:hAnsi="Calibri" w:cs="Calibri"/>
        </w:rPr>
      </w:pPr>
      <w:r>
        <w:rPr>
          <w:b/>
          <w:sz w:val="16"/>
        </w:rPr>
        <w:tab/>
      </w:r>
      <w:r>
        <w:rPr>
          <w:b/>
          <w:sz w:val="16"/>
        </w:rPr>
        <w:tab/>
        <w:t>Europska unija</w:t>
      </w:r>
    </w:p>
    <w:p w14:paraId="33C1CA8A" w14:textId="77777777" w:rsidR="0047026B" w:rsidRDefault="0047026B">
      <w:pPr>
        <w:tabs>
          <w:tab w:val="center" w:pos="869"/>
          <w:tab w:val="center" w:pos="7861"/>
          <w:tab w:val="right" w:pos="9073"/>
        </w:tabs>
        <w:spacing w:after="0" w:line="259" w:lineRule="auto"/>
        <w:ind w:left="0" w:firstLine="0"/>
        <w:jc w:val="left"/>
        <w:rPr>
          <w:b/>
          <w:sz w:val="16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</w:t>
      </w:r>
      <w:r w:rsidRPr="0047026B">
        <w:rPr>
          <w:b/>
          <w:sz w:val="16"/>
          <w:szCs w:val="16"/>
        </w:rPr>
        <w:t>F</w:t>
      </w:r>
      <w:r w:rsidR="007C4615">
        <w:rPr>
          <w:b/>
          <w:sz w:val="16"/>
        </w:rPr>
        <w:t>ond solidarnosti Europske unije</w:t>
      </w:r>
    </w:p>
    <w:p w14:paraId="2C83E806" w14:textId="77777777" w:rsidR="00161FE8" w:rsidRDefault="007C4615">
      <w:pPr>
        <w:tabs>
          <w:tab w:val="center" w:pos="869"/>
          <w:tab w:val="center" w:pos="7861"/>
          <w:tab w:val="right" w:pos="9073"/>
        </w:tabs>
        <w:spacing w:after="0" w:line="259" w:lineRule="auto"/>
        <w:ind w:left="0" w:firstLine="0"/>
        <w:jc w:val="left"/>
      </w:pPr>
      <w:r>
        <w:rPr>
          <w:b/>
          <w:sz w:val="16"/>
        </w:rPr>
        <w:tab/>
        <w:t xml:space="preserve"> </w:t>
      </w:r>
    </w:p>
    <w:p w14:paraId="67C45538" w14:textId="2EE11F52" w:rsidR="00161FE8" w:rsidRDefault="007C4615" w:rsidP="00BA57CD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2063030" w14:textId="77777777" w:rsidR="00161FE8" w:rsidRDefault="007C4615">
      <w:pPr>
        <w:spacing w:after="175" w:line="259" w:lineRule="auto"/>
        <w:ind w:right="1"/>
        <w:jc w:val="center"/>
      </w:pPr>
      <w:r>
        <w:rPr>
          <w:i/>
        </w:rPr>
        <w:t xml:space="preserve">Ovaj Poziv se financira iz </w:t>
      </w:r>
    </w:p>
    <w:p w14:paraId="7273A263" w14:textId="77777777" w:rsidR="00161FE8" w:rsidRDefault="007C4615">
      <w:pPr>
        <w:spacing w:after="229" w:line="259" w:lineRule="auto"/>
        <w:ind w:right="4"/>
        <w:jc w:val="center"/>
      </w:pPr>
      <w:r>
        <w:rPr>
          <w:i/>
        </w:rPr>
        <w:t>Fonda solidarnosti Europske unije</w:t>
      </w:r>
      <w:r>
        <w:rPr>
          <w:b/>
        </w:rPr>
        <w:t xml:space="preserve"> </w:t>
      </w:r>
    </w:p>
    <w:p w14:paraId="5929A108" w14:textId="77777777" w:rsidR="00161FE8" w:rsidRDefault="007C4615">
      <w:pPr>
        <w:spacing w:after="263" w:line="259" w:lineRule="auto"/>
        <w:ind w:left="127" w:right="120"/>
        <w:jc w:val="center"/>
      </w:pPr>
      <w:r>
        <w:rPr>
          <w:b/>
        </w:rPr>
        <w:t xml:space="preserve">SAŽETAK POZIVA NA DOSTAVU PROJEKTNIH PRIJEDLOGA </w:t>
      </w:r>
    </w:p>
    <w:p w14:paraId="2D138D7E" w14:textId="409931E2" w:rsidR="00277A40" w:rsidRPr="002C40AD" w:rsidRDefault="00E56CD0" w:rsidP="002C40AD">
      <w:pPr>
        <w:pStyle w:val="Bezproreda"/>
        <w:jc w:val="center"/>
        <w:rPr>
          <w:b/>
          <w:bCs/>
          <w:sz w:val="24"/>
          <w:szCs w:val="24"/>
        </w:rPr>
      </w:pPr>
      <w:r w:rsidRPr="002C40AD">
        <w:rPr>
          <w:b/>
          <w:bCs/>
          <w:sz w:val="24"/>
          <w:szCs w:val="24"/>
        </w:rPr>
        <w:t>Čišćenje područja pogođenih katastrofom, uključujući prirodna područja, u skladu s, kad je to primjereno, pristupima utemeljenim na ekosustavima</w:t>
      </w:r>
    </w:p>
    <w:p w14:paraId="05E835BD" w14:textId="77777777" w:rsidR="002C40AD" w:rsidRDefault="007C4615">
      <w:pPr>
        <w:spacing w:after="0" w:line="460" w:lineRule="auto"/>
        <w:ind w:left="127" w:right="66"/>
        <w:jc w:val="center"/>
        <w:rPr>
          <w:b/>
        </w:rPr>
      </w:pPr>
      <w:r>
        <w:rPr>
          <w:b/>
        </w:rPr>
        <w:t xml:space="preserve"> </w:t>
      </w:r>
    </w:p>
    <w:p w14:paraId="6227EF97" w14:textId="56913EE7" w:rsidR="00161FE8" w:rsidRDefault="007C4615">
      <w:pPr>
        <w:spacing w:after="0" w:line="460" w:lineRule="auto"/>
        <w:ind w:left="127" w:right="66"/>
        <w:jc w:val="center"/>
      </w:pPr>
      <w:r>
        <w:rPr>
          <w:b/>
        </w:rPr>
        <w:t>FSEU.202</w:t>
      </w:r>
      <w:r w:rsidR="004B728A">
        <w:rPr>
          <w:b/>
        </w:rPr>
        <w:t>2</w:t>
      </w:r>
      <w:r>
        <w:rPr>
          <w:b/>
        </w:rPr>
        <w:t>.M</w:t>
      </w:r>
      <w:r w:rsidR="00F737BA">
        <w:rPr>
          <w:b/>
        </w:rPr>
        <w:t>INGOR</w:t>
      </w:r>
      <w:r>
        <w:rPr>
          <w:b/>
        </w:rPr>
        <w:t>.</w:t>
      </w:r>
      <w:r w:rsidR="00361FEE">
        <w:rPr>
          <w:b/>
        </w:rPr>
        <w:t>04</w:t>
      </w:r>
    </w:p>
    <w:p w14:paraId="77887D40" w14:textId="73CDBB91" w:rsidR="00AD4288" w:rsidRDefault="007C4615" w:rsidP="00BA57CD">
      <w:pPr>
        <w:spacing w:after="62" w:line="259" w:lineRule="auto"/>
        <w:ind w:left="720" w:firstLine="0"/>
        <w:jc w:val="left"/>
        <w:rPr>
          <w:b/>
        </w:rPr>
      </w:pPr>
      <w:r>
        <w:rPr>
          <w:b/>
        </w:rPr>
        <w:t xml:space="preserve"> </w:t>
      </w:r>
    </w:p>
    <w:p w14:paraId="7E1F6E3B" w14:textId="353EEFDC" w:rsidR="00AD4288" w:rsidRPr="00372EE0" w:rsidRDefault="005F0F2B" w:rsidP="00AD4288">
      <w:pPr>
        <w:pStyle w:val="Odlomakpopisa"/>
        <w:numPr>
          <w:ilvl w:val="0"/>
          <w:numId w:val="3"/>
        </w:numPr>
      </w:pPr>
      <w:r>
        <w:rPr>
          <w:b/>
        </w:rPr>
        <w:t xml:space="preserve">Predmet i </w:t>
      </w:r>
      <w:r w:rsidR="00AD4288">
        <w:rPr>
          <w:b/>
        </w:rPr>
        <w:t>Svrha (cilj) Poziva</w:t>
      </w:r>
    </w:p>
    <w:p w14:paraId="2D3A94CC" w14:textId="4069414D" w:rsidR="00372EE0" w:rsidRDefault="00372EE0" w:rsidP="00372EE0">
      <w:pPr>
        <w:ind w:left="-15" w:firstLine="0"/>
      </w:pPr>
      <w:r>
        <w:t>Predmet p</w:t>
      </w:r>
      <w:r w:rsidRPr="00B367F7">
        <w:t>oziv</w:t>
      </w:r>
      <w:r>
        <w:t>a</w:t>
      </w:r>
      <w:r w:rsidRPr="00B367F7">
        <w:t xml:space="preserve"> </w:t>
      </w:r>
      <w:r>
        <w:t>je</w:t>
      </w:r>
      <w:r w:rsidRPr="00B367F7">
        <w:t xml:space="preserve"> po</w:t>
      </w:r>
      <w:r>
        <w:t>tpora</w:t>
      </w:r>
      <w:r w:rsidRPr="00B367F7">
        <w:t xml:space="preserve"> provedb</w:t>
      </w:r>
      <w:r>
        <w:t>i</w:t>
      </w:r>
      <w:r w:rsidRPr="00B367F7">
        <w:t xml:space="preserve"> </w:t>
      </w:r>
      <w:r>
        <w:t xml:space="preserve">operacija </w:t>
      </w:r>
      <w:r w:rsidRPr="00372EE0">
        <w:rPr>
          <w:i/>
          <w:iCs/>
        </w:rPr>
        <w:t xml:space="preserve">Čišćenja područja </w:t>
      </w:r>
      <w:r w:rsidRPr="00372EE0">
        <w:rPr>
          <w:bCs/>
          <w:i/>
          <w:iCs/>
          <w:szCs w:val="24"/>
        </w:rPr>
        <w:t>Grada Zagreba, Krapinsko-zagorske županije, Zagrebačke županije, Sisačko-moslavačke županije, Karlovačke županije, Varaždinske županije, Međimurske županije, Brodsko-posavske županije</w:t>
      </w:r>
      <w:r w:rsidR="00BE55F0">
        <w:rPr>
          <w:bCs/>
          <w:i/>
          <w:iCs/>
          <w:szCs w:val="24"/>
        </w:rPr>
        <w:t>, Koprivničko-križevačke županije</w:t>
      </w:r>
      <w:r w:rsidRPr="00372EE0">
        <w:rPr>
          <w:bCs/>
          <w:i/>
          <w:iCs/>
          <w:szCs w:val="24"/>
        </w:rPr>
        <w:t xml:space="preserve"> i Bjelovarsko-bilogorske županije</w:t>
      </w:r>
      <w:r w:rsidRPr="00372EE0">
        <w:rPr>
          <w:bCs/>
          <w:szCs w:val="24"/>
        </w:rPr>
        <w:t xml:space="preserve">, </w:t>
      </w:r>
      <w:r>
        <w:t>nakon potresa 28. i 29. prosinca 2020. godine.</w:t>
      </w:r>
    </w:p>
    <w:p w14:paraId="1963573B" w14:textId="54A94DA8" w:rsidR="00372EE0" w:rsidRDefault="00372EE0" w:rsidP="00372EE0">
      <w:pPr>
        <w:ind w:left="-15" w:firstLine="0"/>
      </w:pPr>
      <w:r w:rsidRPr="00372EE0">
        <w:rPr>
          <w:b/>
          <w:i/>
        </w:rPr>
        <w:t>Svrha (cilj) Poziva</w:t>
      </w:r>
      <w:r>
        <w:rPr>
          <w:b/>
          <w:i/>
        </w:rPr>
        <w:t xml:space="preserve"> </w:t>
      </w:r>
      <w:r w:rsidRPr="00A62425">
        <w:t xml:space="preserve">je nadoknada sredstava </w:t>
      </w:r>
      <w:r>
        <w:t>utrošenih radi operacija čišćenja potresom pogođenih područja, te vraćanja u ispravno radno stanje komunalne infrastrukture u kakvom su bili prije katastrofe.</w:t>
      </w:r>
    </w:p>
    <w:p w14:paraId="4A848C1C" w14:textId="77777777" w:rsidR="00372EE0" w:rsidRDefault="00372EE0" w:rsidP="00372EE0">
      <w:pPr>
        <w:ind w:left="-15" w:firstLine="0"/>
      </w:pPr>
    </w:p>
    <w:p w14:paraId="1C80CE79" w14:textId="5E4ABACE" w:rsidR="00161FE8" w:rsidRPr="00AD4288" w:rsidRDefault="00AD4288" w:rsidP="00AD4288">
      <w:pPr>
        <w:pStyle w:val="Odlomakpopisa"/>
        <w:numPr>
          <w:ilvl w:val="0"/>
          <w:numId w:val="3"/>
        </w:numPr>
        <w:rPr>
          <w:b/>
        </w:rPr>
      </w:pPr>
      <w:r w:rsidRPr="00AD4288">
        <w:rPr>
          <w:b/>
        </w:rPr>
        <w:t>Ukupna raspoloživa financijska sredstva</w:t>
      </w:r>
    </w:p>
    <w:p w14:paraId="1CBCD4FC" w14:textId="0D3D235F" w:rsidR="00A62425" w:rsidRDefault="007C4615" w:rsidP="00BA57CD">
      <w:pPr>
        <w:ind w:left="-5"/>
      </w:pPr>
      <w:r>
        <w:t xml:space="preserve">Ukupan raspoloživ iznos bespovratnih financijskih sredstava za dodjelu u okviru ovog Poziva je </w:t>
      </w:r>
      <w:r w:rsidR="00361FEE" w:rsidRPr="00361FEE">
        <w:rPr>
          <w:b/>
          <w:bCs/>
        </w:rPr>
        <w:t>81.8</w:t>
      </w:r>
      <w:r w:rsidR="00372EE0">
        <w:rPr>
          <w:b/>
          <w:bCs/>
        </w:rPr>
        <w:t>50.000,00</w:t>
      </w:r>
      <w:r w:rsidR="00361FEE" w:rsidRPr="00361FEE">
        <w:rPr>
          <w:b/>
          <w:bCs/>
        </w:rPr>
        <w:t xml:space="preserve"> kuna</w:t>
      </w:r>
      <w:r w:rsidR="0047026B">
        <w:t>,</w:t>
      </w:r>
      <w:r>
        <w:t xml:space="preserve"> koji je</w:t>
      </w:r>
      <w:r w:rsidR="001656F7">
        <w:t xml:space="preserve"> osiguran u Državnom proračunu, </w:t>
      </w:r>
      <w:r w:rsidR="001656F7" w:rsidRPr="001656F7">
        <w:t xml:space="preserve">iz Fonda solidarnosti Europske unije (FSEU). </w:t>
      </w:r>
    </w:p>
    <w:p w14:paraId="40EF339F" w14:textId="56ACD26C" w:rsidR="00161FE8" w:rsidRPr="00BA57CD" w:rsidRDefault="00AD4288" w:rsidP="00AD4288">
      <w:pPr>
        <w:ind w:left="-5"/>
        <w:rPr>
          <w:b/>
        </w:rPr>
      </w:pPr>
      <w:r w:rsidRPr="00BA57CD">
        <w:rPr>
          <w:b/>
        </w:rPr>
        <w:t>3. Prihvatljivi prijavitelji</w:t>
      </w:r>
    </w:p>
    <w:p w14:paraId="7A34E8E0" w14:textId="77777777" w:rsidR="00BE55F0" w:rsidRDefault="00BE55F0" w:rsidP="00BE55F0">
      <w:pPr>
        <w:pStyle w:val="Odlomakpopisa"/>
        <w:numPr>
          <w:ilvl w:val="0"/>
          <w:numId w:val="6"/>
        </w:numPr>
        <w:spacing w:after="200" w:line="276" w:lineRule="auto"/>
        <w:ind w:left="567"/>
        <w:rPr>
          <w:szCs w:val="24"/>
        </w:rPr>
      </w:pPr>
      <w:r w:rsidRPr="0087357D">
        <w:rPr>
          <w:b/>
          <w:bCs/>
          <w:szCs w:val="24"/>
        </w:rPr>
        <w:t>tijela državne uprave</w:t>
      </w:r>
      <w:r w:rsidRPr="00B34B6D">
        <w:rPr>
          <w:szCs w:val="24"/>
        </w:rPr>
        <w:t xml:space="preserve"> prema Zakonu o sustavu državne uprave („Narodne novine“, br. 66/19) i Zakonu o ustrojstvu i djelokrugu tijela državne uprave („Narodne novine“, br. 85/20);</w:t>
      </w:r>
    </w:p>
    <w:p w14:paraId="5AD6DFDF" w14:textId="77777777" w:rsidR="00BE55F0" w:rsidRDefault="00BE55F0" w:rsidP="00BE55F0">
      <w:pPr>
        <w:pStyle w:val="Odlomakpopisa"/>
        <w:numPr>
          <w:ilvl w:val="0"/>
          <w:numId w:val="6"/>
        </w:numPr>
        <w:spacing w:after="200" w:line="276" w:lineRule="auto"/>
        <w:ind w:left="567"/>
        <w:rPr>
          <w:szCs w:val="24"/>
        </w:rPr>
      </w:pPr>
      <w:r w:rsidRPr="0087357D">
        <w:rPr>
          <w:b/>
          <w:bCs/>
          <w:szCs w:val="24"/>
        </w:rPr>
        <w:t>jedinice lokalne i područne (regionalne) samouprave</w:t>
      </w:r>
      <w:r w:rsidRPr="00790F49">
        <w:rPr>
          <w:szCs w:val="24"/>
        </w:rPr>
        <w:t xml:space="preserve"> prema Zakonu o lokalnoj i područnoj (regionalnoj) samoupravi („Narodne novine“, br. 33/01, 60/01, 129/05, 109/07, 125/08, 36/09, 36/09, 150/11, 144/12, 19/13, 137/15, 123/17, 98/19, 144/20) i Zakonu o Gradu Zagrebu („Narodne novine“, br. 62/01, 125/08, 36/09, 119/14, 98/19,  144/20);</w:t>
      </w:r>
    </w:p>
    <w:p w14:paraId="005749A7" w14:textId="77777777" w:rsidR="00BE55F0" w:rsidRPr="00790F49" w:rsidRDefault="00BE55F0" w:rsidP="00BE55F0">
      <w:pPr>
        <w:pStyle w:val="Odlomakpopisa"/>
        <w:numPr>
          <w:ilvl w:val="0"/>
          <w:numId w:val="6"/>
        </w:numPr>
        <w:spacing w:after="200" w:line="276" w:lineRule="auto"/>
        <w:ind w:left="567"/>
        <w:rPr>
          <w:szCs w:val="24"/>
        </w:rPr>
      </w:pPr>
      <w:r w:rsidRPr="0087357D">
        <w:rPr>
          <w:b/>
          <w:bCs/>
        </w:rPr>
        <w:t>Fond za zaštitu okoliša i energetsku učinkovitost</w:t>
      </w:r>
      <w:r w:rsidRPr="0087357D">
        <w:t>, pravna</w:t>
      </w:r>
      <w:r>
        <w:t xml:space="preserve"> osoba s javnim ovlastima koji obavlja djelatnost financiranja pripreme, provedbe i razvoja programa, projekata i sličnih aktivnosti u području očuvanja, održivog korištenja, zaštite i unaprjeđenje okoliša i u području energetske učinkovitosti i korištenja obnovljivih izvora energije, kojoj je osnivač Republika Hrvatska.</w:t>
      </w:r>
    </w:p>
    <w:p w14:paraId="0A196F71" w14:textId="6A0C4F69" w:rsidR="0047026B" w:rsidRDefault="0047026B" w:rsidP="0047026B">
      <w:pPr>
        <w:spacing w:after="5" w:line="250" w:lineRule="auto"/>
        <w:ind w:left="720" w:right="116" w:firstLine="0"/>
      </w:pPr>
    </w:p>
    <w:p w14:paraId="64884A29" w14:textId="1E33B001" w:rsidR="00BA57CD" w:rsidRPr="00BA57CD" w:rsidRDefault="00BA57CD" w:rsidP="00BA57CD">
      <w:pPr>
        <w:pStyle w:val="Odlomakpopisa"/>
        <w:numPr>
          <w:ilvl w:val="0"/>
          <w:numId w:val="5"/>
        </w:numPr>
        <w:spacing w:after="5" w:line="250" w:lineRule="auto"/>
        <w:ind w:right="116"/>
        <w:rPr>
          <w:b/>
        </w:rPr>
      </w:pPr>
      <w:r w:rsidRPr="00BA57CD">
        <w:rPr>
          <w:b/>
        </w:rPr>
        <w:t>Prihvatljive aktivnosti</w:t>
      </w:r>
    </w:p>
    <w:p w14:paraId="3FF3E4AA" w14:textId="77777777" w:rsidR="00BA57CD" w:rsidRDefault="00BA57CD" w:rsidP="00BA57CD">
      <w:pPr>
        <w:pStyle w:val="Odlomakpopisa"/>
        <w:spacing w:after="5" w:line="250" w:lineRule="auto"/>
        <w:ind w:left="345" w:right="116" w:firstLine="0"/>
      </w:pPr>
    </w:p>
    <w:p w14:paraId="3DE5A93E" w14:textId="2611CDE1" w:rsidR="00372EE0" w:rsidRPr="00E91353" w:rsidRDefault="00372EE0" w:rsidP="006151C1">
      <w:pPr>
        <w:spacing w:after="5" w:line="250" w:lineRule="auto"/>
        <w:ind w:right="116"/>
        <w:rPr>
          <w:rFonts w:eastAsiaTheme="minorEastAsia"/>
          <w:color w:val="auto"/>
        </w:rPr>
      </w:pPr>
      <w:bookmarkStart w:id="0" w:name="_Hlk91778270"/>
      <w:r>
        <w:t xml:space="preserve">Prihvatljive aktivnosti obuhvaćaju aktivnosti </w:t>
      </w:r>
      <w:r w:rsidRPr="00960589">
        <w:rPr>
          <w:rFonts w:eastAsiaTheme="minorEastAsia"/>
          <w:color w:val="auto"/>
          <w:sz w:val="24"/>
          <w:szCs w:val="24"/>
        </w:rPr>
        <w:t>ukl</w:t>
      </w:r>
      <w:r>
        <w:rPr>
          <w:rFonts w:eastAsiaTheme="minorEastAsia"/>
          <w:color w:val="auto"/>
          <w:szCs w:val="24"/>
        </w:rPr>
        <w:t>a</w:t>
      </w:r>
      <w:r w:rsidRPr="00960589">
        <w:rPr>
          <w:rFonts w:eastAsiaTheme="minorEastAsia"/>
          <w:color w:val="auto"/>
          <w:sz w:val="24"/>
          <w:szCs w:val="24"/>
        </w:rPr>
        <w:t>n</w:t>
      </w:r>
      <w:r>
        <w:rPr>
          <w:rFonts w:eastAsiaTheme="minorEastAsia"/>
          <w:color w:val="auto"/>
          <w:szCs w:val="24"/>
        </w:rPr>
        <w:t>janja</w:t>
      </w:r>
      <w:r w:rsidRPr="00960589">
        <w:rPr>
          <w:rFonts w:eastAsiaTheme="minorEastAsia"/>
          <w:color w:val="auto"/>
          <w:sz w:val="24"/>
          <w:szCs w:val="24"/>
        </w:rPr>
        <w:t xml:space="preserve"> </w:t>
      </w:r>
      <w:r w:rsidRPr="00E91353">
        <w:rPr>
          <w:rFonts w:eastAsiaTheme="minorEastAsia"/>
          <w:color w:val="auto"/>
        </w:rPr>
        <w:t xml:space="preserve">dijelova građevina, opreme i postrojenja uništenih i/ili oštećenih u potresu odgovarajućom mehanizacijom i strojevima/vozilima u cilju sprječavanja daljnje štete i osiguranja zdravlja i života ljudi. U okviru radova potrebno je omogućiti </w:t>
      </w:r>
      <w:r w:rsidRPr="00E91353">
        <w:rPr>
          <w:rFonts w:eastAsiaTheme="minorEastAsia"/>
          <w:color w:val="auto"/>
        </w:rPr>
        <w:lastRenderedPageBreak/>
        <w:t>aktivnosti procjene nastale štete u cilju uspostave funkcioniranja cjelokupnog javnog komunalnog sustava i odvijanja prometa, te vraćanja u ispravno radno stanje građevina, opreme, postrojenja i javnih površina. Nužno je građevni i ostale vrste materijala i otpada, uključujući povećane količine odvojeno sakupljenog otpada na lokacijama kontejnerskih naselja, centara za humanitarnu pomoć, Stožera civilne zaštite i sl. a što je direktno posljedica potresa, sakupiti, prevesti i zbrinuti na zakonom propisan način.</w:t>
      </w:r>
    </w:p>
    <w:p w14:paraId="1413FB12" w14:textId="77777777" w:rsidR="006151C1" w:rsidRPr="00E91353" w:rsidRDefault="006151C1" w:rsidP="006151C1">
      <w:pPr>
        <w:spacing w:after="5" w:line="250" w:lineRule="auto"/>
        <w:ind w:right="116"/>
        <w:rPr>
          <w:rFonts w:eastAsiaTheme="minorEastAsia"/>
          <w:color w:val="auto"/>
        </w:rPr>
      </w:pPr>
    </w:p>
    <w:p w14:paraId="358D6250" w14:textId="5D939C35" w:rsidR="00A62425" w:rsidRPr="00E91353" w:rsidRDefault="00372EE0" w:rsidP="006151C1">
      <w:pPr>
        <w:ind w:right="116"/>
      </w:pPr>
      <w:r w:rsidRPr="00E91353">
        <w:t xml:space="preserve">U okviru ove aktivnosti prihvatljive su </w:t>
      </w:r>
      <w:r w:rsidRPr="00E91353">
        <w:rPr>
          <w:b/>
          <w:bCs/>
        </w:rPr>
        <w:t>sve radnje čišćenja područja</w:t>
      </w:r>
      <w:r w:rsidRPr="00E91353">
        <w:t xml:space="preserve"> koje su poduzete neposredno nakon potresa kao i tijekom narednog razdoblja u kojem su se značajno povećale količine materijala od rušenja i količine raznih vrsta otpada.</w:t>
      </w:r>
    </w:p>
    <w:bookmarkEnd w:id="0"/>
    <w:p w14:paraId="56DF645F" w14:textId="773E6DDC" w:rsidR="00161FE8" w:rsidRDefault="007C4615" w:rsidP="00BA57CD">
      <w:pPr>
        <w:pStyle w:val="Naslov1"/>
        <w:numPr>
          <w:ilvl w:val="0"/>
          <w:numId w:val="5"/>
        </w:numPr>
        <w:spacing w:after="170"/>
        <w:ind w:right="0"/>
      </w:pPr>
      <w:r>
        <w:t xml:space="preserve">Administrativni podaci </w:t>
      </w:r>
    </w:p>
    <w:p w14:paraId="531A827A" w14:textId="50539C53" w:rsidR="00161FE8" w:rsidRDefault="007C4615">
      <w:pPr>
        <w:ind w:left="-5"/>
      </w:pPr>
      <w:r>
        <w:t xml:space="preserve">Poziv se provodi kao </w:t>
      </w:r>
      <w:r w:rsidR="006151C1">
        <w:t>o</w:t>
      </w:r>
      <w:r w:rsidR="00BE55F0">
        <w:t>tvoreni</w:t>
      </w:r>
      <w:r w:rsidR="006151C1">
        <w:t xml:space="preserve"> poziv</w:t>
      </w:r>
      <w:r w:rsidR="00361FEE">
        <w:t xml:space="preserve"> s</w:t>
      </w:r>
      <w:r>
        <w:t xml:space="preserve"> krajnjim rokom dostave projektnih prijedloga do iskorištenja financijske alokacije, odnosno najkasnije do 3</w:t>
      </w:r>
      <w:r w:rsidR="00361FEE">
        <w:t>0.05.</w:t>
      </w:r>
      <w:r>
        <w:t>202</w:t>
      </w:r>
      <w:r w:rsidR="00F80EEC">
        <w:t>2</w:t>
      </w:r>
      <w:r>
        <w:t>. godine</w:t>
      </w:r>
      <w:r w:rsidR="00634083">
        <w:t xml:space="preserve"> ovisno koji uvjet prije nastupi</w:t>
      </w:r>
      <w:r w:rsidR="00361FEE">
        <w:t>.</w:t>
      </w:r>
    </w:p>
    <w:p w14:paraId="3B0C66BA" w14:textId="77777777" w:rsidR="00161FE8" w:rsidRDefault="007C4615">
      <w:pPr>
        <w:ind w:left="-5"/>
      </w:pPr>
      <w:r>
        <w:t xml:space="preserve">Dostava projektnog prijedloga dozvoljena je najranije od dana objave Poziva. </w:t>
      </w:r>
    </w:p>
    <w:p w14:paraId="65CDB054" w14:textId="655B0478" w:rsidR="00161FE8" w:rsidRDefault="007C4615">
      <w:pPr>
        <w:ind w:left="-5"/>
      </w:pPr>
      <w:r>
        <w:t xml:space="preserve">Budući da je Poziv otvoren do iskorištenja raspoloživih sredstava, prijavitelji čiji projektni prijedlozi budu isključeni iz postupka dodjele moći će ponovno podnijeti projektni prijedlog. </w:t>
      </w:r>
    </w:p>
    <w:p w14:paraId="1EF280A7" w14:textId="183E2EFD" w:rsidR="00161FE8" w:rsidRDefault="007C4615">
      <w:pPr>
        <w:ind w:left="-5"/>
      </w:pPr>
      <w:r>
        <w:t>Obrazložena informacija  o izmjenama Poziva, zatvaranju Poziva i obustavu Poziva, kao i sam Poziv objavljuju se na internetskim stranicam</w:t>
      </w:r>
      <w:r w:rsidR="00361FEE">
        <w:t xml:space="preserve">a </w:t>
      </w:r>
      <w:hyperlink r:id="rId13" w:history="1">
        <w:r w:rsidR="00544B5F" w:rsidRPr="00456CF0">
          <w:rPr>
            <w:rStyle w:val="Hiperveza"/>
          </w:rPr>
          <w:t>www.satrukturnifondovi.hr</w:t>
        </w:r>
      </w:hyperlink>
      <w:r w:rsidR="00544B5F">
        <w:t xml:space="preserve"> </w:t>
      </w:r>
      <w:r w:rsidR="00A62425">
        <w:t xml:space="preserve">i </w:t>
      </w:r>
      <w:r>
        <w:t xml:space="preserve">internetskim stranicama Ministarstva </w:t>
      </w:r>
      <w:r w:rsidR="0047026B">
        <w:t>gospodarstva i održivog razvoja</w:t>
      </w:r>
      <w:hyperlink r:id="rId14">
        <w:r>
          <w:t xml:space="preserve"> </w:t>
        </w:r>
      </w:hyperlink>
      <w:hyperlink r:id="rId15" w:history="1">
        <w:r w:rsidR="00BA57CD" w:rsidRPr="008A7672">
          <w:rPr>
            <w:rStyle w:val="Hiperveza"/>
          </w:rPr>
          <w:t>https://mingor.gov.hr/</w:t>
        </w:r>
      </w:hyperlink>
      <w:r w:rsidR="00BA57CD">
        <w:t xml:space="preserve">. </w:t>
      </w:r>
    </w:p>
    <w:p w14:paraId="66B6AA32" w14:textId="0B61BB0F" w:rsidR="00161FE8" w:rsidRDefault="00A62425" w:rsidP="00BA57CD">
      <w:pPr>
        <w:ind w:left="-5"/>
      </w:pPr>
      <w:r w:rsidRPr="00A62425">
        <w:t xml:space="preserve">Poziv se obustavlja </w:t>
      </w:r>
      <w:r w:rsidR="00506112">
        <w:t xml:space="preserve">najkasnije </w:t>
      </w:r>
      <w:r w:rsidRPr="00A62425">
        <w:t xml:space="preserve">u trenutku kada iznos traženih bespovratnih sredstava zaprimljenih projektnih prijedloga </w:t>
      </w:r>
      <w:r w:rsidR="003A2776">
        <w:t>dosegne najviše 200% raspoložive alokacije bespovratnih sredstava Poziva.</w:t>
      </w:r>
    </w:p>
    <w:p w14:paraId="39246C9C" w14:textId="29D07894" w:rsidR="00BA57CD" w:rsidRPr="00BA57CD" w:rsidRDefault="007C4615" w:rsidP="00BA57CD">
      <w:pPr>
        <w:ind w:left="-5"/>
        <w:rPr>
          <w:b/>
        </w:rPr>
      </w:pPr>
      <w:r>
        <w:t xml:space="preserve">Projektni prijedlog se podnosi Ministarstvu </w:t>
      </w:r>
      <w:r w:rsidR="0047026B">
        <w:t>gospodarstva i održivog razvoja</w:t>
      </w:r>
      <w:r>
        <w:t xml:space="preserve">, kao tijelu odgovornom za provedbu financijskog doprinosa, putem pošte, predajom u pisarnicu tijela na adresu: </w:t>
      </w:r>
      <w:r>
        <w:rPr>
          <w:b/>
        </w:rPr>
        <w:t>Min</w:t>
      </w:r>
      <w:r w:rsidR="0047026B">
        <w:rPr>
          <w:b/>
        </w:rPr>
        <w:t>istarstvo gospodarstva i održivog razvoja, Radnička cesta 80</w:t>
      </w:r>
      <w:r>
        <w:rPr>
          <w:b/>
        </w:rPr>
        <w:t>, 10 000 Zagreb.</w:t>
      </w:r>
    </w:p>
    <w:p w14:paraId="7F86A1EC" w14:textId="52C7C539" w:rsidR="00161FE8" w:rsidRDefault="007C4615" w:rsidP="00BA57CD">
      <w:pPr>
        <w:pStyle w:val="Naslov1"/>
        <w:numPr>
          <w:ilvl w:val="0"/>
          <w:numId w:val="5"/>
        </w:numPr>
        <w:spacing w:after="252"/>
        <w:ind w:right="0"/>
      </w:pPr>
      <w:r>
        <w:t xml:space="preserve">Pitanja i odgovori </w:t>
      </w:r>
    </w:p>
    <w:p w14:paraId="6AFEE3B3" w14:textId="5059FE9B" w:rsidR="00161FE8" w:rsidRDefault="007C4615">
      <w:pPr>
        <w:spacing w:after="286"/>
        <w:ind w:left="-5"/>
      </w:pPr>
      <w:r>
        <w:t xml:space="preserve">Pitanja s jasno naznačenom referencom na Poziv moguće je poslati putem elektroničke pošte na adresu: </w:t>
      </w:r>
      <w:r w:rsidR="003214F2">
        <w:rPr>
          <w:color w:val="159BC4"/>
        </w:rPr>
        <w:t>javnipoziv4@mingor.hr.</w:t>
      </w:r>
    </w:p>
    <w:p w14:paraId="6ED00897" w14:textId="7A9CB684" w:rsidR="00161FE8" w:rsidRDefault="007C4615" w:rsidP="003905AF">
      <w:pPr>
        <w:spacing w:after="292"/>
        <w:ind w:left="-5"/>
      </w:pPr>
      <w:r>
        <w:t xml:space="preserve">Odgovori na postavljena pitanja će se objaviti tijekom postupka dodjele na internetskim stranicama </w:t>
      </w:r>
      <w:hyperlink r:id="rId16">
        <w:r>
          <w:rPr>
            <w:color w:val="159BC4"/>
          </w:rPr>
          <w:t>www.strukturnifondovi.hr</w:t>
        </w:r>
      </w:hyperlink>
      <w:hyperlink r:id="rId17">
        <w:r>
          <w:t xml:space="preserve"> </w:t>
        </w:r>
      </w:hyperlink>
      <w:r>
        <w:t xml:space="preserve">i internetskim stranicama Ministarstva </w:t>
      </w:r>
      <w:r w:rsidR="00A62425">
        <w:t xml:space="preserve">gospodarstva i održivog razvoja  </w:t>
      </w:r>
      <w:r w:rsidR="00A62425" w:rsidRPr="00A62425">
        <w:t>https://mingor.gov.hr/</w:t>
      </w:r>
      <w:hyperlink r:id="rId18">
        <w:r>
          <w:t xml:space="preserve"> </w:t>
        </w:r>
      </w:hyperlink>
      <w:r>
        <w:t>svakih 7 radnih dana.</w:t>
      </w:r>
    </w:p>
    <w:sectPr w:rsidR="00161FE8" w:rsidSect="00372EE0">
      <w:footerReference w:type="default" r:id="rId19"/>
      <w:pgSz w:w="11906" w:h="16838"/>
      <w:pgMar w:top="426" w:right="1415" w:bottom="993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F1334" w14:textId="77777777" w:rsidR="00FB2904" w:rsidRDefault="00FB2904" w:rsidP="00CA2A20">
      <w:pPr>
        <w:spacing w:after="0" w:line="240" w:lineRule="auto"/>
      </w:pPr>
      <w:r>
        <w:separator/>
      </w:r>
    </w:p>
  </w:endnote>
  <w:endnote w:type="continuationSeparator" w:id="0">
    <w:p w14:paraId="6BD8CBAF" w14:textId="77777777" w:rsidR="00FB2904" w:rsidRDefault="00FB2904" w:rsidP="00CA2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6001550"/>
      <w:docPartObj>
        <w:docPartGallery w:val="Page Numbers (Bottom of Page)"/>
        <w:docPartUnique/>
      </w:docPartObj>
    </w:sdtPr>
    <w:sdtEndPr/>
    <w:sdtContent>
      <w:p w14:paraId="19BC329D" w14:textId="4B50AA3C" w:rsidR="006151C1" w:rsidRDefault="006151C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68AEF2" w14:textId="77777777" w:rsidR="006151C1" w:rsidRDefault="006151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A922E" w14:textId="77777777" w:rsidR="00FB2904" w:rsidRDefault="00FB2904" w:rsidP="00CA2A20">
      <w:pPr>
        <w:spacing w:after="0" w:line="240" w:lineRule="auto"/>
      </w:pPr>
      <w:r>
        <w:separator/>
      </w:r>
    </w:p>
  </w:footnote>
  <w:footnote w:type="continuationSeparator" w:id="0">
    <w:p w14:paraId="4FBA8202" w14:textId="77777777" w:rsidR="00FB2904" w:rsidRDefault="00FB2904" w:rsidP="00CA2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B1245"/>
    <w:multiLevelType w:val="hybridMultilevel"/>
    <w:tmpl w:val="1FC05CC8"/>
    <w:lvl w:ilvl="0" w:tplc="E5F23B80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70654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58F1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E4BD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6C573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B8C1B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86D7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2E833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02A8D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1F3082"/>
    <w:multiLevelType w:val="hybridMultilevel"/>
    <w:tmpl w:val="D3E6C7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55269"/>
    <w:multiLevelType w:val="hybridMultilevel"/>
    <w:tmpl w:val="9A9CE866"/>
    <w:lvl w:ilvl="0" w:tplc="1F32069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6CD4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F46E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02EF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F0B3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5CD7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CA71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D8853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FCF60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391606"/>
    <w:multiLevelType w:val="hybridMultilevel"/>
    <w:tmpl w:val="21424470"/>
    <w:lvl w:ilvl="0" w:tplc="22CC381E">
      <w:start w:val="4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53703491"/>
    <w:multiLevelType w:val="hybridMultilevel"/>
    <w:tmpl w:val="9FEA4F84"/>
    <w:lvl w:ilvl="0" w:tplc="FE62889A">
      <w:start w:val="1"/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C4C31"/>
    <w:multiLevelType w:val="hybridMultilevel"/>
    <w:tmpl w:val="F3D26090"/>
    <w:lvl w:ilvl="0" w:tplc="3634C264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FE8"/>
    <w:rsid w:val="00042278"/>
    <w:rsid w:val="000A5928"/>
    <w:rsid w:val="000E7AD6"/>
    <w:rsid w:val="00147FFD"/>
    <w:rsid w:val="00161FE8"/>
    <w:rsid w:val="001656F7"/>
    <w:rsid w:val="001E5E32"/>
    <w:rsid w:val="001F1CCB"/>
    <w:rsid w:val="00277A40"/>
    <w:rsid w:val="002C1766"/>
    <w:rsid w:val="002C40AD"/>
    <w:rsid w:val="003214F2"/>
    <w:rsid w:val="00361FEE"/>
    <w:rsid w:val="00372EE0"/>
    <w:rsid w:val="003905AF"/>
    <w:rsid w:val="003A2776"/>
    <w:rsid w:val="003A70BA"/>
    <w:rsid w:val="003B1EF0"/>
    <w:rsid w:val="003F24F6"/>
    <w:rsid w:val="003F3FFE"/>
    <w:rsid w:val="00436D42"/>
    <w:rsid w:val="0047026B"/>
    <w:rsid w:val="004874EB"/>
    <w:rsid w:val="004B728A"/>
    <w:rsid w:val="00506112"/>
    <w:rsid w:val="00544B5F"/>
    <w:rsid w:val="00571D28"/>
    <w:rsid w:val="00584F34"/>
    <w:rsid w:val="005F0F2B"/>
    <w:rsid w:val="006066ED"/>
    <w:rsid w:val="006151C1"/>
    <w:rsid w:val="006206C0"/>
    <w:rsid w:val="00634083"/>
    <w:rsid w:val="006C17D0"/>
    <w:rsid w:val="007168DC"/>
    <w:rsid w:val="00716C87"/>
    <w:rsid w:val="00717A45"/>
    <w:rsid w:val="00740E40"/>
    <w:rsid w:val="00760E66"/>
    <w:rsid w:val="00776EEB"/>
    <w:rsid w:val="00781441"/>
    <w:rsid w:val="007C4615"/>
    <w:rsid w:val="00831717"/>
    <w:rsid w:val="00835AC3"/>
    <w:rsid w:val="00912714"/>
    <w:rsid w:val="009955FE"/>
    <w:rsid w:val="009A1FD1"/>
    <w:rsid w:val="009E2234"/>
    <w:rsid w:val="00A55AA4"/>
    <w:rsid w:val="00A62425"/>
    <w:rsid w:val="00A91EC1"/>
    <w:rsid w:val="00AD4288"/>
    <w:rsid w:val="00B46A4E"/>
    <w:rsid w:val="00B521C1"/>
    <w:rsid w:val="00B9232A"/>
    <w:rsid w:val="00BA57CD"/>
    <w:rsid w:val="00BE55F0"/>
    <w:rsid w:val="00C304B6"/>
    <w:rsid w:val="00C41542"/>
    <w:rsid w:val="00C41ACC"/>
    <w:rsid w:val="00C601E6"/>
    <w:rsid w:val="00CA2A20"/>
    <w:rsid w:val="00CC3309"/>
    <w:rsid w:val="00CF367C"/>
    <w:rsid w:val="00D84902"/>
    <w:rsid w:val="00D94C51"/>
    <w:rsid w:val="00DB4389"/>
    <w:rsid w:val="00DC263B"/>
    <w:rsid w:val="00E04D6C"/>
    <w:rsid w:val="00E140DA"/>
    <w:rsid w:val="00E1433B"/>
    <w:rsid w:val="00E27DD6"/>
    <w:rsid w:val="00E34E34"/>
    <w:rsid w:val="00E56CD0"/>
    <w:rsid w:val="00E91353"/>
    <w:rsid w:val="00EC5E6B"/>
    <w:rsid w:val="00F655C4"/>
    <w:rsid w:val="00F737BA"/>
    <w:rsid w:val="00F80EEC"/>
    <w:rsid w:val="00F857CC"/>
    <w:rsid w:val="00FB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F5F3CCC"/>
  <w15:docId w15:val="{B9525414-3F58-4AF2-AEA3-E7AAB7D6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4F6"/>
    <w:pPr>
      <w:spacing w:after="167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left="10" w:right="3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2"/>
    </w:rPr>
  </w:style>
  <w:style w:type="character" w:styleId="Hiperveza">
    <w:name w:val="Hyperlink"/>
    <w:basedOn w:val="Zadanifontodlomka"/>
    <w:uiPriority w:val="99"/>
    <w:unhideWhenUsed/>
    <w:rsid w:val="0047026B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unhideWhenUsed/>
    <w:rsid w:val="00436D4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36D4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36D4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36D4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36D4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36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6D42"/>
    <w:rPr>
      <w:rFonts w:ascii="Segoe UI" w:eastAsia="Times New Roman" w:hAnsi="Segoe UI" w:cs="Segoe UI"/>
      <w:color w:val="000000"/>
      <w:sz w:val="18"/>
      <w:szCs w:val="18"/>
    </w:rPr>
  </w:style>
  <w:style w:type="paragraph" w:styleId="Odlomakpopisa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OdlomakpopisaChar"/>
    <w:uiPriority w:val="34"/>
    <w:qFormat/>
    <w:rsid w:val="00AD428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A2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2A20"/>
    <w:rPr>
      <w:rFonts w:ascii="Times New Roman" w:eastAsia="Times New Roman" w:hAnsi="Times New Roman" w:cs="Times New Roman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CA2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2A20"/>
    <w:rPr>
      <w:rFonts w:ascii="Times New Roman" w:eastAsia="Times New Roman" w:hAnsi="Times New Roman" w:cs="Times New Roman"/>
      <w:color w:val="000000"/>
    </w:rPr>
  </w:style>
  <w:style w:type="paragraph" w:styleId="Bezproreda">
    <w:name w:val="No Spacing"/>
    <w:uiPriority w:val="1"/>
    <w:qFormat/>
    <w:rsid w:val="002C40AD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361FEE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835AC3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OdlomakpopisaChar">
    <w:name w:val="Odlomak popisa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Odlomakpopisa"/>
    <w:uiPriority w:val="34"/>
    <w:qFormat/>
    <w:locked/>
    <w:rsid w:val="00BE55F0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atrukturnifondovi.hr" TargetMode="External"/><Relationship Id="rId18" Type="http://schemas.openxmlformats.org/officeDocument/2006/relationships/hyperlink" Target="https://mzo.gov.hr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yperlink" Target="http://www.strukturnifondovi.hr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trukturnifondovi.hr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mingor.gov.hr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zo.gov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4" ma:contentTypeDescription="Stvaranje novog dokumenta." ma:contentTypeScope="" ma:versionID="c5aa084a5a7bac768bead6529d27070e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203ebaa66fac46843b992645638cd5a5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Props1.xml><?xml version="1.0" encoding="utf-8"?>
<ds:datastoreItem xmlns:ds="http://schemas.openxmlformats.org/officeDocument/2006/customXml" ds:itemID="{684C1F58-4FC2-4582-91A8-7DACA8121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621116-C474-4C9D-BAA8-A0DF73D42C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F175BB9-CE29-4223-9803-6D4D9CFE40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EAC4BB-899C-49E1-A19D-0B20E5015F8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UVGZM</dc:creator>
  <cp:keywords/>
  <cp:lastModifiedBy>Aleksandra Čilić</cp:lastModifiedBy>
  <cp:revision>2</cp:revision>
  <cp:lastPrinted>2022-01-02T17:23:00Z</cp:lastPrinted>
  <dcterms:created xsi:type="dcterms:W3CDTF">2022-01-05T13:10:00Z</dcterms:created>
  <dcterms:modified xsi:type="dcterms:W3CDTF">2022-01-05T13:10:00Z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  <property fmtid="{D5CDD505-2E9C-101B-9397-08002B2CF9AE}" pid="3" name="docIndexRef">
    <vt:lpwstr>1270d906-d1ff-4576-b4e0-bf36941944fd</vt:lpwstr>
  </property>
  <property fmtid="{D5CDD505-2E9C-101B-9397-08002B2CF9AE}" pid="4" name="bjSaver">
    <vt:lpwstr>IiQteyaF0hlAO75tY+RwvfZZuUzYfFTO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6" name="bjDocumentLabelXML-0">
    <vt:lpwstr>ames.com/2008/01/sie/internal/label"&gt;&lt;element uid="937e288e-3614-44b9-bb31-237331b81634" value="" /&gt;&lt;/sisl&gt;</vt:lpwstr>
  </property>
  <property fmtid="{D5CDD505-2E9C-101B-9397-08002B2CF9AE}" pid="7" name="bjDocumentSecurityLabel">
    <vt:lpwstr>NEKLASIFICIRANO</vt:lpwstr>
  </property>
  <property fmtid="{D5CDD505-2E9C-101B-9397-08002B2CF9AE}" pid="8" name="bjClsUserRVM">
    <vt:lpwstr>[]</vt:lpwstr>
  </property>
</Properties>
</file>