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87136" w14:textId="3E197320" w:rsidR="005E2728" w:rsidRDefault="009622CB" w:rsidP="001934E9">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51B0A16C" w14:textId="77777777" w:rsidR="00C71E74" w:rsidRDefault="00376A59" w:rsidP="00B60EAE">
      <w:pPr>
        <w:spacing w:after="0" w:line="240" w:lineRule="auto"/>
        <w:jc w:val="center"/>
        <w:rPr>
          <w:rStyle w:val="Hiperveza"/>
          <w:rFonts w:ascii="Times New Roman" w:hAnsi="Times New Roman" w:cs="Times New Roman"/>
          <w:b/>
          <w:sz w:val="32"/>
          <w:szCs w:val="32"/>
        </w:rPr>
      </w:pPr>
      <w:hyperlink r:id="rId11" w:history="1">
        <w:r w:rsidR="009F490E" w:rsidRPr="00826E16">
          <w:rPr>
            <w:rStyle w:val="Hiperveza"/>
            <w:rFonts w:ascii="Times New Roman" w:hAnsi="Times New Roman" w:cs="Times New Roman"/>
            <w:b/>
            <w:sz w:val="32"/>
            <w:szCs w:val="32"/>
          </w:rPr>
          <w:t>www.strukturnifondovi.hr</w:t>
        </w:r>
      </w:hyperlink>
    </w:p>
    <w:p w14:paraId="3D0A6F81" w14:textId="0F6417AD" w:rsidR="00A600DE" w:rsidRPr="00826E16" w:rsidRDefault="00376A59" w:rsidP="00B60EAE">
      <w:pPr>
        <w:spacing w:after="0" w:line="240" w:lineRule="auto"/>
        <w:jc w:val="center"/>
        <w:rPr>
          <w:rFonts w:ascii="Times New Roman" w:hAnsi="Times New Roman" w:cs="Times New Roman"/>
          <w:b/>
          <w:sz w:val="32"/>
          <w:szCs w:val="32"/>
        </w:rPr>
      </w:pPr>
      <w:hyperlink r:id="rId12" w:history="1">
        <w:r w:rsidR="00C71E74" w:rsidRPr="00C71E74">
          <w:rPr>
            <w:rStyle w:val="Hiperveza"/>
            <w:rFonts w:ascii="Times New Roman" w:hAnsi="Times New Roman" w:cs="Times New Roman"/>
            <w:b/>
            <w:sz w:val="32"/>
            <w:szCs w:val="32"/>
          </w:rPr>
          <w:t>mup.gov.hr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38FF248D" w14:textId="676493ED"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1B6E45">
        <w:rPr>
          <w:rStyle w:val="Bodytext285pt"/>
          <w:rFonts w:eastAsiaTheme="minorHAnsi"/>
          <w:b/>
          <w:sz w:val="18"/>
          <w:szCs w:val="18"/>
          <w:lang w:val="hr-HR"/>
        </w:rPr>
        <w:t xml:space="preserve"> Fond solidarnosti Europske unije</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CF689F">
        <w:rPr>
          <w:rFonts w:ascii="Times New Roman" w:hAnsi="Times New Roman" w:cs="Times New Roman"/>
          <w:b/>
          <w:sz w:val="18"/>
          <w:szCs w:val="18"/>
        </w:rPr>
        <w:t>Ministarstvo unutarnjih poslova</w:t>
      </w:r>
    </w:p>
    <w:p w14:paraId="4ACAB349" w14:textId="77777777" w:rsidR="00CF689F" w:rsidRDefault="001B6E45"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NAZIV POZIVA:</w:t>
      </w:r>
      <w:r>
        <w:rPr>
          <w:rFonts w:ascii="Times New Roman" w:hAnsi="Times New Roman" w:cs="Times New Roman"/>
          <w:b/>
          <w:sz w:val="18"/>
          <w:szCs w:val="18"/>
        </w:rPr>
        <w:tab/>
      </w:r>
      <w:r w:rsidR="00CF689F" w:rsidRPr="00CF689F">
        <w:rPr>
          <w:rFonts w:ascii="Times New Roman" w:hAnsi="Times New Roman" w:cs="Times New Roman"/>
          <w:b/>
          <w:sz w:val="18"/>
          <w:szCs w:val="18"/>
        </w:rPr>
        <w:t>Financiranje službi spašavanja za potrebe stanovništva nastalih</w:t>
      </w:r>
    </w:p>
    <w:p w14:paraId="4AD05D67" w14:textId="6CE79170" w:rsidR="00CF689F" w:rsidRDefault="00CF689F" w:rsidP="00461F02">
      <w:pPr>
        <w:spacing w:after="0" w:line="240" w:lineRule="auto"/>
        <w:rPr>
          <w:rFonts w:ascii="Times New Roman" w:hAnsi="Times New Roman" w:cs="Times New Roman"/>
          <w:b/>
          <w:sz w:val="18"/>
          <w:szCs w:val="18"/>
        </w:rPr>
      </w:pPr>
      <w:r w:rsidRPr="00CF689F">
        <w:rPr>
          <w:rFonts w:ascii="Times New Roman" w:hAnsi="Times New Roman" w:cs="Times New Roman"/>
          <w:b/>
          <w:sz w:val="18"/>
          <w:szCs w:val="18"/>
        </w:rPr>
        <w:t>kao posljedica serije potresa počevši od 28. prosinca 2020. godine na području Grada Zagreba,</w:t>
      </w:r>
      <w:r>
        <w:rPr>
          <w:rFonts w:ascii="Times New Roman" w:hAnsi="Times New Roman" w:cs="Times New Roman"/>
          <w:b/>
          <w:sz w:val="18"/>
          <w:szCs w:val="18"/>
        </w:rPr>
        <w:t xml:space="preserve">           </w:t>
      </w:r>
      <w:r w:rsidRPr="00CF689F">
        <w:rPr>
          <w:rFonts w:ascii="Times New Roman" w:hAnsi="Times New Roman" w:cs="Times New Roman"/>
          <w:b/>
          <w:sz w:val="18"/>
          <w:szCs w:val="18"/>
        </w:rPr>
        <w:t>ROK ZA PODNOŠENJE PP:</w:t>
      </w:r>
      <w:r>
        <w:rPr>
          <w:rFonts w:ascii="Times New Roman" w:hAnsi="Times New Roman" w:cs="Times New Roman"/>
          <w:b/>
          <w:sz w:val="18"/>
          <w:szCs w:val="18"/>
        </w:rPr>
        <w:t xml:space="preserve"> </w:t>
      </w:r>
      <w:r w:rsidR="00BC3C57">
        <w:rPr>
          <w:rFonts w:ascii="Times New Roman" w:hAnsi="Times New Roman" w:cs="Times New Roman"/>
          <w:b/>
          <w:sz w:val="18"/>
          <w:szCs w:val="18"/>
        </w:rPr>
        <w:t>30. travanj 2022.</w:t>
      </w:r>
    </w:p>
    <w:p w14:paraId="36BEB28B" w14:textId="77777777" w:rsidR="00CF689F" w:rsidRDefault="00CF689F" w:rsidP="00461F02">
      <w:pPr>
        <w:spacing w:after="0" w:line="240" w:lineRule="auto"/>
        <w:rPr>
          <w:rFonts w:ascii="Times New Roman" w:hAnsi="Times New Roman" w:cs="Times New Roman"/>
          <w:b/>
          <w:sz w:val="18"/>
          <w:szCs w:val="18"/>
        </w:rPr>
      </w:pPr>
      <w:r w:rsidRPr="00CF689F">
        <w:rPr>
          <w:rFonts w:ascii="Times New Roman" w:hAnsi="Times New Roman" w:cs="Times New Roman"/>
          <w:b/>
          <w:sz w:val="18"/>
          <w:szCs w:val="18"/>
        </w:rPr>
        <w:t>Krapinsko-zagorske županije, Zagrebačke županije, Sisačko-moslavačke županije,</w:t>
      </w:r>
    </w:p>
    <w:p w14:paraId="697277E1" w14:textId="7BE6B968" w:rsidR="00CF689F" w:rsidRDefault="00CF689F" w:rsidP="00461F02">
      <w:pPr>
        <w:spacing w:after="0" w:line="240" w:lineRule="auto"/>
        <w:rPr>
          <w:rFonts w:ascii="Times New Roman" w:hAnsi="Times New Roman" w:cs="Times New Roman"/>
          <w:b/>
          <w:sz w:val="18"/>
          <w:szCs w:val="18"/>
        </w:rPr>
      </w:pPr>
      <w:r w:rsidRPr="00CF689F">
        <w:rPr>
          <w:rFonts w:ascii="Times New Roman" w:hAnsi="Times New Roman" w:cs="Times New Roman"/>
          <w:b/>
          <w:sz w:val="18"/>
          <w:szCs w:val="18"/>
        </w:rPr>
        <w:t>Karlovačke županije, Varaždinske županije, Međimurske županije, Brodsko-posavske županije,</w:t>
      </w:r>
      <w:r>
        <w:rPr>
          <w:rFonts w:ascii="Times New Roman" w:hAnsi="Times New Roman" w:cs="Times New Roman"/>
          <w:b/>
          <w:sz w:val="18"/>
          <w:szCs w:val="18"/>
        </w:rPr>
        <w:t xml:space="preserve">         </w:t>
      </w:r>
      <w:r w:rsidRPr="00CF689F">
        <w:rPr>
          <w:rFonts w:ascii="Times New Roman" w:hAnsi="Times New Roman" w:cs="Times New Roman"/>
          <w:b/>
          <w:sz w:val="18"/>
          <w:szCs w:val="18"/>
        </w:rPr>
        <w:t>ROK ZA ODGOVOR NA PITANJE (</w:t>
      </w:r>
      <w:proofErr w:type="spellStart"/>
      <w:r w:rsidRPr="00CF689F">
        <w:rPr>
          <w:rFonts w:ascii="Times New Roman" w:hAnsi="Times New Roman" w:cs="Times New Roman"/>
          <w:b/>
          <w:sz w:val="18"/>
          <w:szCs w:val="18"/>
        </w:rPr>
        <w:t>UzP</w:t>
      </w:r>
      <w:proofErr w:type="spellEnd"/>
      <w:r w:rsidRPr="00CF689F">
        <w:rPr>
          <w:rFonts w:ascii="Times New Roman" w:hAnsi="Times New Roman" w:cs="Times New Roman"/>
          <w:b/>
          <w:sz w:val="18"/>
          <w:szCs w:val="18"/>
        </w:rPr>
        <w:t>):</w:t>
      </w:r>
      <w:r w:rsidR="00BC3C57">
        <w:rPr>
          <w:rFonts w:ascii="Times New Roman" w:hAnsi="Times New Roman" w:cs="Times New Roman"/>
          <w:b/>
          <w:sz w:val="18"/>
          <w:szCs w:val="18"/>
        </w:rPr>
        <w:t xml:space="preserve"> </w:t>
      </w:r>
      <w:r w:rsidR="00BC3C57" w:rsidRPr="00BC3C57">
        <w:rPr>
          <w:rFonts w:ascii="Times New Roman" w:hAnsi="Times New Roman" w:cs="Times New Roman"/>
          <w:b/>
          <w:sz w:val="18"/>
          <w:szCs w:val="18"/>
        </w:rPr>
        <w:t>Svakih 7 radnih dana</w:t>
      </w:r>
    </w:p>
    <w:p w14:paraId="7015CE32" w14:textId="3D159770" w:rsidR="00461F02" w:rsidRPr="00826E16" w:rsidRDefault="00CF689F" w:rsidP="00461F02">
      <w:pPr>
        <w:spacing w:after="0" w:line="240" w:lineRule="auto"/>
        <w:rPr>
          <w:rFonts w:ascii="Times New Roman" w:hAnsi="Times New Roman" w:cs="Times New Roman"/>
          <w:b/>
          <w:sz w:val="18"/>
          <w:szCs w:val="18"/>
        </w:rPr>
      </w:pPr>
      <w:r w:rsidRPr="00CF689F">
        <w:rPr>
          <w:rFonts w:ascii="Times New Roman" w:hAnsi="Times New Roman" w:cs="Times New Roman"/>
          <w:b/>
          <w:sz w:val="18"/>
          <w:szCs w:val="18"/>
        </w:rPr>
        <w:t>Koprivničko-križevačke županije i Bjelovarsko-bilogorske županije</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t xml:space="preserve"> </w:t>
      </w:r>
    </w:p>
    <w:p w14:paraId="3C6C58C4" w14:textId="77777777" w:rsidR="00CF689F" w:rsidRDefault="00CF689F" w:rsidP="001B6E45">
      <w:pPr>
        <w:spacing w:after="0" w:line="240" w:lineRule="auto"/>
        <w:rPr>
          <w:rFonts w:ascii="Times New Roman" w:hAnsi="Times New Roman" w:cs="Times New Roman"/>
          <w:b/>
          <w:sz w:val="18"/>
          <w:szCs w:val="18"/>
        </w:rPr>
      </w:pPr>
    </w:p>
    <w:p w14:paraId="74E7BE21" w14:textId="3966E473" w:rsidR="001B6E45" w:rsidRPr="00826E16" w:rsidRDefault="001B6E45" w:rsidP="001B6E45">
      <w:pPr>
        <w:spacing w:after="0" w:line="240" w:lineRule="auto"/>
        <w:rPr>
          <w:rFonts w:ascii="Times New Roman" w:hAnsi="Times New Roman" w:cs="Times New Roman"/>
          <w:b/>
          <w:sz w:val="18"/>
          <w:szCs w:val="18"/>
        </w:rPr>
      </w:pPr>
      <w:r>
        <w:rPr>
          <w:rFonts w:ascii="Times New Roman" w:hAnsi="Times New Roman" w:cs="Times New Roman"/>
          <w:b/>
          <w:sz w:val="18"/>
          <w:szCs w:val="18"/>
        </w:rPr>
        <w:t>OZNAKA</w:t>
      </w:r>
      <w:r w:rsidRPr="00826E16">
        <w:rPr>
          <w:rFonts w:ascii="Times New Roman" w:hAnsi="Times New Roman" w:cs="Times New Roman"/>
          <w:b/>
          <w:sz w:val="18"/>
          <w:szCs w:val="18"/>
        </w:rPr>
        <w:t xml:space="preserve"> POZIVA:</w:t>
      </w:r>
      <w:r w:rsidR="00CF689F">
        <w:rPr>
          <w:rFonts w:ascii="Times New Roman" w:hAnsi="Times New Roman" w:cs="Times New Roman"/>
          <w:b/>
          <w:sz w:val="18"/>
          <w:szCs w:val="18"/>
        </w:rPr>
        <w:t xml:space="preserve"> </w:t>
      </w:r>
      <w:r w:rsidR="00CF689F" w:rsidRPr="00CF689F">
        <w:rPr>
          <w:rFonts w:ascii="Times New Roman" w:hAnsi="Times New Roman" w:cs="Times New Roman"/>
          <w:b/>
          <w:sz w:val="18"/>
          <w:szCs w:val="18"/>
        </w:rPr>
        <w:t>FSEU.2022.MUP.</w:t>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Pr="00826E16">
        <w:rPr>
          <w:rFonts w:ascii="Times New Roman" w:hAnsi="Times New Roman" w:cs="Times New Roman"/>
          <w:b/>
          <w:sz w:val="18"/>
          <w:szCs w:val="18"/>
        </w:rPr>
        <w:t xml:space="preserve"> </w:t>
      </w:r>
    </w:p>
    <w:p w14:paraId="2A20E381" w14:textId="436B7F90" w:rsidR="001B6E45" w:rsidRPr="00826E16" w:rsidRDefault="006C2D2A" w:rsidP="001B6E45">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TIP NATJEČAJA:</w:t>
      </w:r>
      <w:r w:rsidR="00CF689F">
        <w:rPr>
          <w:rFonts w:ascii="Times New Roman" w:hAnsi="Times New Roman" w:cs="Times New Roman"/>
          <w:b/>
          <w:bCs/>
          <w:sz w:val="18"/>
          <w:szCs w:val="18"/>
        </w:rPr>
        <w:t xml:space="preserve"> </w:t>
      </w:r>
      <w:r w:rsidR="00CF689F" w:rsidRPr="00CF689F">
        <w:rPr>
          <w:rFonts w:ascii="Times New Roman" w:hAnsi="Times New Roman" w:cs="Times New Roman"/>
          <w:b/>
          <w:bCs/>
          <w:sz w:val="18"/>
          <w:szCs w:val="18"/>
        </w:rPr>
        <w:t>OTVORENI POSTUPAK</w:t>
      </w:r>
    </w:p>
    <w:p w14:paraId="0F944CA7" w14:textId="50DA0528" w:rsidR="00461F02" w:rsidRPr="00826E16" w:rsidRDefault="001B6E45" w:rsidP="00461F02">
      <w:pPr>
        <w:spacing w:after="0" w:line="240" w:lineRule="auto"/>
        <w:rPr>
          <w:rFonts w:ascii="Times New Roman" w:hAnsi="Times New Roman" w:cs="Times New Roman"/>
          <w:b/>
          <w:sz w:val="18"/>
          <w:szCs w:val="18"/>
        </w:rPr>
      </w:pPr>
      <w:r>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F51C3B" w:rsidRPr="00826E16">
        <w:rPr>
          <w:rFonts w:ascii="Times New Roman" w:hAnsi="Times New Roman" w:cs="Times New Roman"/>
          <w:b/>
          <w:sz w:val="18"/>
          <w:szCs w:val="18"/>
        </w:rPr>
        <w:t xml:space="preserve"> </w:t>
      </w:r>
    </w:p>
    <w:p w14:paraId="0199FBB4" w14:textId="11D662DB" w:rsidR="002632C2" w:rsidRPr="00826E16"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826E16" w:rsidRDefault="00A3084B"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 xml:space="preserve">Objavljeni odgovori dopunjuju i detaljnije pojašnjavaju dokumentaciju </w:t>
      </w:r>
      <w:r w:rsidR="001F23F6" w:rsidRPr="00826E16">
        <w:rPr>
          <w:rFonts w:ascii="Times New Roman" w:eastAsia="Times New Roman" w:hAnsi="Times New Roman" w:cs="Times New Roman"/>
          <w:sz w:val="18"/>
          <w:szCs w:val="18"/>
        </w:rPr>
        <w:t>Poziva na dostavu projektnih prijedloga (</w:t>
      </w:r>
      <w:r w:rsidRPr="00826E16">
        <w:rPr>
          <w:rFonts w:ascii="Times New Roman" w:eastAsia="Times New Roman" w:hAnsi="Times New Roman" w:cs="Times New Roman"/>
          <w:sz w:val="18"/>
          <w:szCs w:val="18"/>
        </w:rPr>
        <w:t>PDP</w:t>
      </w:r>
      <w:r w:rsidR="001F23F6" w:rsidRPr="00826E16">
        <w:rPr>
          <w:rFonts w:ascii="Times New Roman" w:eastAsia="Times New Roman" w:hAnsi="Times New Roman" w:cs="Times New Roman"/>
          <w:sz w:val="18"/>
          <w:szCs w:val="18"/>
        </w:rPr>
        <w:t>)</w:t>
      </w:r>
      <w:r w:rsidRPr="00826E16">
        <w:rPr>
          <w:rFonts w:ascii="Times New Roman" w:eastAsia="Times New Roman" w:hAnsi="Times New Roman" w:cs="Times New Roman"/>
          <w:sz w:val="18"/>
          <w:szCs w:val="18"/>
        </w:rPr>
        <w:t>. Odgovor na pojedino pitanje mora biti eksplicitan, ali u svojoj cjelini i</w:t>
      </w:r>
      <w:r w:rsidR="00256FC4" w:rsidRPr="00826E16">
        <w:rPr>
          <w:rFonts w:ascii="Times New Roman" w:eastAsia="Times New Roman" w:hAnsi="Times New Roman" w:cs="Times New Roman"/>
          <w:sz w:val="18"/>
          <w:szCs w:val="18"/>
        </w:rPr>
        <w:t>li</w:t>
      </w:r>
      <w:r w:rsidRPr="00826E16">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EC7F45" w:rsidRDefault="00893A7E"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U</w:t>
      </w:r>
      <w:r w:rsidR="0022540C" w:rsidRPr="00826E16">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Pr>
          <w:rFonts w:ascii="Times New Roman" w:hAnsi="Times New Roman" w:cs="Times New Roman"/>
          <w:color w:val="000000"/>
          <w:sz w:val="18"/>
          <w:szCs w:val="18"/>
        </w:rPr>
        <w:t>operacije</w:t>
      </w:r>
      <w:r w:rsidR="0022540C" w:rsidRPr="00826E16">
        <w:rPr>
          <w:rFonts w:ascii="Times New Roman" w:hAnsi="Times New Roman" w:cs="Times New Roman"/>
          <w:color w:val="000000"/>
          <w:sz w:val="18"/>
          <w:szCs w:val="18"/>
        </w:rPr>
        <w:t xml:space="preserve"> ili određenih aktivnosti i troškova</w:t>
      </w:r>
      <w:r w:rsidR="002632C2" w:rsidRPr="00826E16">
        <w:rPr>
          <w:rFonts w:ascii="Times New Roman" w:hAnsi="Times New Roman" w:cs="Times New Roman"/>
          <w:color w:val="000000"/>
          <w:sz w:val="18"/>
          <w:szCs w:val="18"/>
        </w:rPr>
        <w:t xml:space="preserve"> te ne </w:t>
      </w:r>
      <w:r w:rsidR="0022540C" w:rsidRPr="00826E16">
        <w:rPr>
          <w:rFonts w:ascii="Times New Roman" w:eastAsia="Times New Roman" w:hAnsi="Times New Roman" w:cs="Times New Roman"/>
          <w:sz w:val="18"/>
          <w:szCs w:val="18"/>
        </w:rPr>
        <w:t xml:space="preserve">može zamijeniti niti prejudicirati ishod pojedinih faza postupka dodjele kako su opisane u </w:t>
      </w:r>
      <w:proofErr w:type="spellStart"/>
      <w:r w:rsidR="0022540C" w:rsidRPr="00826E16">
        <w:rPr>
          <w:rFonts w:ascii="Times New Roman" w:eastAsia="Times New Roman" w:hAnsi="Times New Roman" w:cs="Times New Roman"/>
          <w:sz w:val="18"/>
          <w:szCs w:val="18"/>
        </w:rPr>
        <w:t>U</w:t>
      </w:r>
      <w:r w:rsidR="00F20EFA" w:rsidRPr="00826E16">
        <w:rPr>
          <w:rFonts w:ascii="Times New Roman" w:eastAsia="Times New Roman" w:hAnsi="Times New Roman" w:cs="Times New Roman"/>
          <w:sz w:val="18"/>
          <w:szCs w:val="18"/>
        </w:rPr>
        <w:t>zP</w:t>
      </w:r>
      <w:proofErr w:type="spellEnd"/>
      <w:r w:rsidR="00F20EFA" w:rsidRPr="00826E16">
        <w:rPr>
          <w:rFonts w:ascii="Times New Roman" w:eastAsia="Times New Roman" w:hAnsi="Times New Roman" w:cs="Times New Roman"/>
          <w:sz w:val="18"/>
          <w:szCs w:val="18"/>
        </w:rPr>
        <w:t>-u</w:t>
      </w:r>
      <w:r w:rsidR="0022540C" w:rsidRPr="00826E16">
        <w:rPr>
          <w:rFonts w:ascii="Times New Roman" w:eastAsia="Times New Roman" w:hAnsi="Times New Roman" w:cs="Times New Roman"/>
          <w:sz w:val="18"/>
          <w:szCs w:val="18"/>
        </w:rPr>
        <w:t xml:space="preserve">. </w:t>
      </w:r>
      <w:r w:rsidR="0022540C" w:rsidRPr="00826E16">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Pr>
          <w:rFonts w:ascii="Times New Roman" w:eastAsia="Times New Roman" w:hAnsi="Times New Roman" w:cs="Times New Roman"/>
          <w:sz w:val="18"/>
          <w:szCs w:val="18"/>
          <w:u w:val="single"/>
        </w:rPr>
        <w:t>e</w:t>
      </w:r>
      <w:r w:rsidR="0022540C" w:rsidRPr="00826E16">
        <w:rPr>
          <w:rFonts w:ascii="Times New Roman" w:eastAsia="Times New Roman" w:hAnsi="Times New Roman" w:cs="Times New Roman"/>
          <w:sz w:val="18"/>
          <w:szCs w:val="18"/>
          <w:u w:val="single"/>
        </w:rPr>
        <w:t xml:space="preserve"> </w:t>
      </w:r>
      <w:r w:rsidR="00690177">
        <w:rPr>
          <w:rFonts w:ascii="Times New Roman" w:eastAsia="Times New Roman" w:hAnsi="Times New Roman" w:cs="Times New Roman"/>
          <w:sz w:val="18"/>
          <w:szCs w:val="18"/>
          <w:u w:val="single"/>
        </w:rPr>
        <w:t>operacije</w:t>
      </w:r>
      <w:r w:rsidR="0022540C" w:rsidRPr="00826E16">
        <w:rPr>
          <w:rFonts w:ascii="Times New Roman" w:eastAsia="Times New Roman" w:hAnsi="Times New Roman" w:cs="Times New Roman"/>
          <w:sz w:val="18"/>
          <w:szCs w:val="18"/>
          <w:u w:val="single"/>
        </w:rPr>
        <w:t xml:space="preserve">, konkretnog </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rijavitelja, konkretnih aktivnosti, konkretnih troškova i slično.</w:t>
      </w:r>
      <w:r w:rsidR="0022540C" w:rsidRPr="00826E16">
        <w:rPr>
          <w:rFonts w:ascii="Times New Roman" w:eastAsia="Times New Roman" w:hAnsi="Times New Roman" w:cs="Times New Roman"/>
          <w:sz w:val="18"/>
          <w:szCs w:val="18"/>
        </w:rPr>
        <w:t xml:space="preserve"> U slučaju takvih pitanja, </w:t>
      </w:r>
      <w:r w:rsidR="002632C2" w:rsidRPr="00826E16">
        <w:rPr>
          <w:rFonts w:ascii="Times New Roman" w:eastAsia="Times New Roman" w:hAnsi="Times New Roman" w:cs="Times New Roman"/>
          <w:sz w:val="18"/>
          <w:szCs w:val="18"/>
        </w:rPr>
        <w:t xml:space="preserve">odgovor </w:t>
      </w:r>
      <w:r w:rsidR="0022540C" w:rsidRPr="00826E16">
        <w:rPr>
          <w:rFonts w:ascii="Times New Roman" w:eastAsia="Times New Roman" w:hAnsi="Times New Roman" w:cs="Times New Roman"/>
          <w:sz w:val="18"/>
          <w:szCs w:val="18"/>
        </w:rPr>
        <w:t>nadležno</w:t>
      </w:r>
      <w:r w:rsidR="002632C2" w:rsidRPr="00826E16">
        <w:rPr>
          <w:rFonts w:ascii="Times New Roman" w:eastAsia="Times New Roman" w:hAnsi="Times New Roman" w:cs="Times New Roman"/>
          <w:sz w:val="18"/>
          <w:szCs w:val="18"/>
        </w:rPr>
        <w:t>g</w:t>
      </w:r>
      <w:r w:rsidR="0022540C" w:rsidRPr="00826E16">
        <w:rPr>
          <w:rFonts w:ascii="Times New Roman" w:eastAsia="Times New Roman" w:hAnsi="Times New Roman" w:cs="Times New Roman"/>
          <w:sz w:val="18"/>
          <w:szCs w:val="18"/>
        </w:rPr>
        <w:t xml:space="preserve"> tijel</w:t>
      </w:r>
      <w:r w:rsidR="002632C2" w:rsidRPr="00826E16">
        <w:rPr>
          <w:rFonts w:ascii="Times New Roman" w:eastAsia="Times New Roman" w:hAnsi="Times New Roman" w:cs="Times New Roman"/>
          <w:sz w:val="18"/>
          <w:szCs w:val="18"/>
        </w:rPr>
        <w:t>a</w:t>
      </w:r>
      <w:r w:rsidR="0022540C" w:rsidRPr="00826E16">
        <w:rPr>
          <w:rFonts w:ascii="Times New Roman" w:eastAsia="Times New Roman" w:hAnsi="Times New Roman" w:cs="Times New Roman"/>
          <w:sz w:val="18"/>
          <w:szCs w:val="18"/>
        </w:rPr>
        <w:t xml:space="preserve"> će upu</w:t>
      </w:r>
      <w:r w:rsidR="002632C2" w:rsidRPr="00826E16">
        <w:rPr>
          <w:rFonts w:ascii="Times New Roman" w:eastAsia="Times New Roman" w:hAnsi="Times New Roman" w:cs="Times New Roman"/>
          <w:sz w:val="18"/>
          <w:szCs w:val="18"/>
        </w:rPr>
        <w:t>ćivati</w:t>
      </w:r>
      <w:r w:rsidR="0022540C" w:rsidRPr="00826E16">
        <w:rPr>
          <w:rFonts w:ascii="Times New Roman" w:eastAsia="Times New Roman" w:hAnsi="Times New Roman" w:cs="Times New Roman"/>
          <w:sz w:val="18"/>
          <w:szCs w:val="18"/>
        </w:rPr>
        <w:t xml:space="preserve"> na relevantni dio dokumentacije P</w:t>
      </w:r>
      <w:r w:rsidR="00913041" w:rsidRPr="00826E16">
        <w:rPr>
          <w:rFonts w:ascii="Times New Roman" w:eastAsia="Times New Roman" w:hAnsi="Times New Roman" w:cs="Times New Roman"/>
          <w:sz w:val="18"/>
          <w:szCs w:val="18"/>
        </w:rPr>
        <w:t>DP-</w:t>
      </w:r>
      <w:r w:rsidR="0022540C" w:rsidRPr="00826E16">
        <w:rPr>
          <w:rFonts w:ascii="Times New Roman" w:hAnsi="Times New Roman" w:cs="Times New Roman"/>
          <w:sz w:val="18"/>
          <w:szCs w:val="18"/>
        </w:rPr>
        <w:t xml:space="preserve">a. </w:t>
      </w:r>
      <w:r w:rsidR="0022540C" w:rsidRPr="00826E16">
        <w:rPr>
          <w:rFonts w:ascii="Times New Roman" w:eastAsia="Times New Roman" w:hAnsi="Times New Roman" w:cs="Times New Roman"/>
          <w:sz w:val="18"/>
          <w:szCs w:val="18"/>
        </w:rPr>
        <w:t xml:space="preserve"> </w:t>
      </w: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461F02" w:rsidRPr="00EC7F45" w14:paraId="4DF658F4" w14:textId="77777777" w:rsidTr="00690177">
        <w:trPr>
          <w:trHeight w:val="433"/>
        </w:trPr>
        <w:tc>
          <w:tcPr>
            <w:tcW w:w="567" w:type="dxa"/>
            <w:shd w:val="clear" w:color="auto" w:fill="C5E0B3" w:themeFill="accent6" w:themeFillTint="66"/>
          </w:tcPr>
          <w:p w14:paraId="21A57E76" w14:textId="77777777" w:rsidR="00461F02" w:rsidRPr="00EC7F45" w:rsidRDefault="00461F02" w:rsidP="00313FE4">
            <w:pPr>
              <w:jc w:val="center"/>
              <w:rPr>
                <w:b/>
                <w:lang w:val="hr-HR"/>
              </w:rPr>
            </w:pPr>
          </w:p>
        </w:tc>
        <w:tc>
          <w:tcPr>
            <w:tcW w:w="6095" w:type="dxa"/>
            <w:shd w:val="clear" w:color="auto" w:fill="C5E0B3" w:themeFill="accent6" w:themeFillTint="66"/>
          </w:tcPr>
          <w:p w14:paraId="64F131F8" w14:textId="77777777" w:rsidR="00461F02" w:rsidRPr="00EC7F45" w:rsidRDefault="00461F02" w:rsidP="00461F02">
            <w:pPr>
              <w:jc w:val="right"/>
              <w:rPr>
                <w:b/>
                <w:lang w:val="hr-HR"/>
              </w:rPr>
            </w:pPr>
            <w:r w:rsidRPr="00EC7F45">
              <w:rPr>
                <w:b/>
                <w:lang w:val="hr-HR"/>
              </w:rPr>
              <w:t xml:space="preserve">VERZIJA: </w:t>
            </w:r>
          </w:p>
        </w:tc>
        <w:tc>
          <w:tcPr>
            <w:tcW w:w="6946" w:type="dxa"/>
            <w:shd w:val="clear" w:color="auto" w:fill="C5E0B3" w:themeFill="accent6" w:themeFillTint="66"/>
          </w:tcPr>
          <w:p w14:paraId="1416E906" w14:textId="2C73DD39" w:rsidR="00461F02" w:rsidRPr="00EC7F45" w:rsidRDefault="002C0AB7" w:rsidP="00424267">
            <w:pPr>
              <w:rPr>
                <w:b/>
                <w:lang w:val="hr-HR"/>
              </w:rPr>
            </w:pPr>
            <w:r>
              <w:rPr>
                <w:b/>
                <w:lang w:val="hr-HR"/>
              </w:rPr>
              <w:t>1.1</w:t>
            </w:r>
          </w:p>
        </w:tc>
      </w:tr>
      <w:tr w:rsidR="002A5212" w:rsidRPr="00EC7F45" w14:paraId="591A585F" w14:textId="77777777" w:rsidTr="00690177">
        <w:trPr>
          <w:trHeight w:val="433"/>
        </w:trPr>
        <w:tc>
          <w:tcPr>
            <w:tcW w:w="567" w:type="dxa"/>
            <w:shd w:val="clear" w:color="auto" w:fill="C5E0B3" w:themeFill="accent6" w:themeFillTint="66"/>
          </w:tcPr>
          <w:p w14:paraId="7EBF774E" w14:textId="77777777" w:rsidR="002A5212" w:rsidRPr="00EC7F45" w:rsidRDefault="002A5212" w:rsidP="00313FE4">
            <w:pPr>
              <w:jc w:val="center"/>
              <w:rPr>
                <w:b/>
                <w:lang w:val="hr-HR"/>
              </w:rPr>
            </w:pPr>
          </w:p>
        </w:tc>
        <w:tc>
          <w:tcPr>
            <w:tcW w:w="6095" w:type="dxa"/>
            <w:shd w:val="clear" w:color="auto" w:fill="C5E0B3" w:themeFill="accent6" w:themeFillTint="66"/>
          </w:tcPr>
          <w:p w14:paraId="1250F668" w14:textId="3957C9F4" w:rsidR="002A5212" w:rsidRPr="00EC7F45" w:rsidRDefault="002A5212" w:rsidP="00781612">
            <w:pPr>
              <w:jc w:val="right"/>
              <w:rPr>
                <w:b/>
                <w:lang w:val="hr-HR"/>
              </w:rPr>
            </w:pPr>
            <w:r w:rsidRPr="00EC7F45">
              <w:rPr>
                <w:b/>
                <w:lang w:val="hr-HR"/>
              </w:rPr>
              <w:t xml:space="preserve">OBJAVA SVIH PITANJA/ODGOVORA IZ VERZIJE </w:t>
            </w:r>
            <w:r w:rsidR="00F522CF">
              <w:rPr>
                <w:b/>
                <w:lang w:val="hr-HR"/>
              </w:rPr>
              <w:t>1.1</w:t>
            </w:r>
            <w:r w:rsidRPr="00EC7F45">
              <w:rPr>
                <w:b/>
                <w:lang w:val="hr-HR"/>
              </w:rPr>
              <w:t>:</w:t>
            </w:r>
          </w:p>
        </w:tc>
        <w:tc>
          <w:tcPr>
            <w:tcW w:w="6946" w:type="dxa"/>
            <w:shd w:val="clear" w:color="auto" w:fill="C5E0B3" w:themeFill="accent6" w:themeFillTint="66"/>
          </w:tcPr>
          <w:p w14:paraId="4709AC0D" w14:textId="0A54C175" w:rsidR="002A5212" w:rsidRPr="00F522CF" w:rsidRDefault="002C0AB7" w:rsidP="00F522CF">
            <w:pPr>
              <w:rPr>
                <w:b/>
                <w:color w:val="FF0000"/>
                <w:lang w:val="hr-HR"/>
              </w:rPr>
            </w:pPr>
            <w:r>
              <w:rPr>
                <w:b/>
                <w:lang w:val="hr-HR"/>
              </w:rPr>
              <w:t>2</w:t>
            </w:r>
            <w:r w:rsidR="00F522CF" w:rsidRPr="00F522CF">
              <w:rPr>
                <w:b/>
                <w:lang w:val="hr-HR"/>
              </w:rPr>
              <w:t>. SET PITANJA I ODGOVORA</w:t>
            </w:r>
          </w:p>
        </w:tc>
      </w:tr>
      <w:tr w:rsidR="001421EB" w:rsidRPr="00EC7F45" w14:paraId="636D4E54" w14:textId="77777777" w:rsidTr="00A600DE">
        <w:trPr>
          <w:trHeight w:val="433"/>
        </w:trPr>
        <w:tc>
          <w:tcPr>
            <w:tcW w:w="567"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1F437EE7" w14:textId="084AAFF7" w:rsidR="001421EB" w:rsidRPr="00EC7F45" w:rsidRDefault="00324620" w:rsidP="00471101">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r w:rsidR="002C0AB7">
              <w:rPr>
                <w:b/>
                <w:color w:val="FFFFFF" w:themeColor="background1"/>
                <w:sz w:val="22"/>
                <w:szCs w:val="22"/>
                <w:lang w:val="hr-HR"/>
              </w:rPr>
              <w:t>12</w:t>
            </w:r>
            <w:r w:rsidR="00471101">
              <w:rPr>
                <w:b/>
                <w:color w:val="FFFFFF" w:themeColor="background1"/>
                <w:sz w:val="22"/>
                <w:szCs w:val="22"/>
                <w:lang w:val="hr-HR"/>
              </w:rPr>
              <w:t>. siječnja 2022.</w:t>
            </w:r>
          </w:p>
        </w:tc>
        <w:tc>
          <w:tcPr>
            <w:tcW w:w="6946" w:type="dxa"/>
            <w:shd w:val="clear" w:color="auto" w:fill="538135" w:themeFill="accent6" w:themeFillShade="BF"/>
          </w:tcPr>
          <w:p w14:paraId="7B6817FD" w14:textId="2E483FB0" w:rsidR="001421EB" w:rsidRPr="00EC7F45" w:rsidRDefault="00324620" w:rsidP="00324620">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2C0AB7">
              <w:rPr>
                <w:b/>
                <w:color w:val="FFFFFF" w:themeColor="background1"/>
                <w:sz w:val="22"/>
                <w:szCs w:val="22"/>
                <w:lang w:val="hr-HR"/>
              </w:rPr>
              <w:t xml:space="preserve"> 21</w:t>
            </w:r>
            <w:r w:rsidR="001E2835">
              <w:rPr>
                <w:b/>
                <w:color w:val="FFFFFF" w:themeColor="background1"/>
                <w:sz w:val="22"/>
                <w:szCs w:val="22"/>
                <w:lang w:val="hr-HR"/>
              </w:rPr>
              <w:t>. siječnja 2022.</w:t>
            </w:r>
          </w:p>
        </w:tc>
      </w:tr>
      <w:tr w:rsidR="001421EB" w:rsidRPr="00320A93" w14:paraId="0DB6FC75" w14:textId="77777777" w:rsidTr="002C5F04">
        <w:trPr>
          <w:trHeight w:val="343"/>
        </w:trPr>
        <w:tc>
          <w:tcPr>
            <w:tcW w:w="567" w:type="dxa"/>
            <w:vAlign w:val="center"/>
          </w:tcPr>
          <w:p w14:paraId="31ECE4DD" w14:textId="65393912" w:rsidR="001421EB" w:rsidRPr="00471101" w:rsidRDefault="00471101" w:rsidP="00471101">
            <w:pPr>
              <w:tabs>
                <w:tab w:val="left" w:pos="176"/>
              </w:tabs>
              <w:ind w:left="95"/>
              <w:jc w:val="right"/>
              <w:rPr>
                <w:b/>
                <w:sz w:val="22"/>
                <w:szCs w:val="22"/>
                <w:lang w:val="hr-HR"/>
              </w:rPr>
            </w:pPr>
            <w:r w:rsidRPr="00471101">
              <w:rPr>
                <w:b/>
                <w:sz w:val="22"/>
                <w:szCs w:val="22"/>
                <w:lang w:val="hr-HR"/>
              </w:rPr>
              <w:t>1.</w:t>
            </w:r>
          </w:p>
        </w:tc>
        <w:tc>
          <w:tcPr>
            <w:tcW w:w="6095" w:type="dxa"/>
          </w:tcPr>
          <w:p w14:paraId="6814D14B" w14:textId="37C78621" w:rsidR="001421EB" w:rsidRPr="00587DFF" w:rsidRDefault="002C0AB7" w:rsidP="00D82761">
            <w:pPr>
              <w:jc w:val="both"/>
              <w:rPr>
                <w:lang w:val="hr-HR"/>
              </w:rPr>
            </w:pPr>
            <w:r>
              <w:rPr>
                <w:lang w:val="hr-HR"/>
              </w:rPr>
              <w:t>A</w:t>
            </w:r>
            <w:r w:rsidRPr="002C0AB7">
              <w:rPr>
                <w:lang w:val="hr-HR"/>
              </w:rPr>
              <w:t xml:space="preserve">ko je prostor poslovnog subjekta-pravne osobe žurno i interventno angažiran od strane Ravnateljstva Civilne zaštite RH i Gradskog stožera civilne zaštite za organizirano prikupljanje i distribuciju humanitarne pomoći na potresom pogođena područja Banovine, da li uporaba tog prostora ukupne površine cca 13,6 tisuća m2 i ukupne lokacije u razdoblju od 2,5 mjeseca predstavlja opravdani trošak Gradskom društvu Crvenog križa koje je operativno realiziralo navedenu humanitarnu aktivnost (napomena: u uvjetima žurnog djelovanja nakon potresa na Banovini krajem 2020. godine, navedeni kapacitet zatvorenog prostora bila je jedina lokacija koja je omogućavala organizirano prikupljanje i distribuciju humanitarne pomoći na zahtijevanoj organizacijskoj i realizacijskoj razini, zbog čega je i angažiran)?   </w:t>
            </w:r>
          </w:p>
        </w:tc>
        <w:tc>
          <w:tcPr>
            <w:tcW w:w="6946" w:type="dxa"/>
          </w:tcPr>
          <w:p w14:paraId="01AE1061" w14:textId="355B6560" w:rsidR="001421EB" w:rsidRPr="003A50E9" w:rsidRDefault="003A50E9" w:rsidP="008541A2">
            <w:pPr>
              <w:jc w:val="both"/>
              <w:rPr>
                <w:lang w:val="hr-HR"/>
              </w:rPr>
            </w:pPr>
            <w:r w:rsidRPr="003A50E9">
              <w:rPr>
                <w:lang w:val="hr-HR"/>
              </w:rPr>
              <w:t xml:space="preserve">Sukladno Uputama za prijavitelje </w:t>
            </w:r>
            <w:r w:rsidRPr="008541A2">
              <w:rPr>
                <w:i/>
                <w:lang w:val="hr-HR"/>
              </w:rPr>
              <w:t>točka 2.10. Neprihvatljivi troškovi</w:t>
            </w:r>
            <w:r w:rsidRPr="003A50E9">
              <w:rPr>
                <w:lang w:val="hr-HR"/>
              </w:rPr>
              <w:t xml:space="preserve">, zakup materijalne imovine je neprihvatljiv trošak. Ukoliko </w:t>
            </w:r>
            <w:r w:rsidR="008541A2">
              <w:rPr>
                <w:lang w:val="hr-HR"/>
              </w:rPr>
              <w:t>Prijavitelj dokaže kako se ne radi o zakupu materijalne imovine, trošak se može uzeti u razmatranje.</w:t>
            </w:r>
          </w:p>
        </w:tc>
      </w:tr>
    </w:tbl>
    <w:p w14:paraId="418E8CBE" w14:textId="179F64D4" w:rsidR="00CF689F" w:rsidRPr="00EC7F45" w:rsidRDefault="00CF689F" w:rsidP="00002E6E">
      <w:pPr>
        <w:spacing w:after="0" w:line="240" w:lineRule="auto"/>
        <w:jc w:val="both"/>
        <w:rPr>
          <w:rFonts w:ascii="Times New Roman" w:hAnsi="Times New Roman" w:cs="Times New Roman"/>
          <w:sz w:val="24"/>
          <w:szCs w:val="24"/>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77279C" w:rsidRPr="00EC7F45" w14:paraId="1B1D26DD" w14:textId="77777777" w:rsidTr="00471101">
        <w:trPr>
          <w:trHeight w:val="433"/>
        </w:trPr>
        <w:tc>
          <w:tcPr>
            <w:tcW w:w="567" w:type="dxa"/>
            <w:shd w:val="clear" w:color="auto" w:fill="C5E0B3" w:themeFill="accent6" w:themeFillTint="66"/>
          </w:tcPr>
          <w:p w14:paraId="29E85513" w14:textId="77777777" w:rsidR="0077279C" w:rsidRPr="00EC7F45" w:rsidRDefault="0077279C" w:rsidP="00E43107">
            <w:pPr>
              <w:jc w:val="center"/>
              <w:rPr>
                <w:b/>
                <w:lang w:val="hr-HR"/>
              </w:rPr>
            </w:pPr>
            <w:r w:rsidRPr="00EC7F45">
              <w:rPr>
                <w:sz w:val="24"/>
                <w:szCs w:val="24"/>
                <w:lang w:val="hr-HR"/>
              </w:rPr>
              <w:lastRenderedPageBreak/>
              <w:br w:type="page"/>
            </w:r>
          </w:p>
        </w:tc>
        <w:tc>
          <w:tcPr>
            <w:tcW w:w="6095" w:type="dxa"/>
            <w:shd w:val="clear" w:color="auto" w:fill="C5E0B3" w:themeFill="accent6" w:themeFillTint="66"/>
          </w:tcPr>
          <w:p w14:paraId="51148BA6" w14:textId="77777777" w:rsidR="0077279C" w:rsidRPr="00EC7F45" w:rsidRDefault="0077279C" w:rsidP="00E43107">
            <w:pPr>
              <w:jc w:val="right"/>
              <w:rPr>
                <w:b/>
                <w:lang w:val="hr-HR"/>
              </w:rPr>
            </w:pPr>
            <w:r w:rsidRPr="00EC7F45">
              <w:rPr>
                <w:b/>
                <w:lang w:val="hr-HR"/>
              </w:rPr>
              <w:t xml:space="preserve">VERZIJA: </w:t>
            </w:r>
          </w:p>
        </w:tc>
        <w:tc>
          <w:tcPr>
            <w:tcW w:w="6946" w:type="dxa"/>
            <w:shd w:val="clear" w:color="auto" w:fill="C5E0B3" w:themeFill="accent6" w:themeFillTint="66"/>
          </w:tcPr>
          <w:p w14:paraId="1C3E3FAA" w14:textId="288551C2" w:rsidR="0077279C" w:rsidRPr="00EC7F45" w:rsidRDefault="00471101" w:rsidP="0077279C">
            <w:pPr>
              <w:rPr>
                <w:b/>
                <w:lang w:val="hr-HR"/>
              </w:rPr>
            </w:pPr>
            <w:r>
              <w:rPr>
                <w:b/>
                <w:lang w:val="hr-HR"/>
              </w:rPr>
              <w:t>1.1</w:t>
            </w:r>
          </w:p>
        </w:tc>
      </w:tr>
      <w:tr w:rsidR="0077279C" w:rsidRPr="00EC7F45" w14:paraId="0BD4C546" w14:textId="77777777" w:rsidTr="00471101">
        <w:trPr>
          <w:trHeight w:val="433"/>
        </w:trPr>
        <w:tc>
          <w:tcPr>
            <w:tcW w:w="567" w:type="dxa"/>
            <w:shd w:val="clear" w:color="auto" w:fill="C5E0B3" w:themeFill="accent6" w:themeFillTint="66"/>
          </w:tcPr>
          <w:p w14:paraId="4868B86A" w14:textId="77777777" w:rsidR="0077279C" w:rsidRPr="00EC7F45" w:rsidRDefault="0077279C" w:rsidP="00E43107">
            <w:pPr>
              <w:jc w:val="center"/>
              <w:rPr>
                <w:b/>
                <w:lang w:val="hr-HR"/>
              </w:rPr>
            </w:pPr>
          </w:p>
        </w:tc>
        <w:tc>
          <w:tcPr>
            <w:tcW w:w="6095" w:type="dxa"/>
            <w:shd w:val="clear" w:color="auto" w:fill="C5E0B3" w:themeFill="accent6" w:themeFillTint="66"/>
          </w:tcPr>
          <w:p w14:paraId="747782F6" w14:textId="1C8AF3F4" w:rsidR="0077279C" w:rsidRPr="00EC7F45" w:rsidRDefault="0077279C" w:rsidP="00781612">
            <w:pPr>
              <w:jc w:val="right"/>
              <w:rPr>
                <w:b/>
                <w:lang w:val="hr-HR"/>
              </w:rPr>
            </w:pPr>
            <w:r w:rsidRPr="00EC7F45">
              <w:rPr>
                <w:b/>
                <w:lang w:val="hr-HR"/>
              </w:rPr>
              <w:t xml:space="preserve">OBJAVA SVIH </w:t>
            </w:r>
            <w:r w:rsidR="002A5212" w:rsidRPr="00EC7F45">
              <w:rPr>
                <w:b/>
                <w:lang w:val="hr-HR"/>
              </w:rPr>
              <w:t>PITANJA/</w:t>
            </w:r>
            <w:r w:rsidRPr="00EC7F45">
              <w:rPr>
                <w:b/>
                <w:lang w:val="hr-HR"/>
              </w:rPr>
              <w:t xml:space="preserve">ODGOVORA IZ VERZIJE </w:t>
            </w:r>
            <w:r w:rsidR="00471101">
              <w:rPr>
                <w:b/>
                <w:lang w:val="hr-HR"/>
              </w:rPr>
              <w:t>1.1</w:t>
            </w:r>
            <w:r w:rsidRPr="00EC7F45">
              <w:rPr>
                <w:b/>
                <w:lang w:val="hr-HR"/>
              </w:rPr>
              <w:t>:</w:t>
            </w:r>
          </w:p>
        </w:tc>
        <w:tc>
          <w:tcPr>
            <w:tcW w:w="6946" w:type="dxa"/>
            <w:shd w:val="clear" w:color="auto" w:fill="C5E0B3" w:themeFill="accent6" w:themeFillTint="66"/>
          </w:tcPr>
          <w:p w14:paraId="27E80A02" w14:textId="4A0BC76B" w:rsidR="0077279C" w:rsidRPr="00471101" w:rsidRDefault="00C219F1" w:rsidP="00471101">
            <w:pPr>
              <w:rPr>
                <w:b/>
                <w:color w:val="FF0000"/>
                <w:lang w:val="hr-HR"/>
              </w:rPr>
            </w:pPr>
            <w:r>
              <w:rPr>
                <w:b/>
                <w:lang w:val="hr-HR"/>
              </w:rPr>
              <w:t>2</w:t>
            </w:r>
            <w:r w:rsidR="00471101" w:rsidRPr="00471101">
              <w:rPr>
                <w:b/>
                <w:lang w:val="hr-HR"/>
              </w:rPr>
              <w:t>. SET PITANJA I ODGOVORA</w:t>
            </w:r>
          </w:p>
        </w:tc>
      </w:tr>
      <w:tr w:rsidR="0077279C" w:rsidRPr="00EC7F45" w14:paraId="49EF036B" w14:textId="77777777" w:rsidTr="00324620">
        <w:trPr>
          <w:trHeight w:val="433"/>
        </w:trPr>
        <w:tc>
          <w:tcPr>
            <w:tcW w:w="567" w:type="dxa"/>
            <w:shd w:val="clear" w:color="auto" w:fill="538135" w:themeFill="accent6" w:themeFillShade="BF"/>
          </w:tcPr>
          <w:p w14:paraId="34E50940" w14:textId="77777777" w:rsidR="0077279C" w:rsidRPr="00EC7F45" w:rsidRDefault="0077279C" w:rsidP="00E43107">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51A0B7D0" w14:textId="0DDCC57A" w:rsidR="0077279C" w:rsidRPr="00EC7F45" w:rsidRDefault="00324620" w:rsidP="00324620">
            <w:pPr>
              <w:rPr>
                <w:b/>
                <w:sz w:val="22"/>
                <w:szCs w:val="22"/>
                <w:lang w:val="hr-HR"/>
              </w:rPr>
            </w:pPr>
            <w:r w:rsidRPr="00EC7F45">
              <w:rPr>
                <w:b/>
                <w:color w:val="FFFFFF" w:themeColor="background1"/>
                <w:sz w:val="22"/>
                <w:szCs w:val="22"/>
                <w:lang w:val="hr-HR"/>
              </w:rPr>
              <w:t xml:space="preserve">DATUM ZAPRIMANJA </w:t>
            </w:r>
            <w:r w:rsidR="0077279C" w:rsidRPr="00EC7F45">
              <w:rPr>
                <w:b/>
                <w:color w:val="FFFFFF" w:themeColor="background1"/>
                <w:sz w:val="22"/>
                <w:szCs w:val="22"/>
                <w:lang w:val="hr-HR"/>
              </w:rPr>
              <w:t>PITANJ</w:t>
            </w:r>
            <w:r w:rsidRPr="00EC7F45">
              <w:rPr>
                <w:b/>
                <w:color w:val="FFFFFF" w:themeColor="background1"/>
                <w:sz w:val="22"/>
                <w:szCs w:val="22"/>
                <w:lang w:val="hr-HR"/>
              </w:rPr>
              <w:t>A</w:t>
            </w:r>
            <w:r w:rsidR="0077279C" w:rsidRPr="00EC7F45">
              <w:rPr>
                <w:b/>
                <w:color w:val="FFFFFF" w:themeColor="background1"/>
                <w:sz w:val="22"/>
                <w:szCs w:val="22"/>
                <w:lang w:val="hr-HR"/>
              </w:rPr>
              <w:t xml:space="preserve">: </w:t>
            </w:r>
            <w:r w:rsidR="007205DE">
              <w:rPr>
                <w:b/>
                <w:color w:val="FFFFFF" w:themeColor="background1"/>
                <w:sz w:val="22"/>
                <w:szCs w:val="22"/>
                <w:lang w:val="hr-HR"/>
              </w:rPr>
              <w:t xml:space="preserve"> 13</w:t>
            </w:r>
            <w:r w:rsidR="00471101">
              <w:rPr>
                <w:b/>
                <w:color w:val="FFFFFF" w:themeColor="background1"/>
                <w:sz w:val="22"/>
                <w:szCs w:val="22"/>
                <w:lang w:val="hr-HR"/>
              </w:rPr>
              <w:t>. siječanja 2022.</w:t>
            </w:r>
          </w:p>
        </w:tc>
        <w:tc>
          <w:tcPr>
            <w:tcW w:w="6946" w:type="dxa"/>
            <w:shd w:val="clear" w:color="auto" w:fill="538135" w:themeFill="accent6" w:themeFillShade="BF"/>
          </w:tcPr>
          <w:p w14:paraId="1DB87F0E" w14:textId="3148D0AE" w:rsidR="0077279C" w:rsidRPr="00EC7F45" w:rsidRDefault="00324620" w:rsidP="00324620">
            <w:pPr>
              <w:rPr>
                <w:b/>
                <w:sz w:val="22"/>
                <w:szCs w:val="22"/>
                <w:lang w:val="hr-HR"/>
              </w:rPr>
            </w:pPr>
            <w:r w:rsidRPr="00EC7F45">
              <w:rPr>
                <w:b/>
                <w:color w:val="FFFFFF" w:themeColor="background1"/>
                <w:sz w:val="22"/>
                <w:szCs w:val="22"/>
                <w:lang w:val="hr-HR"/>
              </w:rPr>
              <w:t xml:space="preserve">DATUM </w:t>
            </w:r>
            <w:r w:rsidR="0077279C" w:rsidRPr="00EC7F45">
              <w:rPr>
                <w:b/>
                <w:color w:val="FFFFFF" w:themeColor="background1"/>
                <w:sz w:val="22"/>
                <w:szCs w:val="22"/>
                <w:lang w:val="hr-HR"/>
              </w:rPr>
              <w:t>ODGOVOR</w:t>
            </w:r>
            <w:r w:rsidRPr="00EC7F45">
              <w:rPr>
                <w:b/>
                <w:color w:val="FFFFFF" w:themeColor="background1"/>
                <w:sz w:val="22"/>
                <w:szCs w:val="22"/>
                <w:lang w:val="hr-HR"/>
              </w:rPr>
              <w:t>A</w:t>
            </w:r>
            <w:r w:rsidR="0077279C" w:rsidRPr="00EC7F45">
              <w:rPr>
                <w:b/>
                <w:color w:val="FFFFFF" w:themeColor="background1"/>
                <w:sz w:val="22"/>
                <w:szCs w:val="22"/>
                <w:lang w:val="hr-HR"/>
              </w:rPr>
              <w:t xml:space="preserve"> NA PITANJE:</w:t>
            </w:r>
            <w:r w:rsidR="007205DE">
              <w:rPr>
                <w:b/>
                <w:color w:val="FFFFFF" w:themeColor="background1"/>
                <w:sz w:val="22"/>
                <w:szCs w:val="22"/>
                <w:lang w:val="hr-HR"/>
              </w:rPr>
              <w:t xml:space="preserve"> 21</w:t>
            </w:r>
            <w:r w:rsidR="001E2835">
              <w:rPr>
                <w:b/>
                <w:color w:val="FFFFFF" w:themeColor="background1"/>
                <w:sz w:val="22"/>
                <w:szCs w:val="22"/>
                <w:lang w:val="hr-HR"/>
              </w:rPr>
              <w:t>. siječnja 2022.</w:t>
            </w:r>
          </w:p>
        </w:tc>
      </w:tr>
      <w:tr w:rsidR="00471101" w:rsidRPr="00EC7F45" w14:paraId="101B0B78" w14:textId="77777777" w:rsidTr="00324620">
        <w:trPr>
          <w:trHeight w:val="434"/>
        </w:trPr>
        <w:tc>
          <w:tcPr>
            <w:tcW w:w="567" w:type="dxa"/>
            <w:vAlign w:val="center"/>
          </w:tcPr>
          <w:p w14:paraId="79C8732C" w14:textId="13F3480D" w:rsidR="00471101" w:rsidRPr="00471101" w:rsidRDefault="00471101" w:rsidP="00471101">
            <w:pPr>
              <w:tabs>
                <w:tab w:val="left" w:pos="176"/>
              </w:tabs>
              <w:jc w:val="right"/>
              <w:rPr>
                <w:b/>
                <w:sz w:val="22"/>
                <w:szCs w:val="22"/>
                <w:lang w:val="hr-HR"/>
              </w:rPr>
            </w:pPr>
            <w:r w:rsidRPr="00471101">
              <w:rPr>
                <w:b/>
                <w:sz w:val="22"/>
                <w:szCs w:val="22"/>
                <w:lang w:val="hr-HR"/>
              </w:rPr>
              <w:t>2.</w:t>
            </w:r>
          </w:p>
        </w:tc>
        <w:tc>
          <w:tcPr>
            <w:tcW w:w="6095" w:type="dxa"/>
          </w:tcPr>
          <w:p w14:paraId="19F7608A" w14:textId="20690CB6" w:rsidR="00471101" w:rsidRPr="00587DFF" w:rsidRDefault="007205DE" w:rsidP="00471101">
            <w:pPr>
              <w:jc w:val="both"/>
              <w:rPr>
                <w:lang w:val="hr-HR"/>
              </w:rPr>
            </w:pPr>
            <w:r>
              <w:rPr>
                <w:lang w:val="hr-HR"/>
              </w:rPr>
              <w:t>K</w:t>
            </w:r>
            <w:r w:rsidRPr="007205DE">
              <w:rPr>
                <w:lang w:val="hr-HR"/>
              </w:rPr>
              <w:t>orisnik dodjele potpore je neobaveznik zakona o javnoj nabavi. Kako je poslovna jedinica uništena 29.12.2020. nabavljena je oprema za povratak u posao. Ulazi li nabava opreme prije objave Poziva kao prihvatljivi trošak?</w:t>
            </w:r>
          </w:p>
        </w:tc>
        <w:tc>
          <w:tcPr>
            <w:tcW w:w="6946" w:type="dxa"/>
          </w:tcPr>
          <w:p w14:paraId="76EC7F85" w14:textId="4ECACB0F" w:rsidR="004B402A" w:rsidRPr="008541A2" w:rsidRDefault="004B402A" w:rsidP="004B402A">
            <w:pPr>
              <w:jc w:val="both"/>
              <w:rPr>
                <w:lang w:val="hr-HR"/>
              </w:rPr>
            </w:pPr>
            <w:r w:rsidRPr="008541A2">
              <w:rPr>
                <w:lang w:val="hr-HR"/>
              </w:rPr>
              <w:t>Sukladno Uputama</w:t>
            </w:r>
            <w:r w:rsidR="007571D3" w:rsidRPr="008541A2">
              <w:rPr>
                <w:lang w:val="hr-HR"/>
              </w:rPr>
              <w:t xml:space="preserve"> za prijavitelje točka </w:t>
            </w:r>
            <w:r w:rsidR="007571D3" w:rsidRPr="008541A2">
              <w:rPr>
                <w:i/>
                <w:lang w:val="hr-HR"/>
              </w:rPr>
              <w:t>2.9</w:t>
            </w:r>
            <w:r w:rsidRPr="008541A2">
              <w:rPr>
                <w:i/>
                <w:lang w:val="hr-HR"/>
              </w:rPr>
              <w:t>. Prihvatljivi troškovi</w:t>
            </w:r>
            <w:r w:rsidRPr="008541A2">
              <w:rPr>
                <w:lang w:val="hr-HR"/>
              </w:rPr>
              <w:t xml:space="preserve"> su: </w:t>
            </w:r>
          </w:p>
          <w:p w14:paraId="28E36B1F" w14:textId="3F3EB7A9" w:rsidR="00653729" w:rsidRPr="008541A2" w:rsidRDefault="00653729" w:rsidP="004B402A">
            <w:pPr>
              <w:jc w:val="both"/>
              <w:rPr>
                <w:b/>
                <w:lang w:val="hr-HR"/>
              </w:rPr>
            </w:pPr>
            <w:r w:rsidRPr="008541A2">
              <w:rPr>
                <w:b/>
                <w:lang w:val="hr-HR"/>
              </w:rPr>
              <w:t>Za Grupu 1. Aktivnosti službi spašavanja radi pokrivanja potreba stanovništva pogođenog serijom potresa počevši od 28. prosinca 2020. godine</w:t>
            </w:r>
          </w:p>
          <w:p w14:paraId="6418ABC1" w14:textId="77777777" w:rsidR="00FC149F" w:rsidRPr="008541A2" w:rsidRDefault="00FC149F" w:rsidP="004B402A">
            <w:pPr>
              <w:jc w:val="both"/>
              <w:rPr>
                <w:b/>
                <w:lang w:val="hr-HR"/>
              </w:rPr>
            </w:pPr>
          </w:p>
          <w:p w14:paraId="036303D8" w14:textId="77777777" w:rsidR="00FC149F" w:rsidRPr="008541A2" w:rsidRDefault="00FC149F" w:rsidP="00F40E90">
            <w:pPr>
              <w:jc w:val="both"/>
              <w:rPr>
                <w:lang w:val="hr-HR"/>
              </w:rPr>
            </w:pPr>
            <w:r w:rsidRPr="008541A2">
              <w:rPr>
                <w:b/>
                <w:lang w:val="hr-HR"/>
              </w:rPr>
              <w:t xml:space="preserve">- </w:t>
            </w:r>
            <w:r w:rsidR="004B402A" w:rsidRPr="008541A2">
              <w:rPr>
                <w:b/>
                <w:lang w:val="hr-HR"/>
              </w:rPr>
              <w:t>Troškovi intervencija službi spašavanja</w:t>
            </w:r>
            <w:r w:rsidR="00F40E90" w:rsidRPr="008541A2">
              <w:rPr>
                <w:lang w:val="hr-HR"/>
              </w:rPr>
              <w:t xml:space="preserve"> (izvanredna nabava opreme za potrebe službi spašavanja vezane uz uklanjanje posljedica potresa, popravljanje opreme za potrebe službi spašavanja vezane uz uklanjanje posljedica potresa te izvanredno korištenje opreme, izvanredna nabava IKT (informacijsko-komunikacijske tehnologije) opreme i IT sustava za potrebe službi spašavanja vezane uz njihovo djelovanje pri uklanjanju posljedica potresa, intervencije službi spašavanja te osiguranje i prehrana službi spašavanja</w:t>
            </w:r>
            <w:r w:rsidR="00653729" w:rsidRPr="008541A2">
              <w:rPr>
                <w:lang w:val="hr-HR"/>
              </w:rPr>
              <w:t>)</w:t>
            </w:r>
          </w:p>
          <w:p w14:paraId="27F32E26" w14:textId="2958659B" w:rsidR="00FC149F" w:rsidRPr="008541A2" w:rsidRDefault="00FC149F" w:rsidP="00F40E90">
            <w:pPr>
              <w:jc w:val="both"/>
              <w:rPr>
                <w:lang w:val="hr-HR"/>
              </w:rPr>
            </w:pPr>
            <w:r w:rsidRPr="008541A2">
              <w:rPr>
                <w:b/>
                <w:lang w:val="hr-HR"/>
              </w:rPr>
              <w:t xml:space="preserve">- </w:t>
            </w:r>
            <w:r w:rsidR="00653729" w:rsidRPr="008541A2">
              <w:rPr>
                <w:b/>
                <w:lang w:val="hr-HR"/>
              </w:rPr>
              <w:t>Troškovi informiranja stanovništva pogođenog potres</w:t>
            </w:r>
            <w:r w:rsidRPr="008541A2">
              <w:rPr>
                <w:b/>
                <w:lang w:val="hr-HR"/>
              </w:rPr>
              <w:t>om</w:t>
            </w:r>
          </w:p>
          <w:p w14:paraId="426195E9" w14:textId="69E7CE6E" w:rsidR="00653729" w:rsidRPr="008541A2" w:rsidRDefault="00FC149F" w:rsidP="00F40E90">
            <w:pPr>
              <w:jc w:val="both"/>
              <w:rPr>
                <w:b/>
                <w:lang w:val="hr-HR"/>
              </w:rPr>
            </w:pPr>
            <w:r w:rsidRPr="008541A2">
              <w:rPr>
                <w:b/>
                <w:lang w:val="hr-HR"/>
              </w:rPr>
              <w:t xml:space="preserve">- </w:t>
            </w:r>
            <w:r w:rsidR="00653729" w:rsidRPr="008541A2">
              <w:rPr>
                <w:b/>
                <w:lang w:val="hr-HR"/>
              </w:rPr>
              <w:t>Troškovi humanitarne pomoći</w:t>
            </w:r>
          </w:p>
          <w:p w14:paraId="0FE79849" w14:textId="77777777" w:rsidR="00653729" w:rsidRPr="008541A2" w:rsidRDefault="00653729" w:rsidP="00F40E90">
            <w:pPr>
              <w:jc w:val="both"/>
              <w:rPr>
                <w:b/>
                <w:lang w:val="hr-HR"/>
              </w:rPr>
            </w:pPr>
          </w:p>
          <w:p w14:paraId="386515DC" w14:textId="77777777" w:rsidR="00653729" w:rsidRPr="008541A2" w:rsidRDefault="00FC149F" w:rsidP="00FC149F">
            <w:pPr>
              <w:jc w:val="both"/>
              <w:rPr>
                <w:b/>
                <w:lang w:val="hr-HR"/>
              </w:rPr>
            </w:pPr>
            <w:r w:rsidRPr="008541A2">
              <w:rPr>
                <w:b/>
                <w:lang w:val="hr-HR"/>
              </w:rPr>
              <w:t>Za Grupu 2. Upravljanje projektom i administracija</w:t>
            </w:r>
          </w:p>
          <w:p w14:paraId="5A34FA33" w14:textId="77777777" w:rsidR="008541A2" w:rsidRPr="008541A2" w:rsidRDefault="008541A2" w:rsidP="00FC149F">
            <w:pPr>
              <w:jc w:val="both"/>
              <w:rPr>
                <w:b/>
                <w:lang w:val="hr-HR"/>
              </w:rPr>
            </w:pPr>
          </w:p>
          <w:p w14:paraId="423F43DB" w14:textId="5DBD14A3" w:rsidR="008541A2" w:rsidRPr="008541A2" w:rsidRDefault="008541A2" w:rsidP="00FC149F">
            <w:pPr>
              <w:jc w:val="both"/>
              <w:rPr>
                <w:lang w:val="hr-HR"/>
              </w:rPr>
            </w:pPr>
            <w:r w:rsidRPr="008541A2">
              <w:rPr>
                <w:lang w:val="hr-HR"/>
              </w:rPr>
              <w:t xml:space="preserve">Sukladno Uputama za prijavitelje točka </w:t>
            </w:r>
            <w:r w:rsidRPr="008541A2">
              <w:rPr>
                <w:i/>
                <w:lang w:val="hr-HR"/>
              </w:rPr>
              <w:t xml:space="preserve">5.1. Razdoblje provedbe operacije, </w:t>
            </w:r>
            <w:r w:rsidRPr="008541A2">
              <w:rPr>
                <w:lang w:val="hr-HR"/>
              </w:rPr>
              <w:t>operacija smije započeti najranije 28. prosinca 2020. godine, a mora se dovršiti do 15. svibnja 2023. godine, s mogućnošću produljenja u opravdanim slučajevima ako tako nadležan TOPFD odluči.</w:t>
            </w:r>
          </w:p>
        </w:tc>
      </w:tr>
      <w:tr w:rsidR="00471101" w:rsidRPr="00EC7F45" w14:paraId="5623D95C" w14:textId="77777777" w:rsidTr="00324620">
        <w:trPr>
          <w:trHeight w:val="434"/>
        </w:trPr>
        <w:tc>
          <w:tcPr>
            <w:tcW w:w="567" w:type="dxa"/>
            <w:vAlign w:val="center"/>
          </w:tcPr>
          <w:p w14:paraId="7893A513" w14:textId="4B61B303" w:rsidR="00471101" w:rsidRPr="00471101" w:rsidRDefault="00471101" w:rsidP="00471101">
            <w:pPr>
              <w:tabs>
                <w:tab w:val="left" w:pos="176"/>
              </w:tabs>
              <w:jc w:val="right"/>
              <w:rPr>
                <w:b/>
                <w:sz w:val="22"/>
                <w:szCs w:val="22"/>
                <w:lang w:val="hr-HR"/>
              </w:rPr>
            </w:pPr>
            <w:r w:rsidRPr="00471101">
              <w:rPr>
                <w:b/>
                <w:sz w:val="22"/>
                <w:szCs w:val="22"/>
                <w:lang w:val="hr-HR"/>
              </w:rPr>
              <w:t xml:space="preserve">3. </w:t>
            </w:r>
          </w:p>
        </w:tc>
        <w:tc>
          <w:tcPr>
            <w:tcW w:w="6095" w:type="dxa"/>
          </w:tcPr>
          <w:p w14:paraId="5330C9BB" w14:textId="2A8FB2AF" w:rsidR="00471101" w:rsidRPr="00EC7F45" w:rsidRDefault="007205DE" w:rsidP="00471101">
            <w:pPr>
              <w:jc w:val="both"/>
              <w:rPr>
                <w:lang w:val="hr-HR"/>
              </w:rPr>
            </w:pPr>
            <w:r w:rsidRPr="007205DE">
              <w:rPr>
                <w:lang w:val="hr-HR"/>
              </w:rPr>
              <w:t>Za imenovanje voditelja projekta, mora li osoba biti zaposlena u poduzeću korisnika, te može li biti vanjsko poduzeće voditelj projekta?</w:t>
            </w:r>
          </w:p>
        </w:tc>
        <w:tc>
          <w:tcPr>
            <w:tcW w:w="6946" w:type="dxa"/>
          </w:tcPr>
          <w:p w14:paraId="11B7E048" w14:textId="27192E78" w:rsidR="00471101" w:rsidRPr="00EC7F45" w:rsidRDefault="007571D3" w:rsidP="007571D3">
            <w:pPr>
              <w:jc w:val="both"/>
              <w:rPr>
                <w:lang w:val="hr-HR"/>
              </w:rPr>
            </w:pPr>
            <w:r>
              <w:rPr>
                <w:lang w:val="hr-HR"/>
              </w:rPr>
              <w:t>Imenovani voditelj projekta može biti osoba zaposlena u poduzeću Prijavitelja i osoba iz vanjskog poduzeća, osim ako internim pravilima Prijavitelja nije drugačije definirano.</w:t>
            </w:r>
          </w:p>
        </w:tc>
      </w:tr>
    </w:tbl>
    <w:p w14:paraId="5B1D4B08" w14:textId="3892936C" w:rsidR="00471101" w:rsidRDefault="00471101" w:rsidP="00002E6E">
      <w:pPr>
        <w:spacing w:after="0" w:line="240" w:lineRule="auto"/>
        <w:jc w:val="both"/>
        <w:rPr>
          <w:rFonts w:ascii="Times New Roman" w:hAnsi="Times New Roman" w:cs="Times New Roman"/>
          <w:sz w:val="24"/>
          <w:szCs w:val="24"/>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471101" w:rsidRPr="00EC7F45" w14:paraId="54D74C4D" w14:textId="77777777" w:rsidTr="002F6137">
        <w:trPr>
          <w:trHeight w:val="433"/>
        </w:trPr>
        <w:tc>
          <w:tcPr>
            <w:tcW w:w="567" w:type="dxa"/>
            <w:shd w:val="clear" w:color="auto" w:fill="C5E0B3" w:themeFill="accent6" w:themeFillTint="66"/>
          </w:tcPr>
          <w:p w14:paraId="6FCF7F62" w14:textId="77777777" w:rsidR="00471101" w:rsidRPr="00EC7F45" w:rsidRDefault="00471101" w:rsidP="002F6137">
            <w:pPr>
              <w:jc w:val="center"/>
              <w:rPr>
                <w:b/>
                <w:lang w:val="hr-HR"/>
              </w:rPr>
            </w:pPr>
            <w:r w:rsidRPr="00EC7F45">
              <w:rPr>
                <w:sz w:val="24"/>
                <w:szCs w:val="24"/>
                <w:lang w:val="hr-HR"/>
              </w:rPr>
              <w:br w:type="page"/>
            </w:r>
          </w:p>
        </w:tc>
        <w:tc>
          <w:tcPr>
            <w:tcW w:w="6095" w:type="dxa"/>
            <w:shd w:val="clear" w:color="auto" w:fill="C5E0B3" w:themeFill="accent6" w:themeFillTint="66"/>
          </w:tcPr>
          <w:p w14:paraId="0656D44E" w14:textId="77777777" w:rsidR="00471101" w:rsidRPr="00EC7F45" w:rsidRDefault="00471101" w:rsidP="002F6137">
            <w:pPr>
              <w:jc w:val="right"/>
              <w:rPr>
                <w:b/>
                <w:lang w:val="hr-HR"/>
              </w:rPr>
            </w:pPr>
            <w:r w:rsidRPr="00EC7F45">
              <w:rPr>
                <w:b/>
                <w:lang w:val="hr-HR"/>
              </w:rPr>
              <w:t xml:space="preserve">VERZIJA: </w:t>
            </w:r>
          </w:p>
        </w:tc>
        <w:tc>
          <w:tcPr>
            <w:tcW w:w="6946" w:type="dxa"/>
            <w:shd w:val="clear" w:color="auto" w:fill="C5E0B3" w:themeFill="accent6" w:themeFillTint="66"/>
          </w:tcPr>
          <w:p w14:paraId="4C1B77FF" w14:textId="77777777" w:rsidR="00471101" w:rsidRPr="00EC7F45" w:rsidRDefault="00471101" w:rsidP="002F6137">
            <w:pPr>
              <w:rPr>
                <w:b/>
                <w:lang w:val="hr-HR"/>
              </w:rPr>
            </w:pPr>
            <w:r>
              <w:rPr>
                <w:b/>
                <w:lang w:val="hr-HR"/>
              </w:rPr>
              <w:t>1.1</w:t>
            </w:r>
          </w:p>
        </w:tc>
      </w:tr>
      <w:tr w:rsidR="00471101" w:rsidRPr="00471101" w14:paraId="68A0445B" w14:textId="77777777" w:rsidTr="002F6137">
        <w:trPr>
          <w:trHeight w:val="433"/>
        </w:trPr>
        <w:tc>
          <w:tcPr>
            <w:tcW w:w="567" w:type="dxa"/>
            <w:shd w:val="clear" w:color="auto" w:fill="C5E0B3" w:themeFill="accent6" w:themeFillTint="66"/>
          </w:tcPr>
          <w:p w14:paraId="6296F791" w14:textId="77777777" w:rsidR="00471101" w:rsidRPr="00EC7F45" w:rsidRDefault="00471101" w:rsidP="002F6137">
            <w:pPr>
              <w:jc w:val="center"/>
              <w:rPr>
                <w:b/>
                <w:lang w:val="hr-HR"/>
              </w:rPr>
            </w:pPr>
          </w:p>
        </w:tc>
        <w:tc>
          <w:tcPr>
            <w:tcW w:w="6095" w:type="dxa"/>
            <w:shd w:val="clear" w:color="auto" w:fill="C5E0B3" w:themeFill="accent6" w:themeFillTint="66"/>
          </w:tcPr>
          <w:p w14:paraId="54A46E76" w14:textId="77777777" w:rsidR="00471101" w:rsidRPr="00EC7F45" w:rsidRDefault="00471101" w:rsidP="002F6137">
            <w:pPr>
              <w:jc w:val="right"/>
              <w:rPr>
                <w:b/>
                <w:lang w:val="hr-HR"/>
              </w:rPr>
            </w:pPr>
            <w:r w:rsidRPr="00EC7F45">
              <w:rPr>
                <w:b/>
                <w:lang w:val="hr-HR"/>
              </w:rPr>
              <w:t xml:space="preserve">OBJAVA SVIH PITANJA/ODGOVORA IZ VERZIJE </w:t>
            </w:r>
            <w:r>
              <w:rPr>
                <w:b/>
                <w:lang w:val="hr-HR"/>
              </w:rPr>
              <w:t>1.1</w:t>
            </w:r>
            <w:r w:rsidRPr="00EC7F45">
              <w:rPr>
                <w:b/>
                <w:lang w:val="hr-HR"/>
              </w:rPr>
              <w:t>:</w:t>
            </w:r>
          </w:p>
        </w:tc>
        <w:tc>
          <w:tcPr>
            <w:tcW w:w="6946" w:type="dxa"/>
            <w:shd w:val="clear" w:color="auto" w:fill="C5E0B3" w:themeFill="accent6" w:themeFillTint="66"/>
          </w:tcPr>
          <w:p w14:paraId="432E7737" w14:textId="54EF5CAF" w:rsidR="00471101" w:rsidRPr="00471101" w:rsidRDefault="00C219F1" w:rsidP="002F6137">
            <w:pPr>
              <w:rPr>
                <w:b/>
                <w:color w:val="FF0000"/>
                <w:lang w:val="hr-HR"/>
              </w:rPr>
            </w:pPr>
            <w:r>
              <w:rPr>
                <w:b/>
                <w:lang w:val="hr-HR"/>
              </w:rPr>
              <w:t>2</w:t>
            </w:r>
            <w:r w:rsidR="00471101" w:rsidRPr="00471101">
              <w:rPr>
                <w:b/>
                <w:lang w:val="hr-HR"/>
              </w:rPr>
              <w:t>. SET PITANJA I ODGOVORA</w:t>
            </w:r>
          </w:p>
        </w:tc>
      </w:tr>
      <w:tr w:rsidR="00471101" w:rsidRPr="00EC7F45" w14:paraId="00880BEE" w14:textId="77777777" w:rsidTr="002F6137">
        <w:trPr>
          <w:trHeight w:val="433"/>
        </w:trPr>
        <w:tc>
          <w:tcPr>
            <w:tcW w:w="567" w:type="dxa"/>
            <w:shd w:val="clear" w:color="auto" w:fill="538135" w:themeFill="accent6" w:themeFillShade="BF"/>
          </w:tcPr>
          <w:p w14:paraId="676B4CEB" w14:textId="77777777" w:rsidR="00471101" w:rsidRPr="00EC7F45" w:rsidRDefault="00471101" w:rsidP="002F6137">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1A72C8DC" w14:textId="5CABA2EF" w:rsidR="00471101" w:rsidRPr="00EC7F45" w:rsidRDefault="00471101" w:rsidP="002F6137">
            <w:pPr>
              <w:rPr>
                <w:b/>
                <w:sz w:val="22"/>
                <w:szCs w:val="22"/>
                <w:lang w:val="hr-HR"/>
              </w:rPr>
            </w:pPr>
            <w:r w:rsidRPr="00EC7F45">
              <w:rPr>
                <w:b/>
                <w:color w:val="FFFFFF" w:themeColor="background1"/>
                <w:sz w:val="22"/>
                <w:szCs w:val="22"/>
                <w:lang w:val="hr-HR"/>
              </w:rPr>
              <w:t xml:space="preserve">DATUM ZAPRIMANJA PITANJA: </w:t>
            </w:r>
            <w:r w:rsidR="00C219F1">
              <w:rPr>
                <w:b/>
                <w:color w:val="FFFFFF" w:themeColor="background1"/>
                <w:sz w:val="22"/>
                <w:szCs w:val="22"/>
                <w:lang w:val="hr-HR"/>
              </w:rPr>
              <w:t xml:space="preserve"> 14</w:t>
            </w:r>
            <w:r>
              <w:rPr>
                <w:b/>
                <w:color w:val="FFFFFF" w:themeColor="background1"/>
                <w:sz w:val="22"/>
                <w:szCs w:val="22"/>
                <w:lang w:val="hr-HR"/>
              </w:rPr>
              <w:t>. siječanja 2022.</w:t>
            </w:r>
          </w:p>
        </w:tc>
        <w:tc>
          <w:tcPr>
            <w:tcW w:w="6946" w:type="dxa"/>
            <w:shd w:val="clear" w:color="auto" w:fill="538135" w:themeFill="accent6" w:themeFillShade="BF"/>
          </w:tcPr>
          <w:p w14:paraId="40907291" w14:textId="1D1476E0" w:rsidR="00471101" w:rsidRPr="00EC7F45" w:rsidRDefault="00471101" w:rsidP="001E2835">
            <w:pPr>
              <w:rPr>
                <w:b/>
                <w:sz w:val="22"/>
                <w:szCs w:val="22"/>
                <w:lang w:val="hr-HR"/>
              </w:rPr>
            </w:pPr>
            <w:r w:rsidRPr="00EC7F45">
              <w:rPr>
                <w:b/>
                <w:color w:val="FFFFFF" w:themeColor="background1"/>
                <w:sz w:val="22"/>
                <w:szCs w:val="22"/>
                <w:lang w:val="hr-HR"/>
              </w:rPr>
              <w:t>DATUM ODGOVORA NA PITANJE:</w:t>
            </w:r>
            <w:r w:rsidR="00C219F1">
              <w:rPr>
                <w:b/>
                <w:color w:val="FFFFFF" w:themeColor="background1"/>
                <w:sz w:val="22"/>
                <w:szCs w:val="22"/>
                <w:lang w:val="hr-HR"/>
              </w:rPr>
              <w:t xml:space="preserve"> 21</w:t>
            </w:r>
            <w:r w:rsidR="001E2835">
              <w:rPr>
                <w:b/>
                <w:color w:val="FFFFFF" w:themeColor="background1"/>
                <w:sz w:val="22"/>
                <w:szCs w:val="22"/>
                <w:lang w:val="hr-HR"/>
              </w:rPr>
              <w:t>.</w:t>
            </w:r>
            <w:r w:rsidR="00376A59">
              <w:rPr>
                <w:b/>
                <w:color w:val="FFFFFF" w:themeColor="background1"/>
                <w:sz w:val="22"/>
                <w:szCs w:val="22"/>
                <w:lang w:val="hr-HR"/>
              </w:rPr>
              <w:t xml:space="preserve"> </w:t>
            </w:r>
            <w:bookmarkStart w:id="0" w:name="_GoBack"/>
            <w:bookmarkEnd w:id="0"/>
            <w:r w:rsidR="001E2835">
              <w:rPr>
                <w:b/>
                <w:color w:val="FFFFFF" w:themeColor="background1"/>
                <w:sz w:val="22"/>
                <w:szCs w:val="22"/>
                <w:lang w:val="hr-HR"/>
              </w:rPr>
              <w:t>siječnja 2022.</w:t>
            </w:r>
          </w:p>
        </w:tc>
      </w:tr>
      <w:tr w:rsidR="00587DFF" w:rsidRPr="00EC7F45" w14:paraId="79055846" w14:textId="77777777" w:rsidTr="00587DFF">
        <w:trPr>
          <w:trHeight w:val="433"/>
        </w:trPr>
        <w:tc>
          <w:tcPr>
            <w:tcW w:w="567" w:type="dxa"/>
            <w:shd w:val="clear" w:color="auto" w:fill="auto"/>
          </w:tcPr>
          <w:p w14:paraId="04CE1330" w14:textId="2B18CE85" w:rsidR="00587DFF" w:rsidRPr="00587DFF" w:rsidRDefault="00C219F1" w:rsidP="00587DFF">
            <w:pPr>
              <w:jc w:val="right"/>
              <w:rPr>
                <w:b/>
                <w:sz w:val="22"/>
                <w:szCs w:val="22"/>
              </w:rPr>
            </w:pPr>
            <w:r>
              <w:rPr>
                <w:b/>
                <w:sz w:val="22"/>
                <w:szCs w:val="22"/>
              </w:rPr>
              <w:t>4</w:t>
            </w:r>
            <w:r w:rsidR="00587DFF" w:rsidRPr="00587DFF">
              <w:rPr>
                <w:b/>
                <w:sz w:val="22"/>
                <w:szCs w:val="22"/>
              </w:rPr>
              <w:t>.</w:t>
            </w:r>
          </w:p>
        </w:tc>
        <w:tc>
          <w:tcPr>
            <w:tcW w:w="6095" w:type="dxa"/>
            <w:shd w:val="clear" w:color="auto" w:fill="auto"/>
          </w:tcPr>
          <w:p w14:paraId="70C2BB0D" w14:textId="7C5795E7" w:rsidR="00587DFF" w:rsidRPr="00C219F1" w:rsidRDefault="00C219F1" w:rsidP="00C219F1">
            <w:pPr>
              <w:rPr>
                <w:lang w:val="hr-HR"/>
              </w:rPr>
            </w:pPr>
            <w:r w:rsidRPr="00C219F1">
              <w:rPr>
                <w:lang w:val="hr-HR"/>
              </w:rPr>
              <w:t>Ljubazno se moli pojašnjenje u odnosu na točku 2.10. Poziva gdje se navodi u popisu neprihvatljivih troškova i "troškovi zakupa materijalne imovine". Budući da su u okviru intervencija službi spašavanja nastajali i troškovi najma skladišta za prihvat robe/hrane koja je distribuirana potresom pogođenom stanovništvu da li se trošak takvog zakupa/najma može smatrati prihvatljivim troškom operacije?</w:t>
            </w:r>
          </w:p>
        </w:tc>
        <w:tc>
          <w:tcPr>
            <w:tcW w:w="6946" w:type="dxa"/>
            <w:shd w:val="clear" w:color="auto" w:fill="auto"/>
          </w:tcPr>
          <w:p w14:paraId="798EDEC6" w14:textId="1443BFFA" w:rsidR="00587DFF" w:rsidRPr="00157A85" w:rsidRDefault="003D724F" w:rsidP="00C71FFB">
            <w:pPr>
              <w:rPr>
                <w:lang w:val="hr-HR"/>
              </w:rPr>
            </w:pPr>
            <w:r w:rsidRPr="003D724F">
              <w:rPr>
                <w:lang w:val="hr-HR"/>
              </w:rPr>
              <w:t xml:space="preserve">Sukladno Uputama za prijavitelje točka </w:t>
            </w:r>
            <w:r w:rsidRPr="006878F5">
              <w:rPr>
                <w:i/>
                <w:lang w:val="hr-HR"/>
              </w:rPr>
              <w:t>2.10. Neprihvatljivi troškovi</w:t>
            </w:r>
            <w:r w:rsidRPr="003D724F">
              <w:rPr>
                <w:lang w:val="hr-HR"/>
              </w:rPr>
              <w:t>, zakup materijalne imovine je neprihvatljiv trošak. Ukoliko Prijavitelj dokaže kako se ne radi o zakupu materijalne imovine, trošak se može uzeti u razmatranje.</w:t>
            </w:r>
          </w:p>
        </w:tc>
      </w:tr>
      <w:tr w:rsidR="00C219F1" w:rsidRPr="00EC7F45" w14:paraId="05932B5D" w14:textId="77777777" w:rsidTr="00587DFF">
        <w:trPr>
          <w:trHeight w:val="433"/>
        </w:trPr>
        <w:tc>
          <w:tcPr>
            <w:tcW w:w="567" w:type="dxa"/>
            <w:shd w:val="clear" w:color="auto" w:fill="auto"/>
          </w:tcPr>
          <w:p w14:paraId="47A0E0BD" w14:textId="01DD9190" w:rsidR="00C219F1" w:rsidRPr="00C219F1" w:rsidRDefault="00C219F1" w:rsidP="00587DFF">
            <w:pPr>
              <w:jc w:val="right"/>
              <w:rPr>
                <w:b/>
                <w:sz w:val="22"/>
                <w:szCs w:val="22"/>
              </w:rPr>
            </w:pPr>
            <w:r w:rsidRPr="00C219F1">
              <w:rPr>
                <w:b/>
                <w:sz w:val="22"/>
                <w:szCs w:val="22"/>
              </w:rPr>
              <w:lastRenderedPageBreak/>
              <w:t>5.</w:t>
            </w:r>
          </w:p>
        </w:tc>
        <w:tc>
          <w:tcPr>
            <w:tcW w:w="6095" w:type="dxa"/>
            <w:shd w:val="clear" w:color="auto" w:fill="auto"/>
          </w:tcPr>
          <w:p w14:paraId="01DA8709" w14:textId="22FC4CEE" w:rsidR="00C219F1" w:rsidRPr="00C219F1" w:rsidRDefault="00C219F1" w:rsidP="00C219F1">
            <w:pPr>
              <w:rPr>
                <w:lang w:val="hr-HR"/>
              </w:rPr>
            </w:pPr>
            <w:r w:rsidRPr="00C219F1">
              <w:rPr>
                <w:lang w:val="hr-HR"/>
              </w:rPr>
              <w:t>Budući da se financijski izvještaji za OCD-e podnose s krajem veljače 2022., a za 2021. godinu, da li je prihvatljivo podnijeti prijavu bez financijskog izvješća za 2021. te isti dostaviti naknadno.</w:t>
            </w:r>
          </w:p>
        </w:tc>
        <w:tc>
          <w:tcPr>
            <w:tcW w:w="6946" w:type="dxa"/>
            <w:shd w:val="clear" w:color="auto" w:fill="auto"/>
          </w:tcPr>
          <w:p w14:paraId="377B059D" w14:textId="325D699F" w:rsidR="00C219F1" w:rsidRPr="007571D3" w:rsidRDefault="007571D3" w:rsidP="00C71FFB">
            <w:pPr>
              <w:rPr>
                <w:lang w:val="hr-HR"/>
              </w:rPr>
            </w:pPr>
            <w:r w:rsidRPr="007571D3">
              <w:rPr>
                <w:lang w:val="hr-HR"/>
              </w:rPr>
              <w:t xml:space="preserve">Obavezna je dostava Financijskog izvješća za 2021. godinu sukladno </w:t>
            </w:r>
            <w:r w:rsidRPr="006878F5">
              <w:rPr>
                <w:i/>
                <w:lang w:val="hr-HR"/>
              </w:rPr>
              <w:t xml:space="preserve">Pravilniku o financijskom izvještavanju u proračunskom računovodstvu </w:t>
            </w:r>
            <w:r w:rsidRPr="007571D3">
              <w:rPr>
                <w:lang w:val="hr-HR"/>
              </w:rPr>
              <w:t>(NN 3/15, 93/15, 135/15, 2/17, 28/17, 112/18, 126/19, 145/20 i 32/21). Napominjemo kako financijsko izvješće treba biti ovjereno potpisom i pečatom Prijavitelja.</w:t>
            </w:r>
          </w:p>
        </w:tc>
      </w:tr>
    </w:tbl>
    <w:p w14:paraId="2BB198B1" w14:textId="6A2E6B47" w:rsidR="00C219F1" w:rsidRDefault="00C219F1" w:rsidP="00002E6E">
      <w:pPr>
        <w:spacing w:after="0" w:line="240" w:lineRule="auto"/>
        <w:jc w:val="both"/>
        <w:rPr>
          <w:rFonts w:ascii="Times New Roman" w:hAnsi="Times New Roman" w:cs="Times New Roman"/>
          <w:sz w:val="24"/>
          <w:szCs w:val="24"/>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C219F1" w:rsidRPr="00EC7F45" w14:paraId="279EB817" w14:textId="77777777" w:rsidTr="001130C4">
        <w:trPr>
          <w:trHeight w:val="433"/>
        </w:trPr>
        <w:tc>
          <w:tcPr>
            <w:tcW w:w="567" w:type="dxa"/>
            <w:shd w:val="clear" w:color="auto" w:fill="C5E0B3" w:themeFill="accent6" w:themeFillTint="66"/>
          </w:tcPr>
          <w:p w14:paraId="0A16EEB7" w14:textId="77777777" w:rsidR="00C219F1" w:rsidRPr="00EC7F45" w:rsidRDefault="00C219F1" w:rsidP="001130C4">
            <w:pPr>
              <w:jc w:val="center"/>
              <w:rPr>
                <w:b/>
                <w:lang w:val="hr-HR"/>
              </w:rPr>
            </w:pPr>
            <w:r w:rsidRPr="00EC7F45">
              <w:rPr>
                <w:sz w:val="24"/>
                <w:szCs w:val="24"/>
                <w:lang w:val="hr-HR"/>
              </w:rPr>
              <w:br w:type="page"/>
            </w:r>
          </w:p>
        </w:tc>
        <w:tc>
          <w:tcPr>
            <w:tcW w:w="6095" w:type="dxa"/>
            <w:shd w:val="clear" w:color="auto" w:fill="C5E0B3" w:themeFill="accent6" w:themeFillTint="66"/>
          </w:tcPr>
          <w:p w14:paraId="2CD0864C" w14:textId="77777777" w:rsidR="00C219F1" w:rsidRPr="00EC7F45" w:rsidRDefault="00C219F1" w:rsidP="001130C4">
            <w:pPr>
              <w:jc w:val="right"/>
              <w:rPr>
                <w:b/>
                <w:lang w:val="hr-HR"/>
              </w:rPr>
            </w:pPr>
            <w:r w:rsidRPr="00EC7F45">
              <w:rPr>
                <w:b/>
                <w:lang w:val="hr-HR"/>
              </w:rPr>
              <w:t xml:space="preserve">VERZIJA: </w:t>
            </w:r>
          </w:p>
        </w:tc>
        <w:tc>
          <w:tcPr>
            <w:tcW w:w="6946" w:type="dxa"/>
            <w:shd w:val="clear" w:color="auto" w:fill="C5E0B3" w:themeFill="accent6" w:themeFillTint="66"/>
          </w:tcPr>
          <w:p w14:paraId="56BCE4B4" w14:textId="50F938FF" w:rsidR="00C219F1" w:rsidRPr="00EC7F45" w:rsidRDefault="003D724F" w:rsidP="001130C4">
            <w:pPr>
              <w:rPr>
                <w:b/>
                <w:lang w:val="hr-HR"/>
              </w:rPr>
            </w:pPr>
            <w:r w:rsidRPr="003D724F">
              <w:rPr>
                <w:b/>
                <w:lang w:val="hr-HR"/>
              </w:rPr>
              <w:t>1.2</w:t>
            </w:r>
          </w:p>
        </w:tc>
      </w:tr>
      <w:tr w:rsidR="00C219F1" w:rsidRPr="00471101" w14:paraId="2E60DCF7" w14:textId="77777777" w:rsidTr="001130C4">
        <w:trPr>
          <w:trHeight w:val="433"/>
        </w:trPr>
        <w:tc>
          <w:tcPr>
            <w:tcW w:w="567" w:type="dxa"/>
            <w:shd w:val="clear" w:color="auto" w:fill="C5E0B3" w:themeFill="accent6" w:themeFillTint="66"/>
          </w:tcPr>
          <w:p w14:paraId="0F091703" w14:textId="77777777" w:rsidR="00C219F1" w:rsidRPr="00EC7F45" w:rsidRDefault="00C219F1" w:rsidP="001130C4">
            <w:pPr>
              <w:jc w:val="center"/>
              <w:rPr>
                <w:b/>
                <w:lang w:val="hr-HR"/>
              </w:rPr>
            </w:pPr>
          </w:p>
        </w:tc>
        <w:tc>
          <w:tcPr>
            <w:tcW w:w="6095" w:type="dxa"/>
            <w:shd w:val="clear" w:color="auto" w:fill="C5E0B3" w:themeFill="accent6" w:themeFillTint="66"/>
          </w:tcPr>
          <w:p w14:paraId="6AC47A98" w14:textId="30780E29" w:rsidR="00C219F1" w:rsidRPr="00EC7F45" w:rsidRDefault="00C219F1" w:rsidP="001130C4">
            <w:pPr>
              <w:jc w:val="right"/>
              <w:rPr>
                <w:b/>
                <w:lang w:val="hr-HR"/>
              </w:rPr>
            </w:pPr>
            <w:r w:rsidRPr="00EC7F45">
              <w:rPr>
                <w:b/>
                <w:lang w:val="hr-HR"/>
              </w:rPr>
              <w:t xml:space="preserve">OBJAVA SVIH PITANJA/ODGOVORA IZ VERZIJE </w:t>
            </w:r>
            <w:r w:rsidR="003D724F" w:rsidRPr="003D724F">
              <w:rPr>
                <w:b/>
                <w:lang w:val="hr-HR"/>
              </w:rPr>
              <w:t>1.2</w:t>
            </w:r>
            <w:r w:rsidRPr="00EC7F45">
              <w:rPr>
                <w:b/>
                <w:lang w:val="hr-HR"/>
              </w:rPr>
              <w:t>:</w:t>
            </w:r>
          </w:p>
        </w:tc>
        <w:tc>
          <w:tcPr>
            <w:tcW w:w="6946" w:type="dxa"/>
            <w:shd w:val="clear" w:color="auto" w:fill="C5E0B3" w:themeFill="accent6" w:themeFillTint="66"/>
          </w:tcPr>
          <w:p w14:paraId="0EA01561" w14:textId="4BD2B9AC" w:rsidR="00C219F1" w:rsidRPr="00471101" w:rsidRDefault="00C219F1" w:rsidP="001130C4">
            <w:pPr>
              <w:rPr>
                <w:b/>
                <w:color w:val="FF0000"/>
                <w:lang w:val="hr-HR"/>
              </w:rPr>
            </w:pPr>
            <w:r>
              <w:rPr>
                <w:b/>
                <w:lang w:val="hr-HR"/>
              </w:rPr>
              <w:t>2</w:t>
            </w:r>
            <w:r w:rsidRPr="00471101">
              <w:rPr>
                <w:b/>
                <w:lang w:val="hr-HR"/>
              </w:rPr>
              <w:t>. SET PITANJA I ODGOVORA</w:t>
            </w:r>
          </w:p>
        </w:tc>
      </w:tr>
      <w:tr w:rsidR="00C219F1" w:rsidRPr="00EC7F45" w14:paraId="6EB5888F" w14:textId="77777777" w:rsidTr="001130C4">
        <w:trPr>
          <w:trHeight w:val="433"/>
        </w:trPr>
        <w:tc>
          <w:tcPr>
            <w:tcW w:w="567" w:type="dxa"/>
            <w:shd w:val="clear" w:color="auto" w:fill="538135" w:themeFill="accent6" w:themeFillShade="BF"/>
          </w:tcPr>
          <w:p w14:paraId="5509C872" w14:textId="77777777" w:rsidR="00C219F1" w:rsidRPr="00EC7F45" w:rsidRDefault="00C219F1" w:rsidP="001130C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735B99A6" w14:textId="6546B753" w:rsidR="00C219F1" w:rsidRPr="00EC7F45" w:rsidRDefault="00C219F1" w:rsidP="001130C4">
            <w:pPr>
              <w:rPr>
                <w:b/>
                <w:sz w:val="22"/>
                <w:szCs w:val="22"/>
                <w:lang w:val="hr-HR"/>
              </w:rPr>
            </w:pPr>
            <w:r w:rsidRPr="00EC7F45">
              <w:rPr>
                <w:b/>
                <w:color w:val="FFFFFF" w:themeColor="background1"/>
                <w:sz w:val="22"/>
                <w:szCs w:val="22"/>
                <w:lang w:val="hr-HR"/>
              </w:rPr>
              <w:t xml:space="preserve">DATUM ZAPRIMANJA PITANJA: </w:t>
            </w:r>
            <w:r>
              <w:rPr>
                <w:b/>
                <w:color w:val="FFFFFF" w:themeColor="background1"/>
                <w:sz w:val="22"/>
                <w:szCs w:val="22"/>
                <w:lang w:val="hr-HR"/>
              </w:rPr>
              <w:t xml:space="preserve"> 17. siječanja 2022.</w:t>
            </w:r>
          </w:p>
        </w:tc>
        <w:tc>
          <w:tcPr>
            <w:tcW w:w="6946" w:type="dxa"/>
            <w:shd w:val="clear" w:color="auto" w:fill="538135" w:themeFill="accent6" w:themeFillShade="BF"/>
          </w:tcPr>
          <w:p w14:paraId="1C226626" w14:textId="76A7C3EE" w:rsidR="00C219F1" w:rsidRPr="00EC7F45" w:rsidRDefault="00C219F1" w:rsidP="001130C4">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21.</w:t>
            </w:r>
            <w:r w:rsidR="00376A59">
              <w:rPr>
                <w:b/>
                <w:color w:val="FFFFFF" w:themeColor="background1"/>
                <w:sz w:val="22"/>
                <w:szCs w:val="22"/>
                <w:lang w:val="hr-HR"/>
              </w:rPr>
              <w:t xml:space="preserve"> </w:t>
            </w:r>
            <w:r>
              <w:rPr>
                <w:b/>
                <w:color w:val="FFFFFF" w:themeColor="background1"/>
                <w:sz w:val="22"/>
                <w:szCs w:val="22"/>
                <w:lang w:val="hr-HR"/>
              </w:rPr>
              <w:t>siječnja 2022.</w:t>
            </w:r>
          </w:p>
        </w:tc>
      </w:tr>
      <w:tr w:rsidR="00C219F1" w:rsidRPr="00C219F1" w14:paraId="07D52535" w14:textId="77777777" w:rsidTr="001130C4">
        <w:trPr>
          <w:trHeight w:val="433"/>
        </w:trPr>
        <w:tc>
          <w:tcPr>
            <w:tcW w:w="567" w:type="dxa"/>
            <w:shd w:val="clear" w:color="auto" w:fill="auto"/>
          </w:tcPr>
          <w:p w14:paraId="4544BE19" w14:textId="56BCBC1F" w:rsidR="00C219F1" w:rsidRPr="00587DFF" w:rsidRDefault="00C219F1" w:rsidP="001130C4">
            <w:pPr>
              <w:jc w:val="right"/>
              <w:rPr>
                <w:b/>
                <w:sz w:val="22"/>
                <w:szCs w:val="22"/>
              </w:rPr>
            </w:pPr>
            <w:r>
              <w:rPr>
                <w:b/>
                <w:sz w:val="22"/>
                <w:szCs w:val="22"/>
              </w:rPr>
              <w:t>6.</w:t>
            </w:r>
          </w:p>
        </w:tc>
        <w:tc>
          <w:tcPr>
            <w:tcW w:w="6095" w:type="dxa"/>
            <w:shd w:val="clear" w:color="auto" w:fill="auto"/>
          </w:tcPr>
          <w:p w14:paraId="793DB180" w14:textId="21E9460C" w:rsidR="00C219F1" w:rsidRPr="00C219F1" w:rsidRDefault="00C219F1" w:rsidP="001130C4">
            <w:pPr>
              <w:rPr>
                <w:lang w:val="hr-HR"/>
              </w:rPr>
            </w:pPr>
            <w:r>
              <w:rPr>
                <w:lang w:val="hr-HR"/>
              </w:rPr>
              <w:t>N</w:t>
            </w:r>
            <w:r w:rsidRPr="00C219F1">
              <w:rPr>
                <w:lang w:val="hr-HR"/>
              </w:rPr>
              <w:t xml:space="preserve">astavno na listu obaveznih dokumenata kao prilog projektnom prijedlogu - molim odgovor mora li DVD (udruga) dostaviti obrasce financijskog izvješća za 2021. godinu (PR-RAS-NPF, Bilanca i Referentna lista) ovjerene samo svojim potpisnikom i pečatom, ili pak je na istima potrebna i potvrda FINE da su isti predani (zakonski rok za podnošenje </w:t>
            </w:r>
            <w:r>
              <w:rPr>
                <w:lang w:val="hr-HR"/>
              </w:rPr>
              <w:t>fin. Izvještaja je 01.03.2022.)?</w:t>
            </w:r>
          </w:p>
        </w:tc>
        <w:tc>
          <w:tcPr>
            <w:tcW w:w="6946" w:type="dxa"/>
            <w:shd w:val="clear" w:color="auto" w:fill="auto"/>
          </w:tcPr>
          <w:p w14:paraId="4ECF7555" w14:textId="6F4ED079" w:rsidR="00C219F1" w:rsidRPr="00C219F1" w:rsidRDefault="004D3124" w:rsidP="007571D3">
            <w:pPr>
              <w:rPr>
                <w:lang w:val="hr-HR"/>
              </w:rPr>
            </w:pPr>
            <w:r w:rsidRPr="00F14D0C">
              <w:rPr>
                <w:lang w:val="hr-HR"/>
              </w:rPr>
              <w:t>Obavezna je</w:t>
            </w:r>
            <w:r>
              <w:rPr>
                <w:lang w:val="hr-HR"/>
              </w:rPr>
              <w:t xml:space="preserve"> dostava </w:t>
            </w:r>
            <w:r w:rsidRPr="00F14D0C">
              <w:rPr>
                <w:lang w:val="hr-HR"/>
              </w:rPr>
              <w:t>Financijskog izvješća za 2021. g</w:t>
            </w:r>
            <w:r>
              <w:rPr>
                <w:lang w:val="hr-HR"/>
              </w:rPr>
              <w:t xml:space="preserve">odinu sukladno </w:t>
            </w:r>
            <w:r w:rsidRPr="00920F1C">
              <w:rPr>
                <w:i/>
                <w:lang w:val="hr-HR"/>
              </w:rPr>
              <w:t>Pravilniku o financijskom izvještavanju u proračunskom računovodstvu</w:t>
            </w:r>
            <w:r>
              <w:rPr>
                <w:lang w:val="hr-HR"/>
              </w:rPr>
              <w:t xml:space="preserve"> (NN </w:t>
            </w:r>
            <w:r w:rsidRPr="00920F1C">
              <w:rPr>
                <w:lang w:val="hr-HR"/>
              </w:rPr>
              <w:t>3/15, 93/15, 135/15, 2/17, 28/17, 112/18, 126/19, 145/20 i 32/21)</w:t>
            </w:r>
            <w:r>
              <w:rPr>
                <w:lang w:val="hr-HR"/>
              </w:rPr>
              <w:t xml:space="preserve">. </w:t>
            </w:r>
            <w:r w:rsidR="007571D3">
              <w:rPr>
                <w:lang w:val="hr-HR"/>
              </w:rPr>
              <w:t>N</w:t>
            </w:r>
            <w:r>
              <w:rPr>
                <w:lang w:val="hr-HR"/>
              </w:rPr>
              <w:t xml:space="preserve">apominjemo kako financijsko izvješće treba biti ovjereno potpisom i pečatom Prijavitelja. </w:t>
            </w:r>
          </w:p>
        </w:tc>
      </w:tr>
      <w:tr w:rsidR="00C219F1" w:rsidRPr="00C219F1" w14:paraId="7DEF2255" w14:textId="77777777" w:rsidTr="001130C4">
        <w:trPr>
          <w:trHeight w:val="433"/>
        </w:trPr>
        <w:tc>
          <w:tcPr>
            <w:tcW w:w="567" w:type="dxa"/>
            <w:shd w:val="clear" w:color="auto" w:fill="auto"/>
          </w:tcPr>
          <w:p w14:paraId="1701283D" w14:textId="63DBD7F1" w:rsidR="00C219F1" w:rsidRPr="00C219F1" w:rsidRDefault="00C219F1" w:rsidP="001130C4">
            <w:pPr>
              <w:jc w:val="right"/>
              <w:rPr>
                <w:b/>
                <w:sz w:val="22"/>
                <w:szCs w:val="22"/>
              </w:rPr>
            </w:pPr>
            <w:r w:rsidRPr="00C219F1">
              <w:rPr>
                <w:b/>
                <w:sz w:val="22"/>
                <w:szCs w:val="22"/>
              </w:rPr>
              <w:t>7.</w:t>
            </w:r>
          </w:p>
        </w:tc>
        <w:tc>
          <w:tcPr>
            <w:tcW w:w="6095" w:type="dxa"/>
            <w:shd w:val="clear" w:color="auto" w:fill="auto"/>
          </w:tcPr>
          <w:p w14:paraId="227178AA" w14:textId="61A6AEE6" w:rsidR="00C219F1" w:rsidRPr="00C219F1" w:rsidRDefault="00C219F1" w:rsidP="001130C4">
            <w:pPr>
              <w:rPr>
                <w:lang w:val="hr-HR"/>
              </w:rPr>
            </w:pPr>
            <w:r>
              <w:rPr>
                <w:lang w:val="hr-HR"/>
              </w:rPr>
              <w:t>M</w:t>
            </w:r>
            <w:r w:rsidRPr="00C219F1">
              <w:rPr>
                <w:lang w:val="hr-HR"/>
              </w:rPr>
              <w:t>olimo pojašnjenje ukoliko je potpisnik prijavne dokumentacije osoba koja je po Statutu ovlaštena zastupati udrugu (predsjednik) i koja je kao takva upisana u Registar udruga, je li potrebno dostavljanje posebne punomoći za zastupanje?</w:t>
            </w:r>
          </w:p>
        </w:tc>
        <w:tc>
          <w:tcPr>
            <w:tcW w:w="6946" w:type="dxa"/>
            <w:shd w:val="clear" w:color="auto" w:fill="auto"/>
          </w:tcPr>
          <w:p w14:paraId="762ED6B0" w14:textId="0D233FA1" w:rsidR="00C219F1" w:rsidRPr="00FC149F" w:rsidRDefault="003D724F" w:rsidP="003D724F">
            <w:pPr>
              <w:rPr>
                <w:lang w:val="hr-HR"/>
              </w:rPr>
            </w:pPr>
            <w:r>
              <w:rPr>
                <w:lang w:val="hr-HR"/>
              </w:rPr>
              <w:t>U navedenom slučaju n</w:t>
            </w:r>
            <w:r w:rsidR="00FC149F" w:rsidRPr="00FC149F">
              <w:rPr>
                <w:lang w:val="hr-HR"/>
              </w:rPr>
              <w:t xml:space="preserve">ije potrebno dostavljanje posebne punomoći za zastupanje. </w:t>
            </w:r>
          </w:p>
        </w:tc>
      </w:tr>
      <w:tr w:rsidR="00C219F1" w:rsidRPr="00C219F1" w14:paraId="2B3B3EC2" w14:textId="77777777" w:rsidTr="001130C4">
        <w:trPr>
          <w:trHeight w:val="433"/>
        </w:trPr>
        <w:tc>
          <w:tcPr>
            <w:tcW w:w="567" w:type="dxa"/>
            <w:shd w:val="clear" w:color="auto" w:fill="auto"/>
          </w:tcPr>
          <w:p w14:paraId="2E9A621F" w14:textId="21B10A18" w:rsidR="00C219F1" w:rsidRPr="00C219F1" w:rsidRDefault="00C219F1" w:rsidP="001130C4">
            <w:pPr>
              <w:jc w:val="right"/>
              <w:rPr>
                <w:b/>
              </w:rPr>
            </w:pPr>
            <w:r>
              <w:rPr>
                <w:b/>
              </w:rPr>
              <w:t>8.</w:t>
            </w:r>
          </w:p>
        </w:tc>
        <w:tc>
          <w:tcPr>
            <w:tcW w:w="6095" w:type="dxa"/>
            <w:shd w:val="clear" w:color="auto" w:fill="auto"/>
          </w:tcPr>
          <w:p w14:paraId="5B1C53BF" w14:textId="58089070" w:rsidR="00C219F1" w:rsidRPr="00C219F1" w:rsidRDefault="00C219F1" w:rsidP="00C219F1">
            <w:pPr>
              <w:rPr>
                <w:lang w:val="hr-HR"/>
              </w:rPr>
            </w:pPr>
            <w:r w:rsidRPr="00C219F1">
              <w:rPr>
                <w:lang w:val="hr-HR"/>
              </w:rPr>
              <w:t>Molim vas pojašnjenja prihvatljivih troškova po natječaju Financiranje službi spašavanja za potrebe stanovništva nastalih kao posljedica serije potresa:</w:t>
            </w:r>
          </w:p>
          <w:p w14:paraId="73B31A26" w14:textId="68C5B355" w:rsidR="00C219F1" w:rsidRDefault="00C219F1" w:rsidP="00C219F1">
            <w:r w:rsidRPr="00C219F1">
              <w:rPr>
                <w:lang w:val="hr-HR"/>
              </w:rPr>
              <w:t>Da li su prihvatljivi troškovi za nabavu opreme nakon završetka djelovanja na potresu pogođenom području, odnosno troškovi koji su stvoreni nakon završetka angažmana?</w:t>
            </w:r>
          </w:p>
        </w:tc>
        <w:tc>
          <w:tcPr>
            <w:tcW w:w="6946" w:type="dxa"/>
            <w:shd w:val="clear" w:color="auto" w:fill="auto"/>
          </w:tcPr>
          <w:p w14:paraId="38FF0A4F" w14:textId="4D756CBA" w:rsidR="00C219F1" w:rsidRPr="00255256" w:rsidRDefault="00255256" w:rsidP="001517D2">
            <w:pPr>
              <w:rPr>
                <w:lang w:val="hr-HR"/>
              </w:rPr>
            </w:pPr>
            <w:r>
              <w:rPr>
                <w:lang w:val="hr-HR"/>
              </w:rPr>
              <w:t xml:space="preserve">Za nabavu opreme nakon završetka djelovanja na potresu pogođenom području, potrebno je dostaviti </w:t>
            </w:r>
            <w:r w:rsidRPr="00255256">
              <w:rPr>
                <w:lang w:val="hr-HR"/>
              </w:rPr>
              <w:t xml:space="preserve">dokumentaciju iz koje je vidljivo da je oprema koja se planira nadomjestiti bila korištena i uništena </w:t>
            </w:r>
            <w:r>
              <w:rPr>
                <w:lang w:val="hr-HR"/>
              </w:rPr>
              <w:t xml:space="preserve">na intervencijama </w:t>
            </w:r>
            <w:r w:rsidR="001517D2">
              <w:rPr>
                <w:lang w:val="hr-HR"/>
              </w:rPr>
              <w:t xml:space="preserve">i aktivnosti nakon serije </w:t>
            </w:r>
            <w:r>
              <w:rPr>
                <w:lang w:val="hr-HR"/>
              </w:rPr>
              <w:t xml:space="preserve"> potresa</w:t>
            </w:r>
            <w:r w:rsidR="001517D2">
              <w:rPr>
                <w:lang w:val="hr-HR"/>
              </w:rPr>
              <w:t xml:space="preserve"> počevši od 28. prosinca 2020.</w:t>
            </w:r>
            <w:r>
              <w:rPr>
                <w:lang w:val="hr-HR"/>
              </w:rPr>
              <w:t xml:space="preserve">, uključujući </w:t>
            </w:r>
            <w:r w:rsidRPr="00255256">
              <w:rPr>
                <w:lang w:val="hr-HR"/>
              </w:rPr>
              <w:t>poprat</w:t>
            </w:r>
            <w:r>
              <w:rPr>
                <w:lang w:val="hr-HR"/>
              </w:rPr>
              <w:t>nu dokumentaciju</w:t>
            </w:r>
            <w:r w:rsidRPr="00255256">
              <w:rPr>
                <w:lang w:val="hr-HR"/>
              </w:rPr>
              <w:t xml:space="preserve"> (izvještaj/zapisnik o uništenoj, oštećenoj i/ili rashodovanoj opremi, fotografije, inventurni brojevi, i slično).</w:t>
            </w:r>
          </w:p>
        </w:tc>
      </w:tr>
    </w:tbl>
    <w:p w14:paraId="3181E621" w14:textId="44807393" w:rsidR="003D724F" w:rsidRDefault="003D724F" w:rsidP="00002E6E">
      <w:pPr>
        <w:spacing w:after="0" w:line="240" w:lineRule="auto"/>
        <w:jc w:val="both"/>
        <w:rPr>
          <w:rFonts w:ascii="Times New Roman" w:hAnsi="Times New Roman" w:cs="Times New Roman"/>
          <w:sz w:val="24"/>
          <w:szCs w:val="24"/>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1168D1" w:rsidRPr="00EC7F45" w14:paraId="22150543" w14:textId="77777777" w:rsidTr="001130C4">
        <w:trPr>
          <w:trHeight w:val="433"/>
        </w:trPr>
        <w:tc>
          <w:tcPr>
            <w:tcW w:w="567" w:type="dxa"/>
            <w:shd w:val="clear" w:color="auto" w:fill="C5E0B3" w:themeFill="accent6" w:themeFillTint="66"/>
          </w:tcPr>
          <w:p w14:paraId="0FDECD9A" w14:textId="77777777" w:rsidR="001168D1" w:rsidRPr="00EC7F45" w:rsidRDefault="001168D1" w:rsidP="001130C4">
            <w:pPr>
              <w:jc w:val="center"/>
              <w:rPr>
                <w:b/>
                <w:lang w:val="hr-HR"/>
              </w:rPr>
            </w:pPr>
            <w:r w:rsidRPr="00EC7F45">
              <w:rPr>
                <w:sz w:val="24"/>
                <w:szCs w:val="24"/>
                <w:lang w:val="hr-HR"/>
              </w:rPr>
              <w:br w:type="page"/>
            </w:r>
          </w:p>
        </w:tc>
        <w:tc>
          <w:tcPr>
            <w:tcW w:w="6095" w:type="dxa"/>
            <w:shd w:val="clear" w:color="auto" w:fill="C5E0B3" w:themeFill="accent6" w:themeFillTint="66"/>
          </w:tcPr>
          <w:p w14:paraId="7182387A" w14:textId="77777777" w:rsidR="001168D1" w:rsidRPr="00EC7F45" w:rsidRDefault="001168D1" w:rsidP="001130C4">
            <w:pPr>
              <w:jc w:val="right"/>
              <w:rPr>
                <w:b/>
                <w:lang w:val="hr-HR"/>
              </w:rPr>
            </w:pPr>
            <w:r w:rsidRPr="00EC7F45">
              <w:rPr>
                <w:b/>
                <w:lang w:val="hr-HR"/>
              </w:rPr>
              <w:t xml:space="preserve">VERZIJA: </w:t>
            </w:r>
          </w:p>
        </w:tc>
        <w:tc>
          <w:tcPr>
            <w:tcW w:w="6946" w:type="dxa"/>
            <w:shd w:val="clear" w:color="auto" w:fill="C5E0B3" w:themeFill="accent6" w:themeFillTint="66"/>
          </w:tcPr>
          <w:p w14:paraId="2BBD8E9E" w14:textId="77777777" w:rsidR="001168D1" w:rsidRPr="00EC7F45" w:rsidRDefault="001168D1" w:rsidP="001130C4">
            <w:pPr>
              <w:rPr>
                <w:b/>
                <w:lang w:val="hr-HR"/>
              </w:rPr>
            </w:pPr>
            <w:r>
              <w:rPr>
                <w:b/>
                <w:lang w:val="hr-HR"/>
              </w:rPr>
              <w:t>1.2</w:t>
            </w:r>
          </w:p>
        </w:tc>
      </w:tr>
      <w:tr w:rsidR="001168D1" w:rsidRPr="00471101" w14:paraId="2767826C" w14:textId="77777777" w:rsidTr="001130C4">
        <w:trPr>
          <w:trHeight w:val="433"/>
        </w:trPr>
        <w:tc>
          <w:tcPr>
            <w:tcW w:w="567" w:type="dxa"/>
            <w:shd w:val="clear" w:color="auto" w:fill="C5E0B3" w:themeFill="accent6" w:themeFillTint="66"/>
          </w:tcPr>
          <w:p w14:paraId="1B77A838" w14:textId="77777777" w:rsidR="001168D1" w:rsidRPr="00EC7F45" w:rsidRDefault="001168D1" w:rsidP="001130C4">
            <w:pPr>
              <w:jc w:val="center"/>
              <w:rPr>
                <w:b/>
                <w:lang w:val="hr-HR"/>
              </w:rPr>
            </w:pPr>
          </w:p>
        </w:tc>
        <w:tc>
          <w:tcPr>
            <w:tcW w:w="6095" w:type="dxa"/>
            <w:shd w:val="clear" w:color="auto" w:fill="C5E0B3" w:themeFill="accent6" w:themeFillTint="66"/>
          </w:tcPr>
          <w:p w14:paraId="587D2DC1" w14:textId="77777777" w:rsidR="001168D1" w:rsidRPr="00EC7F45" w:rsidRDefault="001168D1" w:rsidP="001130C4">
            <w:pPr>
              <w:jc w:val="right"/>
              <w:rPr>
                <w:b/>
                <w:lang w:val="hr-HR"/>
              </w:rPr>
            </w:pPr>
            <w:r w:rsidRPr="00EC7F45">
              <w:rPr>
                <w:b/>
                <w:lang w:val="hr-HR"/>
              </w:rPr>
              <w:t xml:space="preserve">OBJAVA SVIH PITANJA/ODGOVORA IZ VERZIJE </w:t>
            </w:r>
            <w:r>
              <w:rPr>
                <w:b/>
                <w:lang w:val="hr-HR"/>
              </w:rPr>
              <w:t>1.2</w:t>
            </w:r>
            <w:r w:rsidRPr="00EC7F45">
              <w:rPr>
                <w:b/>
                <w:lang w:val="hr-HR"/>
              </w:rPr>
              <w:t>:</w:t>
            </w:r>
          </w:p>
        </w:tc>
        <w:tc>
          <w:tcPr>
            <w:tcW w:w="6946" w:type="dxa"/>
            <w:shd w:val="clear" w:color="auto" w:fill="C5E0B3" w:themeFill="accent6" w:themeFillTint="66"/>
          </w:tcPr>
          <w:p w14:paraId="555134E8" w14:textId="77777777" w:rsidR="001168D1" w:rsidRPr="00471101" w:rsidRDefault="001168D1" w:rsidP="001130C4">
            <w:pPr>
              <w:rPr>
                <w:b/>
                <w:color w:val="FF0000"/>
                <w:lang w:val="hr-HR"/>
              </w:rPr>
            </w:pPr>
            <w:r>
              <w:rPr>
                <w:b/>
                <w:lang w:val="hr-HR"/>
              </w:rPr>
              <w:t>2</w:t>
            </w:r>
            <w:r w:rsidRPr="00471101">
              <w:rPr>
                <w:b/>
                <w:lang w:val="hr-HR"/>
              </w:rPr>
              <w:t>. SET PITANJA I ODGOVORA</w:t>
            </w:r>
          </w:p>
        </w:tc>
      </w:tr>
      <w:tr w:rsidR="001168D1" w:rsidRPr="00EC7F45" w14:paraId="4713607B" w14:textId="77777777" w:rsidTr="001130C4">
        <w:trPr>
          <w:trHeight w:val="433"/>
        </w:trPr>
        <w:tc>
          <w:tcPr>
            <w:tcW w:w="567" w:type="dxa"/>
            <w:shd w:val="clear" w:color="auto" w:fill="538135" w:themeFill="accent6" w:themeFillShade="BF"/>
          </w:tcPr>
          <w:p w14:paraId="4903306B" w14:textId="77777777" w:rsidR="001168D1" w:rsidRPr="00EC7F45" w:rsidRDefault="001168D1" w:rsidP="001130C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1A6541C7" w14:textId="2910A7EF" w:rsidR="001168D1" w:rsidRPr="00EC7F45" w:rsidRDefault="001168D1" w:rsidP="001130C4">
            <w:pPr>
              <w:rPr>
                <w:b/>
                <w:sz w:val="22"/>
                <w:szCs w:val="22"/>
                <w:lang w:val="hr-HR"/>
              </w:rPr>
            </w:pPr>
            <w:r w:rsidRPr="00EC7F45">
              <w:rPr>
                <w:b/>
                <w:color w:val="FFFFFF" w:themeColor="background1"/>
                <w:sz w:val="22"/>
                <w:szCs w:val="22"/>
                <w:lang w:val="hr-HR"/>
              </w:rPr>
              <w:t xml:space="preserve">DATUM ZAPRIMANJA PITANJA: </w:t>
            </w:r>
            <w:r>
              <w:rPr>
                <w:b/>
                <w:color w:val="FFFFFF" w:themeColor="background1"/>
                <w:sz w:val="22"/>
                <w:szCs w:val="22"/>
                <w:lang w:val="hr-HR"/>
              </w:rPr>
              <w:t xml:space="preserve"> 20. siječanja 2022.</w:t>
            </w:r>
          </w:p>
        </w:tc>
        <w:tc>
          <w:tcPr>
            <w:tcW w:w="6946" w:type="dxa"/>
            <w:shd w:val="clear" w:color="auto" w:fill="538135" w:themeFill="accent6" w:themeFillShade="BF"/>
          </w:tcPr>
          <w:p w14:paraId="39993F04" w14:textId="1FB4D04C" w:rsidR="001168D1" w:rsidRPr="00EC7F45" w:rsidRDefault="001168D1" w:rsidP="001130C4">
            <w:pPr>
              <w:rPr>
                <w:b/>
                <w:sz w:val="22"/>
                <w:szCs w:val="22"/>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21.</w:t>
            </w:r>
            <w:r w:rsidR="00376A59">
              <w:rPr>
                <w:b/>
                <w:color w:val="FFFFFF" w:themeColor="background1"/>
                <w:sz w:val="22"/>
                <w:szCs w:val="22"/>
                <w:lang w:val="hr-HR"/>
              </w:rPr>
              <w:t xml:space="preserve"> </w:t>
            </w:r>
            <w:r>
              <w:rPr>
                <w:b/>
                <w:color w:val="FFFFFF" w:themeColor="background1"/>
                <w:sz w:val="22"/>
                <w:szCs w:val="22"/>
                <w:lang w:val="hr-HR"/>
              </w:rPr>
              <w:t>siječnja 2022.</w:t>
            </w:r>
          </w:p>
        </w:tc>
      </w:tr>
      <w:tr w:rsidR="001168D1" w:rsidRPr="00C219F1" w14:paraId="6B28591C" w14:textId="77777777" w:rsidTr="001130C4">
        <w:trPr>
          <w:trHeight w:val="433"/>
        </w:trPr>
        <w:tc>
          <w:tcPr>
            <w:tcW w:w="567" w:type="dxa"/>
            <w:shd w:val="clear" w:color="auto" w:fill="auto"/>
          </w:tcPr>
          <w:p w14:paraId="4D693B54" w14:textId="17BA419A" w:rsidR="001168D1" w:rsidRPr="00587DFF" w:rsidRDefault="00903DB0" w:rsidP="001130C4">
            <w:pPr>
              <w:jc w:val="right"/>
              <w:rPr>
                <w:b/>
                <w:sz w:val="22"/>
                <w:szCs w:val="22"/>
              </w:rPr>
            </w:pPr>
            <w:r>
              <w:rPr>
                <w:b/>
                <w:sz w:val="22"/>
                <w:szCs w:val="22"/>
              </w:rPr>
              <w:t>9</w:t>
            </w:r>
            <w:r w:rsidR="001168D1">
              <w:rPr>
                <w:b/>
                <w:sz w:val="22"/>
                <w:szCs w:val="22"/>
              </w:rPr>
              <w:t>.</w:t>
            </w:r>
          </w:p>
        </w:tc>
        <w:tc>
          <w:tcPr>
            <w:tcW w:w="6095" w:type="dxa"/>
            <w:shd w:val="clear" w:color="auto" w:fill="auto"/>
          </w:tcPr>
          <w:p w14:paraId="5915EDE4" w14:textId="7891C22D" w:rsidR="001168D1" w:rsidRPr="001168D1" w:rsidRDefault="001168D1" w:rsidP="001130C4">
            <w:pPr>
              <w:rPr>
                <w:lang w:val="hr-HR"/>
              </w:rPr>
            </w:pPr>
            <w:r w:rsidRPr="001168D1">
              <w:rPr>
                <w:lang w:val="hr-HR"/>
              </w:rPr>
              <w:t>Može li se kroz Poziv „Financiranje službi spašavanja za potrebe stanovništva nastalih kao posljedica serije potresa počevši od 28. prosinca 2020. godine…“, referentna oznaka: FSEU.2022.MUP.,  financirati nabava vatrogasnog vozila koje je rashodovano uslijed velikog broja intervencija uzrokovanih potresom.</w:t>
            </w:r>
          </w:p>
        </w:tc>
        <w:tc>
          <w:tcPr>
            <w:tcW w:w="6946" w:type="dxa"/>
            <w:shd w:val="clear" w:color="auto" w:fill="auto"/>
          </w:tcPr>
          <w:p w14:paraId="39541EA4" w14:textId="473EDEA3" w:rsidR="001168D1" w:rsidRPr="00C219F1" w:rsidRDefault="008F4888" w:rsidP="001517D2">
            <w:pPr>
              <w:rPr>
                <w:lang w:val="hr-HR"/>
              </w:rPr>
            </w:pPr>
            <w:r>
              <w:rPr>
                <w:lang w:val="hr-HR"/>
              </w:rPr>
              <w:t xml:space="preserve">Može </w:t>
            </w:r>
            <w:r w:rsidR="003D724F">
              <w:rPr>
                <w:lang w:val="hr-HR"/>
              </w:rPr>
              <w:t xml:space="preserve">jedino ako se </w:t>
            </w:r>
            <w:r>
              <w:rPr>
                <w:lang w:val="hr-HR"/>
              </w:rPr>
              <w:t>popratnom dokumentacijom</w:t>
            </w:r>
            <w:r w:rsidR="003D724F">
              <w:rPr>
                <w:lang w:val="hr-HR"/>
              </w:rPr>
              <w:t xml:space="preserve"> dokaže</w:t>
            </w:r>
            <w:r>
              <w:rPr>
                <w:lang w:val="hr-HR"/>
              </w:rPr>
              <w:t xml:space="preserve"> kako je </w:t>
            </w:r>
            <w:r w:rsidR="003D724F">
              <w:rPr>
                <w:lang w:val="hr-HR"/>
              </w:rPr>
              <w:t>isto uništeno</w:t>
            </w:r>
            <w:r>
              <w:rPr>
                <w:lang w:val="hr-HR"/>
              </w:rPr>
              <w:t xml:space="preserve"> </w:t>
            </w:r>
            <w:r w:rsidR="001517D2">
              <w:rPr>
                <w:lang w:val="hr-HR"/>
              </w:rPr>
              <w:t xml:space="preserve">na intervencijama nakon serije </w:t>
            </w:r>
            <w:r w:rsidR="003D724F">
              <w:rPr>
                <w:lang w:val="hr-HR"/>
              </w:rPr>
              <w:t>potresa, počev</w:t>
            </w:r>
            <w:r w:rsidR="001517D2">
              <w:rPr>
                <w:lang w:val="hr-HR"/>
              </w:rPr>
              <w:t>ši od 28. prosinca 2020. godine, a ne radi starosti ili dotadašnjih aktivnosti.</w:t>
            </w:r>
          </w:p>
        </w:tc>
      </w:tr>
    </w:tbl>
    <w:p w14:paraId="35F39FCB" w14:textId="77777777" w:rsidR="001168D1" w:rsidRPr="00EC7F45" w:rsidRDefault="001168D1" w:rsidP="00002E6E">
      <w:pPr>
        <w:spacing w:after="0" w:line="240" w:lineRule="auto"/>
        <w:jc w:val="both"/>
        <w:rPr>
          <w:rFonts w:ascii="Times New Roman" w:hAnsi="Times New Roman" w:cs="Times New Roman"/>
          <w:sz w:val="24"/>
          <w:szCs w:val="24"/>
        </w:rPr>
      </w:pPr>
    </w:p>
    <w:sectPr w:rsidR="001168D1" w:rsidRPr="00EC7F45" w:rsidSect="001934E9">
      <w:footerReference w:type="default" r:id="rId13"/>
      <w:pgSz w:w="16838" w:h="11906" w:orient="landscape"/>
      <w:pgMar w:top="568" w:right="1417" w:bottom="1135"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45B3D" w14:textId="77777777" w:rsidR="00570C0F" w:rsidRDefault="00570C0F" w:rsidP="00FC265C">
      <w:pPr>
        <w:spacing w:after="0" w:line="240" w:lineRule="auto"/>
      </w:pPr>
      <w:r>
        <w:separator/>
      </w:r>
    </w:p>
  </w:endnote>
  <w:endnote w:type="continuationSeparator" w:id="0">
    <w:p w14:paraId="523AB400" w14:textId="77777777" w:rsidR="00570C0F" w:rsidRDefault="00570C0F"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C1E" w14:textId="408865D3" w:rsidR="00FA1518" w:rsidRDefault="00FA1518">
    <w:pPr>
      <w:pStyle w:val="Podnoje"/>
      <w:jc w:val="center"/>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696D6" w14:textId="77777777" w:rsidR="00570C0F" w:rsidRDefault="00570C0F" w:rsidP="00FC265C">
      <w:pPr>
        <w:spacing w:after="0" w:line="240" w:lineRule="auto"/>
      </w:pPr>
      <w:r>
        <w:separator/>
      </w:r>
    </w:p>
  </w:footnote>
  <w:footnote w:type="continuationSeparator" w:id="0">
    <w:p w14:paraId="62509BAB" w14:textId="77777777" w:rsidR="00570C0F" w:rsidRDefault="00570C0F"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C034A0"/>
    <w:multiLevelType w:val="hybridMultilevel"/>
    <w:tmpl w:val="880009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FE3793"/>
    <w:multiLevelType w:val="hybridMultilevel"/>
    <w:tmpl w:val="D9345F4C"/>
    <w:lvl w:ilvl="0" w:tplc="5186DC58">
      <w:start w:val="3"/>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BF2E9C"/>
    <w:multiLevelType w:val="hybridMultilevel"/>
    <w:tmpl w:val="D988CF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6"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146F57"/>
    <w:multiLevelType w:val="hybridMultilevel"/>
    <w:tmpl w:val="323EDFD6"/>
    <w:lvl w:ilvl="0" w:tplc="724411C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19"/>
  </w:num>
  <w:num w:numId="3">
    <w:abstractNumId w:val="2"/>
  </w:num>
  <w:num w:numId="4">
    <w:abstractNumId w:val="14"/>
  </w:num>
  <w:num w:numId="5">
    <w:abstractNumId w:val="9"/>
  </w:num>
  <w:num w:numId="6">
    <w:abstractNumId w:val="18"/>
  </w:num>
  <w:num w:numId="7">
    <w:abstractNumId w:val="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21"/>
  </w:num>
  <w:num w:numId="12">
    <w:abstractNumId w:val="13"/>
  </w:num>
  <w:num w:numId="13">
    <w:abstractNumId w:val="15"/>
  </w:num>
  <w:num w:numId="14">
    <w:abstractNumId w:val="20"/>
  </w:num>
  <w:num w:numId="15">
    <w:abstractNumId w:val="16"/>
  </w:num>
  <w:num w:numId="16">
    <w:abstractNumId w:val="22"/>
  </w:num>
  <w:num w:numId="17">
    <w:abstractNumId w:val="4"/>
  </w:num>
  <w:num w:numId="18">
    <w:abstractNumId w:val="0"/>
  </w:num>
  <w:num w:numId="19">
    <w:abstractNumId w:val="1"/>
  </w:num>
  <w:num w:numId="20">
    <w:abstractNumId w:val="3"/>
  </w:num>
  <w:num w:numId="21">
    <w:abstractNumId w:val="17"/>
  </w:num>
  <w:num w:numId="22">
    <w:abstractNumId w:val="6"/>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4B0"/>
    <w:rsid w:val="00002449"/>
    <w:rsid w:val="00002B38"/>
    <w:rsid w:val="00002E6E"/>
    <w:rsid w:val="00007911"/>
    <w:rsid w:val="00011542"/>
    <w:rsid w:val="00025010"/>
    <w:rsid w:val="00025179"/>
    <w:rsid w:val="00041DB1"/>
    <w:rsid w:val="00070B3D"/>
    <w:rsid w:val="000717B8"/>
    <w:rsid w:val="00075396"/>
    <w:rsid w:val="00087974"/>
    <w:rsid w:val="000C22AB"/>
    <w:rsid w:val="000C5E2D"/>
    <w:rsid w:val="000D2ECF"/>
    <w:rsid w:val="000D72E4"/>
    <w:rsid w:val="000E0026"/>
    <w:rsid w:val="000E048D"/>
    <w:rsid w:val="000E1FC3"/>
    <w:rsid w:val="000E3753"/>
    <w:rsid w:val="00102D7E"/>
    <w:rsid w:val="00105079"/>
    <w:rsid w:val="001064EB"/>
    <w:rsid w:val="001168D1"/>
    <w:rsid w:val="00126B47"/>
    <w:rsid w:val="00131AED"/>
    <w:rsid w:val="00133307"/>
    <w:rsid w:val="00135309"/>
    <w:rsid w:val="0013776A"/>
    <w:rsid w:val="001421EB"/>
    <w:rsid w:val="001449EF"/>
    <w:rsid w:val="00146565"/>
    <w:rsid w:val="001517D2"/>
    <w:rsid w:val="001521C3"/>
    <w:rsid w:val="001534AC"/>
    <w:rsid w:val="0015413A"/>
    <w:rsid w:val="0015587E"/>
    <w:rsid w:val="00157A85"/>
    <w:rsid w:val="00162062"/>
    <w:rsid w:val="0017031A"/>
    <w:rsid w:val="00185383"/>
    <w:rsid w:val="001934E9"/>
    <w:rsid w:val="0019596C"/>
    <w:rsid w:val="001974B9"/>
    <w:rsid w:val="001A0094"/>
    <w:rsid w:val="001A17C6"/>
    <w:rsid w:val="001A2939"/>
    <w:rsid w:val="001A3DC4"/>
    <w:rsid w:val="001B23B8"/>
    <w:rsid w:val="001B6C35"/>
    <w:rsid w:val="001B6E45"/>
    <w:rsid w:val="001B7D2D"/>
    <w:rsid w:val="001D5C15"/>
    <w:rsid w:val="001D72E3"/>
    <w:rsid w:val="001E2835"/>
    <w:rsid w:val="001E2BCC"/>
    <w:rsid w:val="001E32CC"/>
    <w:rsid w:val="001F23F6"/>
    <w:rsid w:val="0020544A"/>
    <w:rsid w:val="002123B8"/>
    <w:rsid w:val="0021460E"/>
    <w:rsid w:val="002200CD"/>
    <w:rsid w:val="00220385"/>
    <w:rsid w:val="0022540C"/>
    <w:rsid w:val="00241C38"/>
    <w:rsid w:val="00255256"/>
    <w:rsid w:val="00256C13"/>
    <w:rsid w:val="00256FC4"/>
    <w:rsid w:val="002632C2"/>
    <w:rsid w:val="00265580"/>
    <w:rsid w:val="002720AE"/>
    <w:rsid w:val="0027480B"/>
    <w:rsid w:val="00275B1A"/>
    <w:rsid w:val="00277013"/>
    <w:rsid w:val="0028615F"/>
    <w:rsid w:val="0028621D"/>
    <w:rsid w:val="002A5212"/>
    <w:rsid w:val="002A5357"/>
    <w:rsid w:val="002B2324"/>
    <w:rsid w:val="002C0AB7"/>
    <w:rsid w:val="002C33CF"/>
    <w:rsid w:val="002C3C3C"/>
    <w:rsid w:val="002C5E0E"/>
    <w:rsid w:val="002C5F04"/>
    <w:rsid w:val="002C6F5D"/>
    <w:rsid w:val="002D6A56"/>
    <w:rsid w:val="002D6C75"/>
    <w:rsid w:val="002E5C6E"/>
    <w:rsid w:val="002E650B"/>
    <w:rsid w:val="003042A2"/>
    <w:rsid w:val="0031107B"/>
    <w:rsid w:val="00313710"/>
    <w:rsid w:val="00313FE4"/>
    <w:rsid w:val="00320A93"/>
    <w:rsid w:val="00324620"/>
    <w:rsid w:val="0033705B"/>
    <w:rsid w:val="00344DE8"/>
    <w:rsid w:val="00345819"/>
    <w:rsid w:val="003512C9"/>
    <w:rsid w:val="00354EFC"/>
    <w:rsid w:val="00366959"/>
    <w:rsid w:val="00376A59"/>
    <w:rsid w:val="0037749C"/>
    <w:rsid w:val="00377D87"/>
    <w:rsid w:val="00384BE7"/>
    <w:rsid w:val="00384E6B"/>
    <w:rsid w:val="00386638"/>
    <w:rsid w:val="00390E92"/>
    <w:rsid w:val="00393243"/>
    <w:rsid w:val="00393E2C"/>
    <w:rsid w:val="003A50E9"/>
    <w:rsid w:val="003B1151"/>
    <w:rsid w:val="003B147E"/>
    <w:rsid w:val="003C532A"/>
    <w:rsid w:val="003C7A71"/>
    <w:rsid w:val="003D0C1B"/>
    <w:rsid w:val="003D2E8D"/>
    <w:rsid w:val="003D5CC5"/>
    <w:rsid w:val="003D724F"/>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553B1"/>
    <w:rsid w:val="00461F02"/>
    <w:rsid w:val="00465397"/>
    <w:rsid w:val="0046775D"/>
    <w:rsid w:val="00471101"/>
    <w:rsid w:val="004716CB"/>
    <w:rsid w:val="00473BB8"/>
    <w:rsid w:val="00483932"/>
    <w:rsid w:val="004912B2"/>
    <w:rsid w:val="004961FF"/>
    <w:rsid w:val="004A1CC9"/>
    <w:rsid w:val="004A615D"/>
    <w:rsid w:val="004B0A8E"/>
    <w:rsid w:val="004B2E15"/>
    <w:rsid w:val="004B402A"/>
    <w:rsid w:val="004B4117"/>
    <w:rsid w:val="004B722E"/>
    <w:rsid w:val="004B7E0D"/>
    <w:rsid w:val="004C20C9"/>
    <w:rsid w:val="004C2773"/>
    <w:rsid w:val="004C7C74"/>
    <w:rsid w:val="004D3124"/>
    <w:rsid w:val="004D5761"/>
    <w:rsid w:val="004E29AB"/>
    <w:rsid w:val="004F7ACD"/>
    <w:rsid w:val="0050224E"/>
    <w:rsid w:val="00510A63"/>
    <w:rsid w:val="00511D99"/>
    <w:rsid w:val="0051414C"/>
    <w:rsid w:val="00544D17"/>
    <w:rsid w:val="0054576C"/>
    <w:rsid w:val="00563E70"/>
    <w:rsid w:val="00565EEF"/>
    <w:rsid w:val="00570C0F"/>
    <w:rsid w:val="00571959"/>
    <w:rsid w:val="005813DD"/>
    <w:rsid w:val="005824F7"/>
    <w:rsid w:val="005849F9"/>
    <w:rsid w:val="00584E2A"/>
    <w:rsid w:val="00587DFF"/>
    <w:rsid w:val="00592ADF"/>
    <w:rsid w:val="00593C7C"/>
    <w:rsid w:val="005A47E8"/>
    <w:rsid w:val="005A668A"/>
    <w:rsid w:val="005C5082"/>
    <w:rsid w:val="005D165D"/>
    <w:rsid w:val="005D44D1"/>
    <w:rsid w:val="005D4B64"/>
    <w:rsid w:val="005D681B"/>
    <w:rsid w:val="005E0D89"/>
    <w:rsid w:val="005E2728"/>
    <w:rsid w:val="005E2BEC"/>
    <w:rsid w:val="00601BE1"/>
    <w:rsid w:val="00614A18"/>
    <w:rsid w:val="00616078"/>
    <w:rsid w:val="00632AE9"/>
    <w:rsid w:val="00634D45"/>
    <w:rsid w:val="006532BB"/>
    <w:rsid w:val="00653729"/>
    <w:rsid w:val="00654E3C"/>
    <w:rsid w:val="00660AFA"/>
    <w:rsid w:val="00662D19"/>
    <w:rsid w:val="0066530D"/>
    <w:rsid w:val="0068593C"/>
    <w:rsid w:val="00686582"/>
    <w:rsid w:val="006878F5"/>
    <w:rsid w:val="00687B38"/>
    <w:rsid w:val="00690177"/>
    <w:rsid w:val="00694412"/>
    <w:rsid w:val="0069614B"/>
    <w:rsid w:val="006A3966"/>
    <w:rsid w:val="006C16EA"/>
    <w:rsid w:val="006C2D2A"/>
    <w:rsid w:val="006C414B"/>
    <w:rsid w:val="006C7AE0"/>
    <w:rsid w:val="006D2170"/>
    <w:rsid w:val="006D7D73"/>
    <w:rsid w:val="006E49CF"/>
    <w:rsid w:val="006E58C6"/>
    <w:rsid w:val="006F02B4"/>
    <w:rsid w:val="006F5631"/>
    <w:rsid w:val="006F61F0"/>
    <w:rsid w:val="006F716F"/>
    <w:rsid w:val="006F7A36"/>
    <w:rsid w:val="00701958"/>
    <w:rsid w:val="0071752A"/>
    <w:rsid w:val="007205DE"/>
    <w:rsid w:val="007247DD"/>
    <w:rsid w:val="00726557"/>
    <w:rsid w:val="00726D6C"/>
    <w:rsid w:val="00732F8E"/>
    <w:rsid w:val="00734037"/>
    <w:rsid w:val="00734F2D"/>
    <w:rsid w:val="007361D2"/>
    <w:rsid w:val="00742B44"/>
    <w:rsid w:val="007519B8"/>
    <w:rsid w:val="0075438A"/>
    <w:rsid w:val="007571D3"/>
    <w:rsid w:val="00764819"/>
    <w:rsid w:val="00767F01"/>
    <w:rsid w:val="0077278A"/>
    <w:rsid w:val="0077279C"/>
    <w:rsid w:val="0077431E"/>
    <w:rsid w:val="00776618"/>
    <w:rsid w:val="00777960"/>
    <w:rsid w:val="0078017A"/>
    <w:rsid w:val="007806CB"/>
    <w:rsid w:val="0078157A"/>
    <w:rsid w:val="00781612"/>
    <w:rsid w:val="007924B0"/>
    <w:rsid w:val="007A0C51"/>
    <w:rsid w:val="007A16D0"/>
    <w:rsid w:val="007B432C"/>
    <w:rsid w:val="007C563B"/>
    <w:rsid w:val="007E0476"/>
    <w:rsid w:val="007E716A"/>
    <w:rsid w:val="00800EBC"/>
    <w:rsid w:val="0080768F"/>
    <w:rsid w:val="0081394B"/>
    <w:rsid w:val="008143AD"/>
    <w:rsid w:val="00826E16"/>
    <w:rsid w:val="0083279E"/>
    <w:rsid w:val="008401B2"/>
    <w:rsid w:val="008467B9"/>
    <w:rsid w:val="008541A2"/>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B696A"/>
    <w:rsid w:val="008C2A42"/>
    <w:rsid w:val="008D053B"/>
    <w:rsid w:val="008D5073"/>
    <w:rsid w:val="008E518D"/>
    <w:rsid w:val="008E71E4"/>
    <w:rsid w:val="008F1C41"/>
    <w:rsid w:val="008F4888"/>
    <w:rsid w:val="0090012B"/>
    <w:rsid w:val="00903622"/>
    <w:rsid w:val="00903DB0"/>
    <w:rsid w:val="00904FA2"/>
    <w:rsid w:val="00911198"/>
    <w:rsid w:val="009115C5"/>
    <w:rsid w:val="00913041"/>
    <w:rsid w:val="00915A31"/>
    <w:rsid w:val="009169C2"/>
    <w:rsid w:val="00920F1C"/>
    <w:rsid w:val="009238C2"/>
    <w:rsid w:val="00925989"/>
    <w:rsid w:val="009360A4"/>
    <w:rsid w:val="0093744E"/>
    <w:rsid w:val="0094505A"/>
    <w:rsid w:val="009622CB"/>
    <w:rsid w:val="00971E56"/>
    <w:rsid w:val="0098396A"/>
    <w:rsid w:val="00984845"/>
    <w:rsid w:val="00996300"/>
    <w:rsid w:val="00996FE8"/>
    <w:rsid w:val="009A0A4C"/>
    <w:rsid w:val="009A21CF"/>
    <w:rsid w:val="009A59DD"/>
    <w:rsid w:val="009C6EDE"/>
    <w:rsid w:val="009D17A7"/>
    <w:rsid w:val="009E06F7"/>
    <w:rsid w:val="009E45B2"/>
    <w:rsid w:val="009E4B14"/>
    <w:rsid w:val="009F1F0C"/>
    <w:rsid w:val="009F490E"/>
    <w:rsid w:val="00A019E1"/>
    <w:rsid w:val="00A166B4"/>
    <w:rsid w:val="00A22696"/>
    <w:rsid w:val="00A24F6F"/>
    <w:rsid w:val="00A3084B"/>
    <w:rsid w:val="00A415B4"/>
    <w:rsid w:val="00A4448A"/>
    <w:rsid w:val="00A47FC8"/>
    <w:rsid w:val="00A50770"/>
    <w:rsid w:val="00A600DE"/>
    <w:rsid w:val="00A645BC"/>
    <w:rsid w:val="00A7020B"/>
    <w:rsid w:val="00A71EE6"/>
    <w:rsid w:val="00A7352C"/>
    <w:rsid w:val="00A766C2"/>
    <w:rsid w:val="00A81C96"/>
    <w:rsid w:val="00A84628"/>
    <w:rsid w:val="00A87842"/>
    <w:rsid w:val="00A97B60"/>
    <w:rsid w:val="00AA28A3"/>
    <w:rsid w:val="00AB45DB"/>
    <w:rsid w:val="00AC1967"/>
    <w:rsid w:val="00AC2E10"/>
    <w:rsid w:val="00AD383A"/>
    <w:rsid w:val="00AD4C9B"/>
    <w:rsid w:val="00AE318F"/>
    <w:rsid w:val="00AE6DA4"/>
    <w:rsid w:val="00AE6FA1"/>
    <w:rsid w:val="00AF1DD1"/>
    <w:rsid w:val="00AF37E2"/>
    <w:rsid w:val="00AF63A3"/>
    <w:rsid w:val="00AF71D4"/>
    <w:rsid w:val="00B016FF"/>
    <w:rsid w:val="00B072D0"/>
    <w:rsid w:val="00B20CFE"/>
    <w:rsid w:val="00B21B8C"/>
    <w:rsid w:val="00B37EAB"/>
    <w:rsid w:val="00B40421"/>
    <w:rsid w:val="00B45804"/>
    <w:rsid w:val="00B53970"/>
    <w:rsid w:val="00B5423E"/>
    <w:rsid w:val="00B60EAE"/>
    <w:rsid w:val="00B6105D"/>
    <w:rsid w:val="00B7526C"/>
    <w:rsid w:val="00B80913"/>
    <w:rsid w:val="00B91902"/>
    <w:rsid w:val="00B94381"/>
    <w:rsid w:val="00B96CCD"/>
    <w:rsid w:val="00BA0BB7"/>
    <w:rsid w:val="00BA50AB"/>
    <w:rsid w:val="00BA68EF"/>
    <w:rsid w:val="00BB6591"/>
    <w:rsid w:val="00BC1E84"/>
    <w:rsid w:val="00BC2912"/>
    <w:rsid w:val="00BC3421"/>
    <w:rsid w:val="00BC3C57"/>
    <w:rsid w:val="00BC755E"/>
    <w:rsid w:val="00BE466E"/>
    <w:rsid w:val="00BF0436"/>
    <w:rsid w:val="00BF3462"/>
    <w:rsid w:val="00C07D04"/>
    <w:rsid w:val="00C10092"/>
    <w:rsid w:val="00C151F3"/>
    <w:rsid w:val="00C219F1"/>
    <w:rsid w:val="00C5369B"/>
    <w:rsid w:val="00C661D3"/>
    <w:rsid w:val="00C71E74"/>
    <w:rsid w:val="00C71FFB"/>
    <w:rsid w:val="00C75344"/>
    <w:rsid w:val="00C81675"/>
    <w:rsid w:val="00C93C99"/>
    <w:rsid w:val="00CC284D"/>
    <w:rsid w:val="00CC77FF"/>
    <w:rsid w:val="00CD3103"/>
    <w:rsid w:val="00CD3292"/>
    <w:rsid w:val="00CD7911"/>
    <w:rsid w:val="00CE5CCB"/>
    <w:rsid w:val="00CE6837"/>
    <w:rsid w:val="00CE7CF7"/>
    <w:rsid w:val="00CE7DFF"/>
    <w:rsid w:val="00CF127F"/>
    <w:rsid w:val="00CF2A48"/>
    <w:rsid w:val="00CF689F"/>
    <w:rsid w:val="00D12C16"/>
    <w:rsid w:val="00D12E9C"/>
    <w:rsid w:val="00D166C8"/>
    <w:rsid w:val="00D17E78"/>
    <w:rsid w:val="00D25CC7"/>
    <w:rsid w:val="00D33DBD"/>
    <w:rsid w:val="00D360C0"/>
    <w:rsid w:val="00D42A58"/>
    <w:rsid w:val="00D4758C"/>
    <w:rsid w:val="00D50190"/>
    <w:rsid w:val="00D64CE6"/>
    <w:rsid w:val="00D73041"/>
    <w:rsid w:val="00D82761"/>
    <w:rsid w:val="00D82E32"/>
    <w:rsid w:val="00D86066"/>
    <w:rsid w:val="00D946CC"/>
    <w:rsid w:val="00D956F1"/>
    <w:rsid w:val="00D96048"/>
    <w:rsid w:val="00DA23CA"/>
    <w:rsid w:val="00DB03E0"/>
    <w:rsid w:val="00DB6455"/>
    <w:rsid w:val="00DC02A0"/>
    <w:rsid w:val="00DC0B8E"/>
    <w:rsid w:val="00DD2AAC"/>
    <w:rsid w:val="00DD78D8"/>
    <w:rsid w:val="00DE3E16"/>
    <w:rsid w:val="00DE67F3"/>
    <w:rsid w:val="00DF53ED"/>
    <w:rsid w:val="00DF6922"/>
    <w:rsid w:val="00E053F8"/>
    <w:rsid w:val="00E06670"/>
    <w:rsid w:val="00E1073F"/>
    <w:rsid w:val="00E10ED4"/>
    <w:rsid w:val="00E156A0"/>
    <w:rsid w:val="00E15B8C"/>
    <w:rsid w:val="00E322AD"/>
    <w:rsid w:val="00E34584"/>
    <w:rsid w:val="00E50633"/>
    <w:rsid w:val="00E61823"/>
    <w:rsid w:val="00E63528"/>
    <w:rsid w:val="00E82939"/>
    <w:rsid w:val="00E858BA"/>
    <w:rsid w:val="00E94D1C"/>
    <w:rsid w:val="00E9610A"/>
    <w:rsid w:val="00E97254"/>
    <w:rsid w:val="00EA08DE"/>
    <w:rsid w:val="00EA0F18"/>
    <w:rsid w:val="00EA6D9F"/>
    <w:rsid w:val="00EB3D93"/>
    <w:rsid w:val="00EC3847"/>
    <w:rsid w:val="00EC7F45"/>
    <w:rsid w:val="00ED47F9"/>
    <w:rsid w:val="00ED7769"/>
    <w:rsid w:val="00EE19A2"/>
    <w:rsid w:val="00EE211A"/>
    <w:rsid w:val="00EE3476"/>
    <w:rsid w:val="00EE4823"/>
    <w:rsid w:val="00EF35F3"/>
    <w:rsid w:val="00F04E7D"/>
    <w:rsid w:val="00F11CAD"/>
    <w:rsid w:val="00F14137"/>
    <w:rsid w:val="00F14D0C"/>
    <w:rsid w:val="00F20EFA"/>
    <w:rsid w:val="00F23668"/>
    <w:rsid w:val="00F313D0"/>
    <w:rsid w:val="00F335D0"/>
    <w:rsid w:val="00F35A49"/>
    <w:rsid w:val="00F3729E"/>
    <w:rsid w:val="00F40E90"/>
    <w:rsid w:val="00F41132"/>
    <w:rsid w:val="00F50537"/>
    <w:rsid w:val="00F51C3B"/>
    <w:rsid w:val="00F522CF"/>
    <w:rsid w:val="00F52F2A"/>
    <w:rsid w:val="00F57973"/>
    <w:rsid w:val="00F62191"/>
    <w:rsid w:val="00F67B89"/>
    <w:rsid w:val="00F7009F"/>
    <w:rsid w:val="00F7211E"/>
    <w:rsid w:val="00F730AC"/>
    <w:rsid w:val="00F73512"/>
    <w:rsid w:val="00FA1518"/>
    <w:rsid w:val="00FA7BFE"/>
    <w:rsid w:val="00FB09B1"/>
    <w:rsid w:val="00FB2D63"/>
    <w:rsid w:val="00FC149F"/>
    <w:rsid w:val="00FC1C86"/>
    <w:rsid w:val="00FC265C"/>
    <w:rsid w:val="00FD7D9C"/>
    <w:rsid w:val="00FD7EAE"/>
    <w:rsid w:val="00FE47CB"/>
    <w:rsid w:val="00FE71B3"/>
    <w:rsid w:val="00FF2B00"/>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8D1"/>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C71E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19823567">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up.gov.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3.xml><?xml version="1.0" encoding="utf-8"?>
<ds:datastoreItem xmlns:ds="http://schemas.openxmlformats.org/officeDocument/2006/customXml" ds:itemID="{403BEB4F-E189-4BD5-9D6A-81D572CF929E}">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b79bbf72-da78-429d-b3af-e70e85e72d43"/>
    <ds:schemaRef ds:uri="e7e76099-6754-463c-9cf2-a42a0296b652"/>
    <ds:schemaRef ds:uri="http://www.w3.org/XML/1998/namespace"/>
    <ds:schemaRef ds:uri="http://purl.org/dc/dcmitype/"/>
  </ds:schemaRefs>
</ds:datastoreItem>
</file>

<file path=customXml/itemProps4.xml><?xml version="1.0" encoding="utf-8"?>
<ds:datastoreItem xmlns:ds="http://schemas.openxmlformats.org/officeDocument/2006/customXml" ds:itemID="{8222B92D-ECEA-4975-8319-C06F5B23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1310</Words>
  <Characters>7472</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MUP</cp:lastModifiedBy>
  <cp:revision>19</cp:revision>
  <cp:lastPrinted>2022-01-21T12:56:00Z</cp:lastPrinted>
  <dcterms:created xsi:type="dcterms:W3CDTF">2022-01-20T13:02:00Z</dcterms:created>
  <dcterms:modified xsi:type="dcterms:W3CDTF">2022-01-21T13:12:00Z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