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87136" w14:textId="3E197320" w:rsidR="005E2728" w:rsidRDefault="009622CB" w:rsidP="001934E9">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p>
    <w:p w14:paraId="5F75960E" w14:textId="77777777" w:rsidR="00614A18" w:rsidRPr="0097148D" w:rsidRDefault="00614A18" w:rsidP="00B60EAE">
      <w:pPr>
        <w:spacing w:after="0" w:line="240" w:lineRule="auto"/>
        <w:jc w:val="center"/>
        <w:rPr>
          <w:rFonts w:ascii="Times New Roman" w:hAnsi="Times New Roman" w:cs="Times New Roman"/>
          <w:b/>
          <w:sz w:val="32"/>
          <w:szCs w:val="32"/>
        </w:rPr>
      </w:pPr>
      <w:r w:rsidRPr="0097148D">
        <w:rPr>
          <w:rFonts w:ascii="Times New Roman" w:hAnsi="Times New Roman" w:cs="Times New Roman"/>
          <w:b/>
          <w:sz w:val="32"/>
          <w:szCs w:val="32"/>
        </w:rPr>
        <w:t>PITANJA I ODGOVORI</w:t>
      </w:r>
      <w:r w:rsidR="009115C5" w:rsidRPr="0097148D">
        <w:rPr>
          <w:rFonts w:ascii="Times New Roman" w:hAnsi="Times New Roman" w:cs="Times New Roman"/>
          <w:b/>
          <w:sz w:val="32"/>
          <w:szCs w:val="32"/>
        </w:rPr>
        <w:t xml:space="preserve"> </w:t>
      </w:r>
      <w:r w:rsidR="00A600DE" w:rsidRPr="0097148D">
        <w:rPr>
          <w:rFonts w:ascii="Times New Roman" w:hAnsi="Times New Roman" w:cs="Times New Roman"/>
          <w:b/>
          <w:sz w:val="32"/>
          <w:szCs w:val="32"/>
        </w:rPr>
        <w:t>–</w:t>
      </w:r>
      <w:r w:rsidR="009115C5" w:rsidRPr="0097148D">
        <w:rPr>
          <w:rFonts w:ascii="Times New Roman" w:hAnsi="Times New Roman" w:cs="Times New Roman"/>
          <w:b/>
          <w:sz w:val="32"/>
          <w:szCs w:val="32"/>
        </w:rPr>
        <w:t xml:space="preserve"> PDP</w:t>
      </w:r>
    </w:p>
    <w:p w14:paraId="51B0A16C" w14:textId="77777777" w:rsidR="00C71E74" w:rsidRPr="0097148D" w:rsidRDefault="00573224" w:rsidP="00B60EAE">
      <w:pPr>
        <w:spacing w:after="0" w:line="240" w:lineRule="auto"/>
        <w:jc w:val="center"/>
        <w:rPr>
          <w:rStyle w:val="Hiperveza"/>
          <w:rFonts w:ascii="Times New Roman" w:hAnsi="Times New Roman" w:cs="Times New Roman"/>
          <w:b/>
          <w:sz w:val="32"/>
          <w:szCs w:val="32"/>
        </w:rPr>
      </w:pPr>
      <w:hyperlink r:id="rId11" w:history="1">
        <w:r w:rsidR="009F490E" w:rsidRPr="0097148D">
          <w:rPr>
            <w:rStyle w:val="Hiperveza"/>
            <w:rFonts w:ascii="Times New Roman" w:hAnsi="Times New Roman" w:cs="Times New Roman"/>
            <w:b/>
            <w:sz w:val="32"/>
            <w:szCs w:val="32"/>
          </w:rPr>
          <w:t>www.strukturnifondovi.hr</w:t>
        </w:r>
      </w:hyperlink>
    </w:p>
    <w:p w14:paraId="3D0A6F81" w14:textId="0F6417AD" w:rsidR="00A600DE" w:rsidRPr="0097148D" w:rsidRDefault="00573224" w:rsidP="00B60EAE">
      <w:pPr>
        <w:spacing w:after="0" w:line="240" w:lineRule="auto"/>
        <w:jc w:val="center"/>
        <w:rPr>
          <w:rFonts w:ascii="Times New Roman" w:hAnsi="Times New Roman" w:cs="Times New Roman"/>
          <w:b/>
          <w:sz w:val="32"/>
          <w:szCs w:val="32"/>
        </w:rPr>
      </w:pPr>
      <w:hyperlink r:id="rId12" w:history="1">
        <w:r w:rsidR="00C71E74" w:rsidRPr="0097148D">
          <w:rPr>
            <w:rStyle w:val="Hiperveza"/>
            <w:rFonts w:ascii="Times New Roman" w:hAnsi="Times New Roman" w:cs="Times New Roman"/>
            <w:b/>
            <w:sz w:val="32"/>
            <w:szCs w:val="32"/>
          </w:rPr>
          <w:t>mup.gov.hr</w:t>
        </w:r>
      </w:hyperlink>
      <w:r w:rsidR="009F490E" w:rsidRPr="0097148D">
        <w:rPr>
          <w:rFonts w:ascii="Times New Roman" w:hAnsi="Times New Roman" w:cs="Times New Roman"/>
          <w:b/>
          <w:sz w:val="32"/>
          <w:szCs w:val="32"/>
        </w:rPr>
        <w:t xml:space="preserve"> </w:t>
      </w:r>
    </w:p>
    <w:p w14:paraId="546473B1" w14:textId="77777777" w:rsidR="00C93C99" w:rsidRPr="0097148D" w:rsidRDefault="00C93C99" w:rsidP="00B60EAE">
      <w:pPr>
        <w:spacing w:after="0" w:line="240" w:lineRule="auto"/>
        <w:jc w:val="center"/>
        <w:rPr>
          <w:rFonts w:ascii="Times New Roman" w:hAnsi="Times New Roman" w:cs="Times New Roman"/>
          <w:b/>
          <w:sz w:val="32"/>
          <w:szCs w:val="32"/>
        </w:rPr>
      </w:pPr>
    </w:p>
    <w:p w14:paraId="2CB7203F" w14:textId="77777777" w:rsidR="00461F02" w:rsidRPr="0097148D" w:rsidRDefault="00461F02" w:rsidP="00461F02">
      <w:pPr>
        <w:spacing w:after="0" w:line="240" w:lineRule="auto"/>
        <w:jc w:val="center"/>
        <w:rPr>
          <w:rStyle w:val="Bodytext285pt"/>
          <w:rFonts w:eastAsiaTheme="minorHAnsi"/>
          <w:b/>
          <w:sz w:val="18"/>
          <w:szCs w:val="18"/>
          <w:lang w:val="hr-HR"/>
        </w:rPr>
      </w:pPr>
    </w:p>
    <w:p w14:paraId="38FF248D" w14:textId="676493ED" w:rsidR="007A0C51" w:rsidRPr="0097148D" w:rsidRDefault="00BC755E" w:rsidP="007A0C51">
      <w:pPr>
        <w:spacing w:after="0" w:line="240" w:lineRule="auto"/>
        <w:rPr>
          <w:rFonts w:ascii="Times New Roman" w:hAnsi="Times New Roman" w:cs="Times New Roman"/>
          <w:b/>
          <w:sz w:val="18"/>
          <w:szCs w:val="18"/>
        </w:rPr>
      </w:pPr>
      <w:r w:rsidRPr="0097148D">
        <w:rPr>
          <w:rStyle w:val="Bodytext285pt"/>
          <w:rFonts w:eastAsiaTheme="minorHAnsi"/>
          <w:b/>
          <w:sz w:val="18"/>
          <w:szCs w:val="18"/>
          <w:lang w:val="hr-HR"/>
        </w:rPr>
        <w:t>FOND:</w:t>
      </w:r>
      <w:r w:rsidR="001B6E45" w:rsidRPr="0097148D">
        <w:rPr>
          <w:rStyle w:val="Bodytext285pt"/>
          <w:rFonts w:eastAsiaTheme="minorHAnsi"/>
          <w:b/>
          <w:sz w:val="18"/>
          <w:szCs w:val="18"/>
          <w:lang w:val="hr-HR"/>
        </w:rPr>
        <w:t xml:space="preserve"> Fond solidarnosti Europske unije</w:t>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461F02" w:rsidRPr="0097148D">
        <w:rPr>
          <w:rStyle w:val="Bodytext285pt"/>
          <w:rFonts w:eastAsiaTheme="minorHAnsi"/>
          <w:sz w:val="18"/>
          <w:szCs w:val="18"/>
          <w:lang w:val="hr-HR"/>
        </w:rPr>
        <w:tab/>
      </w:r>
      <w:r w:rsidR="00461F02" w:rsidRPr="0097148D">
        <w:rPr>
          <w:rStyle w:val="Bodytext285pt"/>
          <w:rFonts w:eastAsiaTheme="minorHAnsi"/>
          <w:sz w:val="18"/>
          <w:szCs w:val="18"/>
          <w:lang w:val="hr-HR"/>
        </w:rPr>
        <w:tab/>
      </w:r>
      <w:r w:rsidR="00461F02" w:rsidRPr="0097148D">
        <w:rPr>
          <w:rStyle w:val="Bodytext285pt"/>
          <w:rFonts w:eastAsiaTheme="minorHAnsi"/>
          <w:sz w:val="18"/>
          <w:szCs w:val="18"/>
          <w:lang w:val="hr-HR"/>
        </w:rPr>
        <w:tab/>
      </w:r>
      <w:r w:rsidR="007A0C51" w:rsidRPr="0097148D">
        <w:rPr>
          <w:rFonts w:ascii="Times New Roman" w:hAnsi="Times New Roman" w:cs="Times New Roman"/>
          <w:b/>
          <w:sz w:val="18"/>
          <w:szCs w:val="18"/>
        </w:rPr>
        <w:t xml:space="preserve">NADLEŽNO TIJELO: </w:t>
      </w:r>
      <w:r w:rsidR="00CF689F" w:rsidRPr="0097148D">
        <w:rPr>
          <w:rFonts w:ascii="Times New Roman" w:hAnsi="Times New Roman" w:cs="Times New Roman"/>
          <w:b/>
          <w:sz w:val="18"/>
          <w:szCs w:val="18"/>
        </w:rPr>
        <w:t>Ministarstvo unutarnjih poslova</w:t>
      </w:r>
    </w:p>
    <w:p w14:paraId="4ACAB349" w14:textId="77777777" w:rsidR="00CF689F" w:rsidRPr="0097148D" w:rsidRDefault="001B6E45"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NAZIV POZIVA:</w:t>
      </w:r>
      <w:r w:rsidRPr="0097148D">
        <w:rPr>
          <w:rFonts w:ascii="Times New Roman" w:hAnsi="Times New Roman" w:cs="Times New Roman"/>
          <w:b/>
          <w:sz w:val="18"/>
          <w:szCs w:val="18"/>
        </w:rPr>
        <w:tab/>
      </w:r>
      <w:r w:rsidR="00CF689F" w:rsidRPr="0097148D">
        <w:rPr>
          <w:rFonts w:ascii="Times New Roman" w:hAnsi="Times New Roman" w:cs="Times New Roman"/>
          <w:b/>
          <w:sz w:val="18"/>
          <w:szCs w:val="18"/>
        </w:rPr>
        <w:t>Financiranje službi spašavanja za potrebe stanovništva nastalih</w:t>
      </w:r>
    </w:p>
    <w:p w14:paraId="4AD05D67" w14:textId="6CE79170"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 xml:space="preserve">kao posljedica serije potresa počevši od 28. prosinca 2020. godine na području Grada Zagreba,           ROK ZA PODNOŠENJE PP: </w:t>
      </w:r>
      <w:r w:rsidR="00BC3C57" w:rsidRPr="0097148D">
        <w:rPr>
          <w:rFonts w:ascii="Times New Roman" w:hAnsi="Times New Roman" w:cs="Times New Roman"/>
          <w:b/>
          <w:sz w:val="18"/>
          <w:szCs w:val="18"/>
        </w:rPr>
        <w:t>30. travanj 2022.</w:t>
      </w:r>
    </w:p>
    <w:p w14:paraId="36BEB28B" w14:textId="77777777"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Krapinsko-zagorske županije, Zagrebačke županije, Sisačko-moslavačke županije,</w:t>
      </w:r>
    </w:p>
    <w:p w14:paraId="697277E1" w14:textId="7BE6B968"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Karlovačke županije, Varaždinske županije, Međimurske županije, Brodsko-posavske županije,         ROK ZA ODGOVOR NA PITANJE (UzP):</w:t>
      </w:r>
      <w:r w:rsidR="00BC3C57" w:rsidRPr="0097148D">
        <w:rPr>
          <w:rFonts w:ascii="Times New Roman" w:hAnsi="Times New Roman" w:cs="Times New Roman"/>
          <w:b/>
          <w:sz w:val="18"/>
          <w:szCs w:val="18"/>
        </w:rPr>
        <w:t xml:space="preserve"> Svakih 7 radnih dana</w:t>
      </w:r>
    </w:p>
    <w:p w14:paraId="7015CE32" w14:textId="3D159770" w:rsidR="00461F02"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Koprivničko-križevačke županije i Bjelovarsko-bilogorske županije</w:t>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t xml:space="preserve"> </w:t>
      </w:r>
    </w:p>
    <w:p w14:paraId="3C6C58C4" w14:textId="77777777" w:rsidR="00CF689F" w:rsidRPr="0097148D" w:rsidRDefault="00CF689F" w:rsidP="001B6E45">
      <w:pPr>
        <w:spacing w:after="0" w:line="240" w:lineRule="auto"/>
        <w:rPr>
          <w:rFonts w:ascii="Times New Roman" w:hAnsi="Times New Roman" w:cs="Times New Roman"/>
          <w:b/>
          <w:sz w:val="18"/>
          <w:szCs w:val="18"/>
        </w:rPr>
      </w:pPr>
    </w:p>
    <w:p w14:paraId="74E7BE21" w14:textId="3966E473" w:rsidR="001B6E45" w:rsidRPr="0097148D" w:rsidRDefault="001B6E45" w:rsidP="001B6E45">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OZNAKA POZIVA:</w:t>
      </w:r>
      <w:r w:rsidR="00CF689F" w:rsidRPr="0097148D">
        <w:rPr>
          <w:rFonts w:ascii="Times New Roman" w:hAnsi="Times New Roman" w:cs="Times New Roman"/>
          <w:b/>
          <w:sz w:val="18"/>
          <w:szCs w:val="18"/>
        </w:rPr>
        <w:t xml:space="preserve"> FSEU.2022.MUP.</w:t>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t xml:space="preserve"> </w:t>
      </w:r>
    </w:p>
    <w:p w14:paraId="2A20E381" w14:textId="436B7F90" w:rsidR="001B6E45" w:rsidRPr="0097148D" w:rsidRDefault="006C2D2A" w:rsidP="001B6E45">
      <w:pPr>
        <w:spacing w:after="0" w:line="240" w:lineRule="auto"/>
        <w:rPr>
          <w:rFonts w:ascii="Times New Roman" w:hAnsi="Times New Roman" w:cs="Times New Roman"/>
          <w:b/>
          <w:bCs/>
          <w:sz w:val="18"/>
          <w:szCs w:val="18"/>
        </w:rPr>
      </w:pPr>
      <w:r w:rsidRPr="0097148D">
        <w:rPr>
          <w:rFonts w:ascii="Times New Roman" w:hAnsi="Times New Roman" w:cs="Times New Roman"/>
          <w:b/>
          <w:bCs/>
          <w:sz w:val="18"/>
          <w:szCs w:val="18"/>
        </w:rPr>
        <w:t>TIP NATJEČAJA:</w:t>
      </w:r>
      <w:r w:rsidR="00CF689F" w:rsidRPr="0097148D">
        <w:rPr>
          <w:rFonts w:ascii="Times New Roman" w:hAnsi="Times New Roman" w:cs="Times New Roman"/>
          <w:b/>
          <w:bCs/>
          <w:sz w:val="18"/>
          <w:szCs w:val="18"/>
        </w:rPr>
        <w:t xml:space="preserve"> OTVORENI POSTUPAK</w:t>
      </w:r>
    </w:p>
    <w:p w14:paraId="0F944CA7" w14:textId="50DA0528" w:rsidR="00461F02" w:rsidRPr="0097148D" w:rsidRDefault="001B6E45"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F51C3B" w:rsidRPr="0097148D">
        <w:rPr>
          <w:rFonts w:ascii="Times New Roman" w:hAnsi="Times New Roman" w:cs="Times New Roman"/>
          <w:b/>
          <w:sz w:val="18"/>
          <w:szCs w:val="18"/>
        </w:rPr>
        <w:t xml:space="preserve"> </w:t>
      </w:r>
    </w:p>
    <w:p w14:paraId="0199FBB4" w14:textId="11D662DB" w:rsidR="002632C2" w:rsidRPr="0097148D"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97148D" w:rsidRDefault="00A3084B" w:rsidP="00A3084B">
      <w:pPr>
        <w:spacing w:after="0" w:line="240" w:lineRule="auto"/>
        <w:jc w:val="both"/>
        <w:rPr>
          <w:rFonts w:ascii="Times New Roman" w:eastAsia="Times New Roman" w:hAnsi="Times New Roman" w:cs="Times New Roman"/>
          <w:sz w:val="18"/>
          <w:szCs w:val="18"/>
        </w:rPr>
      </w:pPr>
      <w:r w:rsidRPr="0097148D">
        <w:rPr>
          <w:rFonts w:ascii="Times New Roman" w:eastAsia="Times New Roman" w:hAnsi="Times New Roman" w:cs="Times New Roman"/>
          <w:sz w:val="18"/>
          <w:szCs w:val="18"/>
        </w:rPr>
        <w:t xml:space="preserve">Objavljeni odgovori dopunjuju i detaljnije pojašnjavaju dokumentaciju </w:t>
      </w:r>
      <w:r w:rsidR="001F23F6" w:rsidRPr="0097148D">
        <w:rPr>
          <w:rFonts w:ascii="Times New Roman" w:eastAsia="Times New Roman" w:hAnsi="Times New Roman" w:cs="Times New Roman"/>
          <w:sz w:val="18"/>
          <w:szCs w:val="18"/>
        </w:rPr>
        <w:t>Poziva na dostavu projektnih prijedloga (</w:t>
      </w:r>
      <w:r w:rsidRPr="0097148D">
        <w:rPr>
          <w:rFonts w:ascii="Times New Roman" w:eastAsia="Times New Roman" w:hAnsi="Times New Roman" w:cs="Times New Roman"/>
          <w:sz w:val="18"/>
          <w:szCs w:val="18"/>
        </w:rPr>
        <w:t>PDP</w:t>
      </w:r>
      <w:r w:rsidR="001F23F6" w:rsidRPr="0097148D">
        <w:rPr>
          <w:rFonts w:ascii="Times New Roman" w:eastAsia="Times New Roman" w:hAnsi="Times New Roman" w:cs="Times New Roman"/>
          <w:sz w:val="18"/>
          <w:szCs w:val="18"/>
        </w:rPr>
        <w:t>)</w:t>
      </w:r>
      <w:r w:rsidRPr="0097148D">
        <w:rPr>
          <w:rFonts w:ascii="Times New Roman" w:eastAsia="Times New Roman" w:hAnsi="Times New Roman" w:cs="Times New Roman"/>
          <w:sz w:val="18"/>
          <w:szCs w:val="18"/>
        </w:rPr>
        <w:t>. Odgovor na pojedino pitanje mora biti eksplicitan, ali u svojoj cjelini i</w:t>
      </w:r>
      <w:r w:rsidR="00256FC4" w:rsidRPr="0097148D">
        <w:rPr>
          <w:rFonts w:ascii="Times New Roman" w:eastAsia="Times New Roman" w:hAnsi="Times New Roman" w:cs="Times New Roman"/>
          <w:sz w:val="18"/>
          <w:szCs w:val="18"/>
        </w:rPr>
        <w:t>li</w:t>
      </w:r>
      <w:r w:rsidRPr="0097148D">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97148D" w:rsidRDefault="00893A7E" w:rsidP="00A3084B">
      <w:pPr>
        <w:spacing w:after="0" w:line="240" w:lineRule="auto"/>
        <w:jc w:val="both"/>
        <w:rPr>
          <w:rFonts w:ascii="Times New Roman" w:eastAsia="Times New Roman" w:hAnsi="Times New Roman" w:cs="Times New Roman"/>
          <w:sz w:val="18"/>
          <w:szCs w:val="18"/>
        </w:rPr>
      </w:pPr>
      <w:r w:rsidRPr="0097148D">
        <w:rPr>
          <w:rFonts w:ascii="Times New Roman" w:eastAsia="Times New Roman" w:hAnsi="Times New Roman" w:cs="Times New Roman"/>
          <w:sz w:val="18"/>
          <w:szCs w:val="18"/>
        </w:rPr>
        <w:t>U</w:t>
      </w:r>
      <w:r w:rsidR="0022540C" w:rsidRPr="0097148D">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sidRPr="0097148D">
        <w:rPr>
          <w:rFonts w:ascii="Times New Roman" w:hAnsi="Times New Roman" w:cs="Times New Roman"/>
          <w:color w:val="000000"/>
          <w:sz w:val="18"/>
          <w:szCs w:val="18"/>
        </w:rPr>
        <w:t>operacije</w:t>
      </w:r>
      <w:r w:rsidR="0022540C" w:rsidRPr="0097148D">
        <w:rPr>
          <w:rFonts w:ascii="Times New Roman" w:hAnsi="Times New Roman" w:cs="Times New Roman"/>
          <w:color w:val="000000"/>
          <w:sz w:val="18"/>
          <w:szCs w:val="18"/>
        </w:rPr>
        <w:t xml:space="preserve"> ili određenih aktivnosti i troškova</w:t>
      </w:r>
      <w:r w:rsidR="002632C2" w:rsidRPr="0097148D">
        <w:rPr>
          <w:rFonts w:ascii="Times New Roman" w:hAnsi="Times New Roman" w:cs="Times New Roman"/>
          <w:color w:val="000000"/>
          <w:sz w:val="18"/>
          <w:szCs w:val="18"/>
        </w:rPr>
        <w:t xml:space="preserve"> te ne </w:t>
      </w:r>
      <w:r w:rsidR="0022540C" w:rsidRPr="0097148D">
        <w:rPr>
          <w:rFonts w:ascii="Times New Roman" w:eastAsia="Times New Roman" w:hAnsi="Times New Roman" w:cs="Times New Roman"/>
          <w:sz w:val="18"/>
          <w:szCs w:val="18"/>
        </w:rPr>
        <w:t>može zamijeniti niti prejudicirati ishod pojedinih faza postupka dodjele kako su opisane u U</w:t>
      </w:r>
      <w:r w:rsidR="00F20EFA" w:rsidRPr="0097148D">
        <w:rPr>
          <w:rFonts w:ascii="Times New Roman" w:eastAsia="Times New Roman" w:hAnsi="Times New Roman" w:cs="Times New Roman"/>
          <w:sz w:val="18"/>
          <w:szCs w:val="18"/>
        </w:rPr>
        <w:t>zP-u</w:t>
      </w:r>
      <w:r w:rsidR="0022540C" w:rsidRPr="0097148D">
        <w:rPr>
          <w:rFonts w:ascii="Times New Roman" w:eastAsia="Times New Roman" w:hAnsi="Times New Roman" w:cs="Times New Roman"/>
          <w:sz w:val="18"/>
          <w:szCs w:val="18"/>
        </w:rPr>
        <w:t xml:space="preserve">. </w:t>
      </w:r>
      <w:r w:rsidR="0022540C" w:rsidRPr="0097148D">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sidRPr="0097148D">
        <w:rPr>
          <w:rFonts w:ascii="Times New Roman" w:eastAsia="Times New Roman" w:hAnsi="Times New Roman" w:cs="Times New Roman"/>
          <w:sz w:val="18"/>
          <w:szCs w:val="18"/>
          <w:u w:val="single"/>
        </w:rPr>
        <w:t>e</w:t>
      </w:r>
      <w:r w:rsidR="0022540C" w:rsidRPr="0097148D">
        <w:rPr>
          <w:rFonts w:ascii="Times New Roman" w:eastAsia="Times New Roman" w:hAnsi="Times New Roman" w:cs="Times New Roman"/>
          <w:sz w:val="18"/>
          <w:szCs w:val="18"/>
          <w:u w:val="single"/>
        </w:rPr>
        <w:t xml:space="preserve"> </w:t>
      </w:r>
      <w:r w:rsidR="00690177" w:rsidRPr="0097148D">
        <w:rPr>
          <w:rFonts w:ascii="Times New Roman" w:eastAsia="Times New Roman" w:hAnsi="Times New Roman" w:cs="Times New Roman"/>
          <w:sz w:val="18"/>
          <w:szCs w:val="18"/>
          <w:u w:val="single"/>
        </w:rPr>
        <w:t>operacije</w:t>
      </w:r>
      <w:r w:rsidR="0022540C" w:rsidRPr="0097148D">
        <w:rPr>
          <w:rFonts w:ascii="Times New Roman" w:eastAsia="Times New Roman" w:hAnsi="Times New Roman" w:cs="Times New Roman"/>
          <w:sz w:val="18"/>
          <w:szCs w:val="18"/>
          <w:u w:val="single"/>
        </w:rPr>
        <w:t xml:space="preserve">, konkretnog </w:t>
      </w:r>
      <w:r w:rsidR="001F23F6" w:rsidRPr="0097148D">
        <w:rPr>
          <w:rFonts w:ascii="Times New Roman" w:eastAsia="Times New Roman" w:hAnsi="Times New Roman" w:cs="Times New Roman"/>
          <w:sz w:val="18"/>
          <w:szCs w:val="18"/>
          <w:u w:val="single"/>
        </w:rPr>
        <w:t>p</w:t>
      </w:r>
      <w:r w:rsidR="0022540C" w:rsidRPr="0097148D">
        <w:rPr>
          <w:rFonts w:ascii="Times New Roman" w:eastAsia="Times New Roman" w:hAnsi="Times New Roman" w:cs="Times New Roman"/>
          <w:sz w:val="18"/>
          <w:szCs w:val="18"/>
          <w:u w:val="single"/>
        </w:rPr>
        <w:t>rijavitelja, konkretnih aktivnosti, konkretnih troškova i slično.</w:t>
      </w:r>
      <w:r w:rsidR="0022540C" w:rsidRPr="0097148D">
        <w:rPr>
          <w:rFonts w:ascii="Times New Roman" w:eastAsia="Times New Roman" w:hAnsi="Times New Roman" w:cs="Times New Roman"/>
          <w:sz w:val="18"/>
          <w:szCs w:val="18"/>
        </w:rPr>
        <w:t xml:space="preserve"> U slučaju takvih pitanja, </w:t>
      </w:r>
      <w:r w:rsidR="002632C2" w:rsidRPr="0097148D">
        <w:rPr>
          <w:rFonts w:ascii="Times New Roman" w:eastAsia="Times New Roman" w:hAnsi="Times New Roman" w:cs="Times New Roman"/>
          <w:sz w:val="18"/>
          <w:szCs w:val="18"/>
        </w:rPr>
        <w:t xml:space="preserve">odgovor </w:t>
      </w:r>
      <w:r w:rsidR="0022540C" w:rsidRPr="0097148D">
        <w:rPr>
          <w:rFonts w:ascii="Times New Roman" w:eastAsia="Times New Roman" w:hAnsi="Times New Roman" w:cs="Times New Roman"/>
          <w:sz w:val="18"/>
          <w:szCs w:val="18"/>
        </w:rPr>
        <w:t>nadležno</w:t>
      </w:r>
      <w:r w:rsidR="002632C2" w:rsidRPr="0097148D">
        <w:rPr>
          <w:rFonts w:ascii="Times New Roman" w:eastAsia="Times New Roman" w:hAnsi="Times New Roman" w:cs="Times New Roman"/>
          <w:sz w:val="18"/>
          <w:szCs w:val="18"/>
        </w:rPr>
        <w:t>g</w:t>
      </w:r>
      <w:r w:rsidR="0022540C" w:rsidRPr="0097148D">
        <w:rPr>
          <w:rFonts w:ascii="Times New Roman" w:eastAsia="Times New Roman" w:hAnsi="Times New Roman" w:cs="Times New Roman"/>
          <w:sz w:val="18"/>
          <w:szCs w:val="18"/>
        </w:rPr>
        <w:t xml:space="preserve"> tijel</w:t>
      </w:r>
      <w:r w:rsidR="002632C2" w:rsidRPr="0097148D">
        <w:rPr>
          <w:rFonts w:ascii="Times New Roman" w:eastAsia="Times New Roman" w:hAnsi="Times New Roman" w:cs="Times New Roman"/>
          <w:sz w:val="18"/>
          <w:szCs w:val="18"/>
        </w:rPr>
        <w:t>a</w:t>
      </w:r>
      <w:r w:rsidR="0022540C" w:rsidRPr="0097148D">
        <w:rPr>
          <w:rFonts w:ascii="Times New Roman" w:eastAsia="Times New Roman" w:hAnsi="Times New Roman" w:cs="Times New Roman"/>
          <w:sz w:val="18"/>
          <w:szCs w:val="18"/>
        </w:rPr>
        <w:t xml:space="preserve"> će upu</w:t>
      </w:r>
      <w:r w:rsidR="002632C2" w:rsidRPr="0097148D">
        <w:rPr>
          <w:rFonts w:ascii="Times New Roman" w:eastAsia="Times New Roman" w:hAnsi="Times New Roman" w:cs="Times New Roman"/>
          <w:sz w:val="18"/>
          <w:szCs w:val="18"/>
        </w:rPr>
        <w:t>ćivati</w:t>
      </w:r>
      <w:r w:rsidR="0022540C" w:rsidRPr="0097148D">
        <w:rPr>
          <w:rFonts w:ascii="Times New Roman" w:eastAsia="Times New Roman" w:hAnsi="Times New Roman" w:cs="Times New Roman"/>
          <w:sz w:val="18"/>
          <w:szCs w:val="18"/>
        </w:rPr>
        <w:t xml:space="preserve"> na relevantni dio dokumentacije P</w:t>
      </w:r>
      <w:r w:rsidR="00913041" w:rsidRPr="0097148D">
        <w:rPr>
          <w:rFonts w:ascii="Times New Roman" w:eastAsia="Times New Roman" w:hAnsi="Times New Roman" w:cs="Times New Roman"/>
          <w:sz w:val="18"/>
          <w:szCs w:val="18"/>
        </w:rPr>
        <w:t>DP-</w:t>
      </w:r>
      <w:r w:rsidR="0022540C" w:rsidRPr="0097148D">
        <w:rPr>
          <w:rFonts w:ascii="Times New Roman" w:hAnsi="Times New Roman" w:cs="Times New Roman"/>
          <w:sz w:val="18"/>
          <w:szCs w:val="18"/>
        </w:rPr>
        <w:t xml:space="preserve">a. </w:t>
      </w:r>
      <w:r w:rsidR="0022540C" w:rsidRPr="0097148D">
        <w:rPr>
          <w:rFonts w:ascii="Times New Roman" w:eastAsia="Times New Roman" w:hAnsi="Times New Roman" w:cs="Times New Roman"/>
          <w:sz w:val="18"/>
          <w:szCs w:val="18"/>
        </w:rPr>
        <w:t xml:space="preserve"> </w:t>
      </w:r>
    </w:p>
    <w:p w14:paraId="1E78F6EC" w14:textId="77777777" w:rsidR="00F20EFA" w:rsidRPr="0097148D" w:rsidRDefault="00F20EFA" w:rsidP="00913041">
      <w:pPr>
        <w:spacing w:after="0" w:line="240" w:lineRule="auto"/>
        <w:jc w:val="both"/>
        <w:rPr>
          <w:rFonts w:ascii="Times New Roman" w:eastAsia="Times New Roman" w:hAnsi="Times New Roman"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461F02" w:rsidRPr="0097148D" w14:paraId="4DF658F4" w14:textId="77777777" w:rsidTr="00690177">
        <w:trPr>
          <w:trHeight w:val="433"/>
        </w:trPr>
        <w:tc>
          <w:tcPr>
            <w:tcW w:w="567" w:type="dxa"/>
            <w:shd w:val="clear" w:color="auto" w:fill="C5E0B3" w:themeFill="accent6" w:themeFillTint="66"/>
          </w:tcPr>
          <w:p w14:paraId="21A57E76" w14:textId="77777777" w:rsidR="00461F02" w:rsidRPr="0097148D" w:rsidRDefault="00461F02" w:rsidP="00313FE4">
            <w:pPr>
              <w:jc w:val="center"/>
              <w:rPr>
                <w:b/>
                <w:lang w:val="hr-HR"/>
              </w:rPr>
            </w:pPr>
          </w:p>
        </w:tc>
        <w:tc>
          <w:tcPr>
            <w:tcW w:w="6095" w:type="dxa"/>
            <w:shd w:val="clear" w:color="auto" w:fill="C5E0B3" w:themeFill="accent6" w:themeFillTint="66"/>
          </w:tcPr>
          <w:p w14:paraId="64F131F8" w14:textId="77777777" w:rsidR="00461F02" w:rsidRPr="0097148D" w:rsidRDefault="00461F02" w:rsidP="00461F02">
            <w:pPr>
              <w:jc w:val="right"/>
              <w:rPr>
                <w:b/>
                <w:lang w:val="hr-HR"/>
              </w:rPr>
            </w:pPr>
            <w:r w:rsidRPr="0097148D">
              <w:rPr>
                <w:b/>
                <w:lang w:val="hr-HR"/>
              </w:rPr>
              <w:t xml:space="preserve">VERZIJA: </w:t>
            </w:r>
          </w:p>
        </w:tc>
        <w:tc>
          <w:tcPr>
            <w:tcW w:w="6946" w:type="dxa"/>
            <w:shd w:val="clear" w:color="auto" w:fill="C5E0B3" w:themeFill="accent6" w:themeFillTint="66"/>
          </w:tcPr>
          <w:p w14:paraId="1416E906" w14:textId="121D5D06" w:rsidR="00461F02" w:rsidRPr="0097148D" w:rsidRDefault="00F050C4" w:rsidP="00424267">
            <w:pPr>
              <w:rPr>
                <w:b/>
                <w:lang w:val="hr-HR"/>
              </w:rPr>
            </w:pPr>
            <w:r w:rsidRPr="0097148D">
              <w:rPr>
                <w:b/>
                <w:lang w:val="hr-HR"/>
              </w:rPr>
              <w:t>1.2</w:t>
            </w:r>
          </w:p>
        </w:tc>
      </w:tr>
      <w:tr w:rsidR="002A5212" w:rsidRPr="0097148D" w14:paraId="591A585F" w14:textId="77777777" w:rsidTr="00690177">
        <w:trPr>
          <w:trHeight w:val="433"/>
        </w:trPr>
        <w:tc>
          <w:tcPr>
            <w:tcW w:w="567" w:type="dxa"/>
            <w:shd w:val="clear" w:color="auto" w:fill="C5E0B3" w:themeFill="accent6" w:themeFillTint="66"/>
          </w:tcPr>
          <w:p w14:paraId="7EBF774E" w14:textId="77777777" w:rsidR="002A5212" w:rsidRPr="0097148D" w:rsidRDefault="002A5212" w:rsidP="00313FE4">
            <w:pPr>
              <w:jc w:val="center"/>
              <w:rPr>
                <w:b/>
                <w:lang w:val="hr-HR"/>
              </w:rPr>
            </w:pPr>
          </w:p>
        </w:tc>
        <w:tc>
          <w:tcPr>
            <w:tcW w:w="6095" w:type="dxa"/>
            <w:shd w:val="clear" w:color="auto" w:fill="C5E0B3" w:themeFill="accent6" w:themeFillTint="66"/>
          </w:tcPr>
          <w:p w14:paraId="1250F668" w14:textId="62BFC962" w:rsidR="002A5212" w:rsidRPr="0097148D" w:rsidRDefault="002A5212" w:rsidP="00781612">
            <w:pPr>
              <w:jc w:val="right"/>
              <w:rPr>
                <w:b/>
                <w:lang w:val="hr-HR"/>
              </w:rPr>
            </w:pPr>
            <w:r w:rsidRPr="0097148D">
              <w:rPr>
                <w:b/>
                <w:lang w:val="hr-HR"/>
              </w:rPr>
              <w:t xml:space="preserve">OBJAVA SVIH PITANJA/ODGOVORA IZ VERZIJE </w:t>
            </w:r>
            <w:r w:rsidR="00F050C4" w:rsidRPr="0097148D">
              <w:rPr>
                <w:b/>
                <w:lang w:val="hr-HR"/>
              </w:rPr>
              <w:t>1.2</w:t>
            </w:r>
            <w:r w:rsidRPr="0097148D">
              <w:rPr>
                <w:b/>
                <w:lang w:val="hr-HR"/>
              </w:rPr>
              <w:t>:</w:t>
            </w:r>
          </w:p>
        </w:tc>
        <w:tc>
          <w:tcPr>
            <w:tcW w:w="6946" w:type="dxa"/>
            <w:shd w:val="clear" w:color="auto" w:fill="C5E0B3" w:themeFill="accent6" w:themeFillTint="66"/>
          </w:tcPr>
          <w:p w14:paraId="4709AC0D" w14:textId="03969BCE" w:rsidR="002A5212" w:rsidRPr="0097148D" w:rsidRDefault="00F050C4" w:rsidP="00F522CF">
            <w:pPr>
              <w:rPr>
                <w:b/>
                <w:color w:val="FF0000"/>
                <w:lang w:val="hr-HR"/>
              </w:rPr>
            </w:pPr>
            <w:r w:rsidRPr="0097148D">
              <w:rPr>
                <w:b/>
                <w:lang w:val="hr-HR"/>
              </w:rPr>
              <w:t>3</w:t>
            </w:r>
            <w:r w:rsidR="00F522CF" w:rsidRPr="0097148D">
              <w:rPr>
                <w:b/>
                <w:lang w:val="hr-HR"/>
              </w:rPr>
              <w:t>. SET PITANJA I ODGOVORA</w:t>
            </w:r>
          </w:p>
        </w:tc>
      </w:tr>
      <w:tr w:rsidR="001421EB" w:rsidRPr="0097148D" w14:paraId="636D4E54" w14:textId="77777777" w:rsidTr="00A600DE">
        <w:trPr>
          <w:trHeight w:val="433"/>
        </w:trPr>
        <w:tc>
          <w:tcPr>
            <w:tcW w:w="567" w:type="dxa"/>
            <w:shd w:val="clear" w:color="auto" w:fill="538135" w:themeFill="accent6" w:themeFillShade="BF"/>
          </w:tcPr>
          <w:p w14:paraId="36240794" w14:textId="77777777" w:rsidR="001421EB" w:rsidRPr="0097148D" w:rsidRDefault="001421EB" w:rsidP="00313FE4">
            <w:pPr>
              <w:jc w:val="center"/>
              <w:rPr>
                <w:b/>
                <w:sz w:val="22"/>
                <w:szCs w:val="22"/>
                <w:lang w:val="hr-HR"/>
              </w:rPr>
            </w:pPr>
            <w:r w:rsidRPr="0097148D">
              <w:rPr>
                <w:b/>
                <w:color w:val="FFFFFF" w:themeColor="background1"/>
                <w:sz w:val="22"/>
                <w:szCs w:val="22"/>
                <w:lang w:val="hr-HR"/>
              </w:rPr>
              <w:t>RB</w:t>
            </w:r>
          </w:p>
        </w:tc>
        <w:tc>
          <w:tcPr>
            <w:tcW w:w="6095" w:type="dxa"/>
            <w:shd w:val="clear" w:color="auto" w:fill="538135" w:themeFill="accent6" w:themeFillShade="BF"/>
          </w:tcPr>
          <w:p w14:paraId="1F437EE7" w14:textId="21340E42" w:rsidR="001421EB" w:rsidRPr="0097148D" w:rsidRDefault="00324620" w:rsidP="00471101">
            <w:pPr>
              <w:rPr>
                <w:b/>
                <w:sz w:val="22"/>
                <w:szCs w:val="22"/>
                <w:lang w:val="hr-HR"/>
              </w:rPr>
            </w:pPr>
            <w:r w:rsidRPr="0097148D">
              <w:rPr>
                <w:b/>
                <w:color w:val="FFFFFF" w:themeColor="background1"/>
                <w:sz w:val="22"/>
                <w:szCs w:val="22"/>
                <w:lang w:val="hr-HR"/>
              </w:rPr>
              <w:t xml:space="preserve">DATUM ZAPRIMANJA </w:t>
            </w:r>
            <w:r w:rsidR="001421EB" w:rsidRPr="0097148D">
              <w:rPr>
                <w:b/>
                <w:color w:val="FFFFFF" w:themeColor="background1"/>
                <w:sz w:val="22"/>
                <w:szCs w:val="22"/>
                <w:lang w:val="hr-HR"/>
              </w:rPr>
              <w:t>PITANJ</w:t>
            </w:r>
            <w:r w:rsidRPr="0097148D">
              <w:rPr>
                <w:b/>
                <w:color w:val="FFFFFF" w:themeColor="background1"/>
                <w:sz w:val="22"/>
                <w:szCs w:val="22"/>
                <w:lang w:val="hr-HR"/>
              </w:rPr>
              <w:t>A</w:t>
            </w:r>
            <w:r w:rsidR="00F41132" w:rsidRPr="0097148D">
              <w:rPr>
                <w:b/>
                <w:color w:val="FFFFFF" w:themeColor="background1"/>
                <w:sz w:val="22"/>
                <w:szCs w:val="22"/>
                <w:lang w:val="hr-HR"/>
              </w:rPr>
              <w:t xml:space="preserve">: </w:t>
            </w:r>
            <w:r w:rsidR="00F050C4" w:rsidRPr="0097148D">
              <w:rPr>
                <w:b/>
                <w:color w:val="FFFFFF" w:themeColor="background1"/>
                <w:sz w:val="22"/>
                <w:szCs w:val="22"/>
                <w:lang w:val="hr-HR"/>
              </w:rPr>
              <w:t>21</w:t>
            </w:r>
            <w:r w:rsidR="00471101" w:rsidRPr="0097148D">
              <w:rPr>
                <w:b/>
                <w:color w:val="FFFFFF" w:themeColor="background1"/>
                <w:sz w:val="22"/>
                <w:szCs w:val="22"/>
                <w:lang w:val="hr-HR"/>
              </w:rPr>
              <w:t>. siječnja 2022.</w:t>
            </w:r>
          </w:p>
        </w:tc>
        <w:tc>
          <w:tcPr>
            <w:tcW w:w="6946" w:type="dxa"/>
            <w:shd w:val="clear" w:color="auto" w:fill="538135" w:themeFill="accent6" w:themeFillShade="BF"/>
          </w:tcPr>
          <w:p w14:paraId="7B6817FD" w14:textId="029B13C3" w:rsidR="001421EB" w:rsidRPr="0097148D" w:rsidRDefault="00324620" w:rsidP="00F050C4">
            <w:pPr>
              <w:rPr>
                <w:b/>
                <w:sz w:val="22"/>
                <w:szCs w:val="22"/>
                <w:lang w:val="hr-HR"/>
              </w:rPr>
            </w:pPr>
            <w:r w:rsidRPr="0097148D">
              <w:rPr>
                <w:b/>
                <w:color w:val="FFFFFF" w:themeColor="background1"/>
                <w:sz w:val="22"/>
                <w:szCs w:val="22"/>
                <w:lang w:val="hr-HR"/>
              </w:rPr>
              <w:t>DATUM O</w:t>
            </w:r>
            <w:r w:rsidR="001421EB" w:rsidRPr="0097148D">
              <w:rPr>
                <w:b/>
                <w:color w:val="FFFFFF" w:themeColor="background1"/>
                <w:sz w:val="22"/>
                <w:szCs w:val="22"/>
                <w:lang w:val="hr-HR"/>
              </w:rPr>
              <w:t>DGOVOR</w:t>
            </w:r>
            <w:r w:rsidRPr="0097148D">
              <w:rPr>
                <w:b/>
                <w:color w:val="FFFFFF" w:themeColor="background1"/>
                <w:sz w:val="22"/>
                <w:szCs w:val="22"/>
                <w:lang w:val="hr-HR"/>
              </w:rPr>
              <w:t>A</w:t>
            </w:r>
            <w:r w:rsidR="00345819" w:rsidRPr="0097148D">
              <w:rPr>
                <w:b/>
                <w:color w:val="FFFFFF" w:themeColor="background1"/>
                <w:sz w:val="22"/>
                <w:szCs w:val="22"/>
                <w:lang w:val="hr-HR"/>
              </w:rPr>
              <w:t xml:space="preserve"> NA PITANJE:</w:t>
            </w:r>
            <w:r w:rsidR="002C0AB7" w:rsidRPr="0097148D">
              <w:rPr>
                <w:b/>
                <w:color w:val="FFFFFF" w:themeColor="background1"/>
                <w:sz w:val="22"/>
                <w:szCs w:val="22"/>
                <w:lang w:val="hr-HR"/>
              </w:rPr>
              <w:t xml:space="preserve"> </w:t>
            </w:r>
            <w:r w:rsidR="00F050C4" w:rsidRPr="0097148D">
              <w:rPr>
                <w:b/>
                <w:color w:val="FFFFFF" w:themeColor="background1"/>
                <w:sz w:val="22"/>
                <w:szCs w:val="22"/>
                <w:lang w:val="hr-HR"/>
              </w:rPr>
              <w:t>2. veljače 2022.</w:t>
            </w:r>
          </w:p>
        </w:tc>
      </w:tr>
      <w:tr w:rsidR="001421EB" w:rsidRPr="0097148D" w14:paraId="0DB6FC75" w14:textId="77777777" w:rsidTr="002C5F04">
        <w:trPr>
          <w:trHeight w:val="343"/>
        </w:trPr>
        <w:tc>
          <w:tcPr>
            <w:tcW w:w="567" w:type="dxa"/>
            <w:vAlign w:val="center"/>
          </w:tcPr>
          <w:p w14:paraId="31ECE4DD" w14:textId="65393912" w:rsidR="001421EB" w:rsidRPr="00573224" w:rsidRDefault="00471101" w:rsidP="00471101">
            <w:pPr>
              <w:tabs>
                <w:tab w:val="left" w:pos="176"/>
              </w:tabs>
              <w:ind w:left="95"/>
              <w:jc w:val="right"/>
              <w:rPr>
                <w:b/>
                <w:lang w:val="hr-HR"/>
              </w:rPr>
            </w:pPr>
            <w:r w:rsidRPr="00573224">
              <w:rPr>
                <w:b/>
                <w:lang w:val="hr-HR"/>
              </w:rPr>
              <w:t>1.</w:t>
            </w:r>
          </w:p>
        </w:tc>
        <w:tc>
          <w:tcPr>
            <w:tcW w:w="6095" w:type="dxa"/>
          </w:tcPr>
          <w:p w14:paraId="6814D14B" w14:textId="5FC03A63" w:rsidR="001421EB" w:rsidRPr="0097148D" w:rsidRDefault="00F050C4" w:rsidP="00D82761">
            <w:pPr>
              <w:jc w:val="both"/>
              <w:rPr>
                <w:lang w:val="hr-HR"/>
              </w:rPr>
            </w:pPr>
            <w:r w:rsidRPr="0097148D">
              <w:rPr>
                <w:lang w:val="hr-HR"/>
              </w:rPr>
              <w:t>Može li se u sklopu projektnog prijedloga potraživati trošak popravka vozila za kvar koji je nastao na vozilu na putu na intervenciju u Petrinju?</w:t>
            </w:r>
          </w:p>
        </w:tc>
        <w:tc>
          <w:tcPr>
            <w:tcW w:w="6946" w:type="dxa"/>
          </w:tcPr>
          <w:p w14:paraId="6F5D3FF3" w14:textId="63A26557" w:rsidR="009F08AB" w:rsidRPr="0037735B" w:rsidRDefault="009F08AB" w:rsidP="009F08AB">
            <w:pPr>
              <w:jc w:val="both"/>
              <w:rPr>
                <w:lang w:val="hr-HR"/>
              </w:rPr>
            </w:pPr>
            <w:r>
              <w:rPr>
                <w:lang w:val="hr-HR"/>
              </w:rPr>
              <w:t xml:space="preserve">Ne može se potraživati trošak popravka vozila za kvar koji je nastao na putu na intervenciju sukladno Uputama za prijavitelje točka </w:t>
            </w:r>
            <w:r w:rsidRPr="009F08AB">
              <w:rPr>
                <w:i/>
                <w:lang w:val="hr-HR"/>
              </w:rPr>
              <w:t>2.9. Prihvatljivi troškovi</w:t>
            </w:r>
            <w:r>
              <w:rPr>
                <w:i/>
                <w:lang w:val="hr-HR"/>
              </w:rPr>
              <w:t>,</w:t>
            </w:r>
            <w:r>
              <w:t xml:space="preserve"> </w:t>
            </w:r>
            <w:r w:rsidRPr="009F08AB">
              <w:rPr>
                <w:i/>
                <w:lang w:val="hr-HR"/>
              </w:rPr>
              <w:t xml:space="preserve">Popravljanje opreme za potrebe službi spašavanja vezane uz uklanjanje posljedica potresa </w:t>
            </w:r>
            <w:r w:rsidR="0037735B">
              <w:rPr>
                <w:i/>
                <w:lang w:val="hr-HR"/>
              </w:rPr>
              <w:t xml:space="preserve">te izvanredno korištenje opreme </w:t>
            </w:r>
            <w:r w:rsidR="0037735B">
              <w:rPr>
                <w:lang w:val="hr-HR"/>
              </w:rPr>
              <w:t>kojom su navedeni sljedeći prihvatljivi troškovi:</w:t>
            </w:r>
          </w:p>
          <w:p w14:paraId="15647FB8" w14:textId="3803835A" w:rsidR="009F08AB" w:rsidRPr="009F08AB" w:rsidRDefault="009F08AB" w:rsidP="009F08AB">
            <w:pPr>
              <w:jc w:val="both"/>
              <w:rPr>
                <w:i/>
                <w:lang w:val="hr-HR"/>
              </w:rPr>
            </w:pPr>
            <w:r>
              <w:rPr>
                <w:i/>
                <w:lang w:val="hr-HR"/>
              </w:rPr>
              <w:t xml:space="preserve">• </w:t>
            </w:r>
            <w:r w:rsidRPr="009F08AB">
              <w:rPr>
                <w:i/>
                <w:lang w:val="hr-HR"/>
              </w:rPr>
              <w:t xml:space="preserve">troškovi  popravljanja opreme oštećene tijekom interventnih zahvata; </w:t>
            </w:r>
          </w:p>
          <w:p w14:paraId="2D1C1AA7" w14:textId="12E134EF" w:rsidR="009F08AB" w:rsidRDefault="009F08AB" w:rsidP="009F08AB">
            <w:pPr>
              <w:jc w:val="both"/>
              <w:rPr>
                <w:i/>
                <w:lang w:val="hr-HR"/>
              </w:rPr>
            </w:pPr>
            <w:r>
              <w:rPr>
                <w:i/>
                <w:lang w:val="hr-HR"/>
              </w:rPr>
              <w:t xml:space="preserve">• </w:t>
            </w:r>
            <w:r w:rsidRPr="009F08AB">
              <w:rPr>
                <w:i/>
                <w:lang w:val="hr-HR"/>
              </w:rPr>
              <w:t>troškovi izvanrednog korištenja opreme u povećanom opsegu;</w:t>
            </w:r>
          </w:p>
          <w:p w14:paraId="01AE1061" w14:textId="4DC40471" w:rsidR="001421EB" w:rsidRPr="009F08AB" w:rsidRDefault="001421EB" w:rsidP="009F08AB">
            <w:pPr>
              <w:jc w:val="both"/>
              <w:rPr>
                <w:lang w:val="hr-HR"/>
              </w:rPr>
            </w:pPr>
          </w:p>
        </w:tc>
      </w:tr>
      <w:tr w:rsidR="00F050C4" w:rsidRPr="0097148D" w14:paraId="6C7327A7" w14:textId="77777777" w:rsidTr="002C5F04">
        <w:trPr>
          <w:trHeight w:val="343"/>
        </w:trPr>
        <w:tc>
          <w:tcPr>
            <w:tcW w:w="567" w:type="dxa"/>
            <w:vAlign w:val="center"/>
          </w:tcPr>
          <w:p w14:paraId="57EE4980" w14:textId="1B013CB1" w:rsidR="00F050C4" w:rsidRPr="00573224" w:rsidRDefault="00F050C4" w:rsidP="00471101">
            <w:pPr>
              <w:tabs>
                <w:tab w:val="left" w:pos="176"/>
              </w:tabs>
              <w:ind w:left="95"/>
              <w:jc w:val="right"/>
              <w:rPr>
                <w:b/>
                <w:lang w:val="hr-HR"/>
              </w:rPr>
            </w:pPr>
            <w:r w:rsidRPr="00573224">
              <w:rPr>
                <w:b/>
                <w:lang w:val="hr-HR"/>
              </w:rPr>
              <w:t>2.</w:t>
            </w:r>
          </w:p>
        </w:tc>
        <w:tc>
          <w:tcPr>
            <w:tcW w:w="6095" w:type="dxa"/>
          </w:tcPr>
          <w:p w14:paraId="6B86A46A" w14:textId="16790F25" w:rsidR="00F050C4" w:rsidRPr="0097148D" w:rsidRDefault="00F050C4" w:rsidP="00D82761">
            <w:pPr>
              <w:jc w:val="both"/>
              <w:rPr>
                <w:lang w:val="hr-HR"/>
              </w:rPr>
            </w:pPr>
            <w:r w:rsidRPr="0097148D">
              <w:rPr>
                <w:lang w:val="hr-HR"/>
              </w:rPr>
              <w:t>Na koji je način potrebno/moguće dokazati da je kvar nastao tijekom intervencije službe za spašavanje na potresom pogođenom području?</w:t>
            </w:r>
          </w:p>
        </w:tc>
        <w:tc>
          <w:tcPr>
            <w:tcW w:w="6946" w:type="dxa"/>
          </w:tcPr>
          <w:p w14:paraId="275E6C72" w14:textId="43850F94" w:rsidR="00F050C4" w:rsidRPr="0097148D" w:rsidRDefault="005775B7" w:rsidP="008541A2">
            <w:pPr>
              <w:jc w:val="both"/>
              <w:rPr>
                <w:lang w:val="hr-HR"/>
              </w:rPr>
            </w:pPr>
            <w:r>
              <w:rPr>
                <w:lang w:val="hr-HR"/>
              </w:rPr>
              <w:t>Moguće je dokazati zapisnikom o nastalom kvaru i/ili drugom ovjerenom dokaznom dokumentacijom.</w:t>
            </w:r>
          </w:p>
        </w:tc>
      </w:tr>
      <w:tr w:rsidR="00F050C4" w:rsidRPr="0097148D" w14:paraId="548A5A8A" w14:textId="77777777" w:rsidTr="002C5F04">
        <w:trPr>
          <w:trHeight w:val="343"/>
        </w:trPr>
        <w:tc>
          <w:tcPr>
            <w:tcW w:w="567" w:type="dxa"/>
            <w:vAlign w:val="center"/>
          </w:tcPr>
          <w:p w14:paraId="3FC637D6" w14:textId="02F53F8D" w:rsidR="00F050C4" w:rsidRPr="00573224" w:rsidRDefault="00F050C4" w:rsidP="00471101">
            <w:pPr>
              <w:tabs>
                <w:tab w:val="left" w:pos="176"/>
              </w:tabs>
              <w:ind w:left="95"/>
              <w:jc w:val="right"/>
              <w:rPr>
                <w:b/>
                <w:lang w:val="hr-HR"/>
              </w:rPr>
            </w:pPr>
            <w:r w:rsidRPr="00573224">
              <w:rPr>
                <w:b/>
                <w:lang w:val="hr-HR"/>
              </w:rPr>
              <w:t>3.</w:t>
            </w:r>
          </w:p>
        </w:tc>
        <w:tc>
          <w:tcPr>
            <w:tcW w:w="6095" w:type="dxa"/>
          </w:tcPr>
          <w:p w14:paraId="3258D115" w14:textId="0A3EDD61" w:rsidR="00F050C4" w:rsidRPr="0097148D" w:rsidRDefault="00F050C4" w:rsidP="00D82761">
            <w:pPr>
              <w:jc w:val="both"/>
              <w:rPr>
                <w:lang w:val="hr-HR"/>
              </w:rPr>
            </w:pPr>
            <w:r w:rsidRPr="0097148D">
              <w:rPr>
                <w:lang w:val="hr-HR"/>
              </w:rPr>
              <w:t xml:space="preserve">Je li prihvatljiv trošak nabavke opreme koju služba za spašavanje nije imala u vlasništvu te je morala  posuđivati od drugih gospodarskih subjekata i građana, a zatim je ta ista oprema tijekom intervencije </w:t>
            </w:r>
            <w:r w:rsidRPr="0097148D">
              <w:rPr>
                <w:lang w:val="hr-HR"/>
              </w:rPr>
              <w:lastRenderedPageBreak/>
              <w:t>oštećena/uništena? Naime, kod takve opreme ne postoji pisani (knjigovodstveni) trag o otpisu i/ili popravku iste.</w:t>
            </w:r>
          </w:p>
        </w:tc>
        <w:tc>
          <w:tcPr>
            <w:tcW w:w="6946" w:type="dxa"/>
          </w:tcPr>
          <w:p w14:paraId="1459CFEC" w14:textId="52AEAB13" w:rsidR="00F050C4" w:rsidRPr="0097148D" w:rsidRDefault="0021201B" w:rsidP="008541A2">
            <w:pPr>
              <w:jc w:val="both"/>
              <w:rPr>
                <w:lang w:val="hr-HR"/>
              </w:rPr>
            </w:pPr>
            <w:r>
              <w:rPr>
                <w:lang w:val="hr-HR"/>
              </w:rPr>
              <w:lastRenderedPageBreak/>
              <w:t>Navedeni trošak nije prihvatljiv.</w:t>
            </w:r>
          </w:p>
        </w:tc>
      </w:tr>
    </w:tbl>
    <w:p w14:paraId="418E8CBE" w14:textId="28BF8D35" w:rsidR="00CF689F" w:rsidRPr="0097148D" w:rsidRDefault="00CF689F" w:rsidP="00002E6E">
      <w:pPr>
        <w:spacing w:after="0" w:line="240" w:lineRule="auto"/>
        <w:jc w:val="both"/>
        <w:rPr>
          <w:rFonts w:ascii="Times New Roman" w:hAnsi="Times New Roman" w:cs="Times New Roman"/>
          <w:sz w:val="24"/>
          <w:szCs w:val="24"/>
        </w:rPr>
      </w:pPr>
    </w:p>
    <w:p w14:paraId="57990238" w14:textId="77777777" w:rsidR="00F050C4" w:rsidRPr="0097148D" w:rsidRDefault="00F050C4" w:rsidP="00002E6E">
      <w:pPr>
        <w:spacing w:after="0" w:line="240" w:lineRule="auto"/>
        <w:jc w:val="both"/>
        <w:rPr>
          <w:rFonts w:ascii="Times New Roman" w:hAnsi="Times New Roman" w:cs="Times New Roman"/>
          <w:sz w:val="24"/>
          <w:szCs w:val="24"/>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77279C" w:rsidRPr="0097148D" w14:paraId="1B1D26DD" w14:textId="77777777" w:rsidTr="00471101">
        <w:trPr>
          <w:trHeight w:val="433"/>
        </w:trPr>
        <w:tc>
          <w:tcPr>
            <w:tcW w:w="567" w:type="dxa"/>
            <w:shd w:val="clear" w:color="auto" w:fill="C5E0B3" w:themeFill="accent6" w:themeFillTint="66"/>
          </w:tcPr>
          <w:p w14:paraId="29E85513" w14:textId="77777777" w:rsidR="0077279C" w:rsidRPr="0097148D" w:rsidRDefault="0077279C" w:rsidP="00E43107">
            <w:pPr>
              <w:jc w:val="center"/>
              <w:rPr>
                <w:b/>
                <w:lang w:val="hr-HR"/>
              </w:rPr>
            </w:pPr>
            <w:r w:rsidRPr="0097148D">
              <w:rPr>
                <w:sz w:val="24"/>
                <w:szCs w:val="24"/>
                <w:lang w:val="hr-HR"/>
              </w:rPr>
              <w:br w:type="page"/>
            </w:r>
          </w:p>
        </w:tc>
        <w:tc>
          <w:tcPr>
            <w:tcW w:w="6095" w:type="dxa"/>
            <w:shd w:val="clear" w:color="auto" w:fill="C5E0B3" w:themeFill="accent6" w:themeFillTint="66"/>
          </w:tcPr>
          <w:p w14:paraId="51148BA6" w14:textId="77777777" w:rsidR="0077279C" w:rsidRPr="0097148D" w:rsidRDefault="0077279C" w:rsidP="00E43107">
            <w:pPr>
              <w:jc w:val="right"/>
              <w:rPr>
                <w:b/>
                <w:lang w:val="hr-HR"/>
              </w:rPr>
            </w:pPr>
            <w:r w:rsidRPr="0097148D">
              <w:rPr>
                <w:b/>
                <w:lang w:val="hr-HR"/>
              </w:rPr>
              <w:t xml:space="preserve">VERZIJA: </w:t>
            </w:r>
          </w:p>
        </w:tc>
        <w:tc>
          <w:tcPr>
            <w:tcW w:w="6946" w:type="dxa"/>
            <w:shd w:val="clear" w:color="auto" w:fill="C5E0B3" w:themeFill="accent6" w:themeFillTint="66"/>
          </w:tcPr>
          <w:p w14:paraId="1C3E3FAA" w14:textId="3E510DA1" w:rsidR="0077279C" w:rsidRPr="0097148D" w:rsidRDefault="00F050C4" w:rsidP="0077279C">
            <w:pPr>
              <w:rPr>
                <w:b/>
                <w:lang w:val="hr-HR"/>
              </w:rPr>
            </w:pPr>
            <w:r w:rsidRPr="0097148D">
              <w:rPr>
                <w:b/>
                <w:lang w:val="hr-HR"/>
              </w:rPr>
              <w:t>1.2</w:t>
            </w:r>
          </w:p>
        </w:tc>
      </w:tr>
      <w:tr w:rsidR="0077279C" w:rsidRPr="0097148D" w14:paraId="0BD4C546" w14:textId="77777777" w:rsidTr="00471101">
        <w:trPr>
          <w:trHeight w:val="433"/>
        </w:trPr>
        <w:tc>
          <w:tcPr>
            <w:tcW w:w="567" w:type="dxa"/>
            <w:shd w:val="clear" w:color="auto" w:fill="C5E0B3" w:themeFill="accent6" w:themeFillTint="66"/>
          </w:tcPr>
          <w:p w14:paraId="4868B86A" w14:textId="77777777" w:rsidR="0077279C" w:rsidRPr="0097148D" w:rsidRDefault="0077279C" w:rsidP="00E43107">
            <w:pPr>
              <w:jc w:val="center"/>
              <w:rPr>
                <w:b/>
                <w:lang w:val="hr-HR"/>
              </w:rPr>
            </w:pPr>
          </w:p>
        </w:tc>
        <w:tc>
          <w:tcPr>
            <w:tcW w:w="6095" w:type="dxa"/>
            <w:shd w:val="clear" w:color="auto" w:fill="C5E0B3" w:themeFill="accent6" w:themeFillTint="66"/>
          </w:tcPr>
          <w:p w14:paraId="747782F6" w14:textId="042BA71A" w:rsidR="0077279C" w:rsidRPr="0097148D" w:rsidRDefault="0077279C" w:rsidP="00781612">
            <w:pPr>
              <w:jc w:val="right"/>
              <w:rPr>
                <w:b/>
                <w:lang w:val="hr-HR"/>
              </w:rPr>
            </w:pPr>
            <w:r w:rsidRPr="0097148D">
              <w:rPr>
                <w:b/>
                <w:lang w:val="hr-HR"/>
              </w:rPr>
              <w:t xml:space="preserve">OBJAVA SVIH </w:t>
            </w:r>
            <w:r w:rsidR="002A5212" w:rsidRPr="0097148D">
              <w:rPr>
                <w:b/>
                <w:lang w:val="hr-HR"/>
              </w:rPr>
              <w:t>PITANJA/</w:t>
            </w:r>
            <w:r w:rsidRPr="0097148D">
              <w:rPr>
                <w:b/>
                <w:lang w:val="hr-HR"/>
              </w:rPr>
              <w:t xml:space="preserve">ODGOVORA IZ VERZIJE </w:t>
            </w:r>
            <w:r w:rsidR="00F050C4" w:rsidRPr="0097148D">
              <w:rPr>
                <w:b/>
                <w:lang w:val="hr-HR"/>
              </w:rPr>
              <w:t>1.2</w:t>
            </w:r>
            <w:r w:rsidRPr="0097148D">
              <w:rPr>
                <w:b/>
                <w:lang w:val="hr-HR"/>
              </w:rPr>
              <w:t>:</w:t>
            </w:r>
          </w:p>
        </w:tc>
        <w:tc>
          <w:tcPr>
            <w:tcW w:w="6946" w:type="dxa"/>
            <w:shd w:val="clear" w:color="auto" w:fill="C5E0B3" w:themeFill="accent6" w:themeFillTint="66"/>
          </w:tcPr>
          <w:p w14:paraId="27E80A02" w14:textId="49F7082A" w:rsidR="0077279C" w:rsidRPr="0097148D" w:rsidRDefault="006C2E43" w:rsidP="00471101">
            <w:pPr>
              <w:rPr>
                <w:b/>
                <w:color w:val="FF0000"/>
                <w:lang w:val="hr-HR"/>
              </w:rPr>
            </w:pPr>
            <w:r w:rsidRPr="0097148D">
              <w:rPr>
                <w:b/>
                <w:lang w:val="hr-HR"/>
              </w:rPr>
              <w:t>3</w:t>
            </w:r>
            <w:r w:rsidR="00471101" w:rsidRPr="0097148D">
              <w:rPr>
                <w:b/>
                <w:lang w:val="hr-HR"/>
              </w:rPr>
              <w:t>. SET PITANJA I ODGOVORA</w:t>
            </w:r>
          </w:p>
        </w:tc>
      </w:tr>
      <w:tr w:rsidR="0077279C" w:rsidRPr="0097148D" w14:paraId="49EF036B" w14:textId="77777777" w:rsidTr="00324620">
        <w:trPr>
          <w:trHeight w:val="433"/>
        </w:trPr>
        <w:tc>
          <w:tcPr>
            <w:tcW w:w="567" w:type="dxa"/>
            <w:shd w:val="clear" w:color="auto" w:fill="538135" w:themeFill="accent6" w:themeFillShade="BF"/>
          </w:tcPr>
          <w:p w14:paraId="34E50940" w14:textId="77777777" w:rsidR="0077279C" w:rsidRPr="0097148D" w:rsidRDefault="0077279C" w:rsidP="00E43107">
            <w:pPr>
              <w:jc w:val="center"/>
              <w:rPr>
                <w:b/>
                <w:sz w:val="22"/>
                <w:szCs w:val="22"/>
                <w:lang w:val="hr-HR"/>
              </w:rPr>
            </w:pPr>
            <w:r w:rsidRPr="0097148D">
              <w:rPr>
                <w:b/>
                <w:color w:val="FFFFFF" w:themeColor="background1"/>
                <w:sz w:val="22"/>
                <w:szCs w:val="22"/>
                <w:lang w:val="hr-HR"/>
              </w:rPr>
              <w:t>RB</w:t>
            </w:r>
          </w:p>
        </w:tc>
        <w:tc>
          <w:tcPr>
            <w:tcW w:w="6095" w:type="dxa"/>
            <w:shd w:val="clear" w:color="auto" w:fill="538135" w:themeFill="accent6" w:themeFillShade="BF"/>
          </w:tcPr>
          <w:p w14:paraId="51A0B7D0" w14:textId="5139084C" w:rsidR="0077279C" w:rsidRPr="0097148D" w:rsidRDefault="00324620" w:rsidP="00324620">
            <w:pPr>
              <w:rPr>
                <w:b/>
                <w:sz w:val="22"/>
                <w:szCs w:val="22"/>
                <w:lang w:val="hr-HR"/>
              </w:rPr>
            </w:pPr>
            <w:r w:rsidRPr="0097148D">
              <w:rPr>
                <w:b/>
                <w:color w:val="FFFFFF" w:themeColor="background1"/>
                <w:sz w:val="22"/>
                <w:szCs w:val="22"/>
                <w:lang w:val="hr-HR"/>
              </w:rPr>
              <w:t xml:space="preserve">DATUM ZAPRIMANJA </w:t>
            </w:r>
            <w:r w:rsidR="0077279C" w:rsidRPr="0097148D">
              <w:rPr>
                <w:b/>
                <w:color w:val="FFFFFF" w:themeColor="background1"/>
                <w:sz w:val="22"/>
                <w:szCs w:val="22"/>
                <w:lang w:val="hr-HR"/>
              </w:rPr>
              <w:t>PITANJ</w:t>
            </w:r>
            <w:r w:rsidRPr="0097148D">
              <w:rPr>
                <w:b/>
                <w:color w:val="FFFFFF" w:themeColor="background1"/>
                <w:sz w:val="22"/>
                <w:szCs w:val="22"/>
                <w:lang w:val="hr-HR"/>
              </w:rPr>
              <w:t>A</w:t>
            </w:r>
            <w:r w:rsidR="0077279C" w:rsidRPr="0097148D">
              <w:rPr>
                <w:b/>
                <w:color w:val="FFFFFF" w:themeColor="background1"/>
                <w:sz w:val="22"/>
                <w:szCs w:val="22"/>
                <w:lang w:val="hr-HR"/>
              </w:rPr>
              <w:t xml:space="preserve">: </w:t>
            </w:r>
            <w:r w:rsidR="00F050C4" w:rsidRPr="0097148D">
              <w:rPr>
                <w:b/>
                <w:color w:val="FFFFFF" w:themeColor="background1"/>
                <w:sz w:val="22"/>
                <w:szCs w:val="22"/>
                <w:lang w:val="hr-HR"/>
              </w:rPr>
              <w:t xml:space="preserve"> 24</w:t>
            </w:r>
            <w:r w:rsidR="00471101" w:rsidRPr="0097148D">
              <w:rPr>
                <w:b/>
                <w:color w:val="FFFFFF" w:themeColor="background1"/>
                <w:sz w:val="22"/>
                <w:szCs w:val="22"/>
                <w:lang w:val="hr-HR"/>
              </w:rPr>
              <w:t>. siječanja 2022.</w:t>
            </w:r>
          </w:p>
        </w:tc>
        <w:tc>
          <w:tcPr>
            <w:tcW w:w="6946" w:type="dxa"/>
            <w:shd w:val="clear" w:color="auto" w:fill="538135" w:themeFill="accent6" w:themeFillShade="BF"/>
          </w:tcPr>
          <w:p w14:paraId="1DB87F0E" w14:textId="30E22545" w:rsidR="0077279C" w:rsidRPr="0097148D" w:rsidRDefault="00324620" w:rsidP="00F050C4">
            <w:pPr>
              <w:rPr>
                <w:b/>
                <w:sz w:val="22"/>
                <w:szCs w:val="22"/>
                <w:lang w:val="hr-HR"/>
              </w:rPr>
            </w:pPr>
            <w:r w:rsidRPr="0097148D">
              <w:rPr>
                <w:b/>
                <w:color w:val="FFFFFF" w:themeColor="background1"/>
                <w:sz w:val="22"/>
                <w:szCs w:val="22"/>
                <w:lang w:val="hr-HR"/>
              </w:rPr>
              <w:t xml:space="preserve">DATUM </w:t>
            </w:r>
            <w:r w:rsidR="0077279C" w:rsidRPr="0097148D">
              <w:rPr>
                <w:b/>
                <w:color w:val="FFFFFF" w:themeColor="background1"/>
                <w:sz w:val="22"/>
                <w:szCs w:val="22"/>
                <w:lang w:val="hr-HR"/>
              </w:rPr>
              <w:t>ODGOVOR</w:t>
            </w:r>
            <w:r w:rsidRPr="0097148D">
              <w:rPr>
                <w:b/>
                <w:color w:val="FFFFFF" w:themeColor="background1"/>
                <w:sz w:val="22"/>
                <w:szCs w:val="22"/>
                <w:lang w:val="hr-HR"/>
              </w:rPr>
              <w:t>A</w:t>
            </w:r>
            <w:r w:rsidR="0077279C" w:rsidRPr="0097148D">
              <w:rPr>
                <w:b/>
                <w:color w:val="FFFFFF" w:themeColor="background1"/>
                <w:sz w:val="22"/>
                <w:szCs w:val="22"/>
                <w:lang w:val="hr-HR"/>
              </w:rPr>
              <w:t xml:space="preserve"> NA PITANJE:</w:t>
            </w:r>
            <w:r w:rsidR="00F050C4" w:rsidRPr="0097148D">
              <w:rPr>
                <w:b/>
                <w:color w:val="FFFFFF" w:themeColor="background1"/>
                <w:sz w:val="22"/>
                <w:szCs w:val="22"/>
                <w:lang w:val="hr-HR"/>
              </w:rPr>
              <w:t xml:space="preserve"> 2</w:t>
            </w:r>
            <w:r w:rsidR="001E2835" w:rsidRPr="0097148D">
              <w:rPr>
                <w:b/>
                <w:color w:val="FFFFFF" w:themeColor="background1"/>
                <w:sz w:val="22"/>
                <w:szCs w:val="22"/>
                <w:lang w:val="hr-HR"/>
              </w:rPr>
              <w:t xml:space="preserve">. </w:t>
            </w:r>
            <w:r w:rsidR="00F050C4" w:rsidRPr="0097148D">
              <w:rPr>
                <w:b/>
                <w:color w:val="FFFFFF" w:themeColor="background1"/>
                <w:sz w:val="22"/>
                <w:szCs w:val="22"/>
                <w:lang w:val="hr-HR"/>
              </w:rPr>
              <w:t>veljače</w:t>
            </w:r>
            <w:r w:rsidR="001E2835" w:rsidRPr="0097148D">
              <w:rPr>
                <w:b/>
                <w:color w:val="FFFFFF" w:themeColor="background1"/>
                <w:sz w:val="22"/>
                <w:szCs w:val="22"/>
                <w:lang w:val="hr-HR"/>
              </w:rPr>
              <w:t xml:space="preserve"> 2022.</w:t>
            </w:r>
          </w:p>
        </w:tc>
      </w:tr>
      <w:tr w:rsidR="00471101" w:rsidRPr="0097148D" w14:paraId="101B0B78" w14:textId="77777777" w:rsidTr="00324620">
        <w:trPr>
          <w:trHeight w:val="434"/>
        </w:trPr>
        <w:tc>
          <w:tcPr>
            <w:tcW w:w="567" w:type="dxa"/>
            <w:vAlign w:val="center"/>
          </w:tcPr>
          <w:p w14:paraId="79C8732C" w14:textId="31796375" w:rsidR="00471101" w:rsidRPr="00573224" w:rsidRDefault="005775B7" w:rsidP="00471101">
            <w:pPr>
              <w:tabs>
                <w:tab w:val="left" w:pos="176"/>
              </w:tabs>
              <w:jc w:val="right"/>
              <w:rPr>
                <w:b/>
                <w:lang w:val="hr-HR"/>
              </w:rPr>
            </w:pPr>
            <w:r w:rsidRPr="00573224">
              <w:rPr>
                <w:b/>
                <w:lang w:val="hr-HR"/>
              </w:rPr>
              <w:t>4.</w:t>
            </w:r>
          </w:p>
        </w:tc>
        <w:tc>
          <w:tcPr>
            <w:tcW w:w="6095" w:type="dxa"/>
          </w:tcPr>
          <w:p w14:paraId="19F7608A" w14:textId="6049CFA1" w:rsidR="00471101" w:rsidRPr="0097148D" w:rsidRDefault="00F050C4" w:rsidP="00471101">
            <w:pPr>
              <w:jc w:val="both"/>
              <w:rPr>
                <w:lang w:val="hr-HR"/>
              </w:rPr>
            </w:pPr>
            <w:r w:rsidRPr="0097148D">
              <w:rPr>
                <w:lang w:val="hr-HR"/>
              </w:rPr>
              <w:t>Zbog čega se inzistira na ispunjavanju obrasca „Plan nabave“?</w:t>
            </w:r>
          </w:p>
        </w:tc>
        <w:tc>
          <w:tcPr>
            <w:tcW w:w="6946" w:type="dxa"/>
          </w:tcPr>
          <w:p w14:paraId="423F43DB" w14:textId="3DFFB69C" w:rsidR="008541A2" w:rsidRPr="0097148D" w:rsidRDefault="005775B7" w:rsidP="005775B7">
            <w:pPr>
              <w:jc w:val="both"/>
              <w:rPr>
                <w:lang w:val="hr-HR"/>
              </w:rPr>
            </w:pPr>
            <w:r>
              <w:rPr>
                <w:lang w:val="hr-HR"/>
              </w:rPr>
              <w:t xml:space="preserve">Sukladno stavku 7.2. članka 7. Općih uvjeta </w:t>
            </w:r>
            <w:r w:rsidRPr="005775B7">
              <w:rPr>
                <w:i/>
                <w:lang w:val="hr-HR"/>
              </w:rPr>
              <w:t>Korisnik je obvezan dostaviti TOPFD-u Plan nabave u roku od 15 (petnaest) radnih dana od</w:t>
            </w:r>
            <w:r>
              <w:rPr>
                <w:i/>
                <w:lang w:val="hr-HR"/>
              </w:rPr>
              <w:t xml:space="preserve"> dana stupanja Ugovora na snagu.</w:t>
            </w:r>
          </w:p>
        </w:tc>
      </w:tr>
      <w:tr w:rsidR="00471101" w:rsidRPr="0097148D" w14:paraId="5623D95C" w14:textId="77777777" w:rsidTr="00324620">
        <w:trPr>
          <w:trHeight w:val="434"/>
        </w:trPr>
        <w:tc>
          <w:tcPr>
            <w:tcW w:w="567" w:type="dxa"/>
            <w:vAlign w:val="center"/>
          </w:tcPr>
          <w:p w14:paraId="7893A513" w14:textId="4A68DE66" w:rsidR="00471101" w:rsidRPr="00573224" w:rsidRDefault="005775B7" w:rsidP="00471101">
            <w:pPr>
              <w:tabs>
                <w:tab w:val="left" w:pos="176"/>
              </w:tabs>
              <w:jc w:val="right"/>
              <w:rPr>
                <w:b/>
                <w:lang w:val="hr-HR"/>
              </w:rPr>
            </w:pPr>
            <w:r w:rsidRPr="00573224">
              <w:rPr>
                <w:b/>
                <w:lang w:val="hr-HR"/>
              </w:rPr>
              <w:t>5.</w:t>
            </w:r>
          </w:p>
        </w:tc>
        <w:tc>
          <w:tcPr>
            <w:tcW w:w="6095" w:type="dxa"/>
          </w:tcPr>
          <w:p w14:paraId="5330C9BB" w14:textId="6A76B9EF" w:rsidR="00471101" w:rsidRPr="0097148D" w:rsidRDefault="00F050C4" w:rsidP="00471101">
            <w:pPr>
              <w:jc w:val="both"/>
              <w:rPr>
                <w:lang w:val="hr-HR"/>
              </w:rPr>
            </w:pPr>
            <w:r w:rsidRPr="0097148D">
              <w:rPr>
                <w:lang w:val="hr-HR"/>
              </w:rPr>
              <w:t>Zbog čega se inzistira na potvrdama o uplati  ili isplatnicama vezano uz račune (dokumentarni dokaz o izvršenim uplatama za nastale troškove)?</w:t>
            </w:r>
          </w:p>
        </w:tc>
        <w:tc>
          <w:tcPr>
            <w:tcW w:w="6946" w:type="dxa"/>
          </w:tcPr>
          <w:p w14:paraId="11B7E048" w14:textId="49C096F1" w:rsidR="00471101" w:rsidRPr="0097148D" w:rsidRDefault="00926CFE" w:rsidP="00926CFE">
            <w:pPr>
              <w:jc w:val="both"/>
              <w:rPr>
                <w:lang w:val="hr-HR"/>
              </w:rPr>
            </w:pPr>
            <w:r>
              <w:rPr>
                <w:lang w:val="hr-HR"/>
              </w:rPr>
              <w:t>Popratna dokumentacija uz zahtjev za nadoknadu sredstva definirana je stavkom 14.4</w:t>
            </w:r>
            <w:r w:rsidRPr="00926CFE">
              <w:rPr>
                <w:lang w:val="hr-HR"/>
              </w:rPr>
              <w:t>. članka 14. Općih uvjeta</w:t>
            </w:r>
            <w:r>
              <w:rPr>
                <w:lang w:val="hr-HR"/>
              </w:rPr>
              <w:t xml:space="preserve"> </w:t>
            </w:r>
            <w:r w:rsidRPr="00926CFE">
              <w:rPr>
                <w:i/>
                <w:lang w:val="hr-HR"/>
              </w:rPr>
              <w:t>Ako se trošak potražuje metodom nadoknade u skladu s člankom 16. ovih Općih uvjeta, uz zahtjev za nadoknadu sredstava, osim dokumentacije navedene u stavku 14.3. ovoga članka, podnosi se dokumentarni dokaz o izvršenim uplatama za nastale troškove (</w:t>
            </w:r>
            <w:r w:rsidRPr="00926CFE">
              <w:rPr>
                <w:b/>
                <w:i/>
                <w:lang w:val="hr-HR"/>
              </w:rPr>
              <w:t>potvrda o plaćanju, bankovni izvadci, potvrde o gotovinskim plaćanjima, isplatnice, potvrde o izvršenoj uplati na temelju naloga za plaćanje Državnoj riznici ili drugi odgovarajući dokaz</w:t>
            </w:r>
            <w:r w:rsidRPr="00926CFE">
              <w:rPr>
                <w:i/>
                <w:lang w:val="hr-HR"/>
              </w:rPr>
              <w:t>) elektroničkim putem (sken izvornika).</w:t>
            </w:r>
          </w:p>
        </w:tc>
      </w:tr>
      <w:tr w:rsidR="00F050C4" w:rsidRPr="0097148D" w14:paraId="6775592D" w14:textId="77777777" w:rsidTr="00324620">
        <w:trPr>
          <w:trHeight w:val="434"/>
        </w:trPr>
        <w:tc>
          <w:tcPr>
            <w:tcW w:w="567" w:type="dxa"/>
            <w:vAlign w:val="center"/>
          </w:tcPr>
          <w:p w14:paraId="0D365122" w14:textId="1E2DEE28" w:rsidR="00F050C4" w:rsidRPr="0097148D" w:rsidRDefault="005775B7" w:rsidP="00471101">
            <w:pPr>
              <w:tabs>
                <w:tab w:val="left" w:pos="176"/>
              </w:tabs>
              <w:jc w:val="right"/>
              <w:rPr>
                <w:b/>
                <w:lang w:val="hr-HR"/>
              </w:rPr>
            </w:pPr>
            <w:r>
              <w:rPr>
                <w:b/>
                <w:lang w:val="hr-HR"/>
              </w:rPr>
              <w:t>6.</w:t>
            </w:r>
          </w:p>
        </w:tc>
        <w:tc>
          <w:tcPr>
            <w:tcW w:w="6095" w:type="dxa"/>
          </w:tcPr>
          <w:p w14:paraId="77D34543" w14:textId="7078DD2D" w:rsidR="00F050C4" w:rsidRPr="0097148D" w:rsidRDefault="00F050C4" w:rsidP="00471101">
            <w:pPr>
              <w:jc w:val="both"/>
              <w:rPr>
                <w:lang w:val="hr-HR"/>
              </w:rPr>
            </w:pPr>
            <w:r w:rsidRPr="0097148D">
              <w:rPr>
                <w:lang w:val="hr-HR"/>
              </w:rPr>
              <w:t>Zbog čega se inzistira na potvrdi o provedbi postupka javne nabave za gorivo?</w:t>
            </w:r>
          </w:p>
        </w:tc>
        <w:tc>
          <w:tcPr>
            <w:tcW w:w="6946" w:type="dxa"/>
          </w:tcPr>
          <w:p w14:paraId="7F151937" w14:textId="5AAAAE78" w:rsidR="00F050C4" w:rsidRPr="0097148D" w:rsidRDefault="00BE107C" w:rsidP="007571D3">
            <w:pPr>
              <w:jc w:val="both"/>
              <w:rPr>
                <w:lang w:val="hr-HR"/>
              </w:rPr>
            </w:pPr>
            <w:r w:rsidRPr="00BE107C">
              <w:rPr>
                <w:lang w:val="hr-HR"/>
              </w:rPr>
              <w:t>Korisnika se traže podaci i dokumentacija o provedenim postupcima javne nabave kako bi se provela pr</w:t>
            </w:r>
            <w:r>
              <w:rPr>
                <w:lang w:val="hr-HR"/>
              </w:rPr>
              <w:t>ovjera nabave jer sukladno Zajedničkim nacionalnim pravilima</w:t>
            </w:r>
            <w:r>
              <w:t xml:space="preserve"> </w:t>
            </w:r>
            <w:r w:rsidRPr="00BE107C">
              <w:rPr>
                <w:i/>
                <w:lang w:val="hr-HR"/>
              </w:rPr>
              <w:t>Ex-post provjera nabave podrazumijeva provjeru postupka nabave i obavezno se provodi, kako je opisano pod naslovom Provedba ex-post provjere.</w:t>
            </w:r>
            <w:r>
              <w:rPr>
                <w:lang w:val="hr-HR"/>
              </w:rPr>
              <w:t xml:space="preserve">   </w:t>
            </w:r>
          </w:p>
        </w:tc>
      </w:tr>
      <w:tr w:rsidR="00F050C4" w:rsidRPr="0097148D" w14:paraId="09E22CE7" w14:textId="77777777" w:rsidTr="00324620">
        <w:trPr>
          <w:trHeight w:val="434"/>
        </w:trPr>
        <w:tc>
          <w:tcPr>
            <w:tcW w:w="567" w:type="dxa"/>
            <w:vAlign w:val="center"/>
          </w:tcPr>
          <w:p w14:paraId="1120437E" w14:textId="64D89D16" w:rsidR="00F050C4" w:rsidRPr="0097148D" w:rsidRDefault="005775B7" w:rsidP="00471101">
            <w:pPr>
              <w:tabs>
                <w:tab w:val="left" w:pos="176"/>
              </w:tabs>
              <w:jc w:val="right"/>
              <w:rPr>
                <w:b/>
                <w:lang w:val="hr-HR"/>
              </w:rPr>
            </w:pPr>
            <w:bookmarkStart w:id="0" w:name="_GoBack"/>
            <w:bookmarkEnd w:id="0"/>
            <w:r>
              <w:rPr>
                <w:b/>
                <w:lang w:val="hr-HR"/>
              </w:rPr>
              <w:t>7.</w:t>
            </w:r>
          </w:p>
        </w:tc>
        <w:tc>
          <w:tcPr>
            <w:tcW w:w="6095" w:type="dxa"/>
          </w:tcPr>
          <w:p w14:paraId="1DC9E2D0" w14:textId="475D98FF" w:rsidR="00F050C4" w:rsidRPr="0097148D" w:rsidRDefault="00F050C4" w:rsidP="00471101">
            <w:pPr>
              <w:jc w:val="both"/>
              <w:rPr>
                <w:lang w:val="hr-HR"/>
              </w:rPr>
            </w:pPr>
            <w:r w:rsidRPr="0097148D">
              <w:rPr>
                <w:lang w:val="hr-HR"/>
              </w:rPr>
              <w:t>Kada smo dobili najvažnije informacije vezane uz provedbu operacije (na raspisu za potres u Zagrebu), navedeno je u točki 6., da prihvatljivi troškovi mogu biti plaćeni iz bespovratnih sredstava prije nego što je Korisnik isplatio (metoda plaćanja). Molimo pojašnjenje, da li se i kako može ostvariti ovaj način plaćanja.</w:t>
            </w:r>
          </w:p>
        </w:tc>
        <w:tc>
          <w:tcPr>
            <w:tcW w:w="6946" w:type="dxa"/>
          </w:tcPr>
          <w:p w14:paraId="650EF537" w14:textId="7B51784F" w:rsidR="00F050C4" w:rsidRPr="0097148D" w:rsidRDefault="0021201B" w:rsidP="007571D3">
            <w:pPr>
              <w:jc w:val="both"/>
              <w:rPr>
                <w:lang w:val="hr-HR"/>
              </w:rPr>
            </w:pPr>
            <w:r>
              <w:rPr>
                <w:lang w:val="hr-HR"/>
              </w:rPr>
              <w:t xml:space="preserve">Sukladno stavku 14.5. članka 14. Općih uvjeta </w:t>
            </w:r>
            <w:r w:rsidRPr="0021201B">
              <w:rPr>
                <w:i/>
                <w:lang w:val="hr-HR"/>
              </w:rPr>
              <w:t>Ako se trošak potražuje metodom plaćanja u skladu s člankom 16. ovih Općih uvjeta, dokumentarni dokaz o plaćanju prihvatljivih troškova mora se podnijeti TOPFD-u elektroničkim putem (sken izvornika), nakon što se izvrše isplate dobavljačima robe/izvođačima radova/pružateljima usluga, i to najkasnije u roku 10 (deset) dana od dana uplate sredstava Korisniku. Ako Korisnik ne dostavi dokumentarni dokaz o plaćanju, uvjetno odobreni troškovi koje Korisnik potražuje se proglašavaju neprihvatljivima te podliježu pravilima o povratu sredstava.</w:t>
            </w:r>
          </w:p>
        </w:tc>
      </w:tr>
    </w:tbl>
    <w:p w14:paraId="5B1D4B08" w14:textId="3892936C" w:rsidR="00471101" w:rsidRPr="0097148D" w:rsidRDefault="00471101" w:rsidP="00002E6E">
      <w:pPr>
        <w:spacing w:after="0" w:line="240" w:lineRule="auto"/>
        <w:jc w:val="both"/>
        <w:rPr>
          <w:rFonts w:ascii="Times New Roman" w:hAnsi="Times New Roman" w:cs="Times New Roman"/>
          <w:sz w:val="24"/>
          <w:szCs w:val="24"/>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471101" w:rsidRPr="0097148D" w14:paraId="54D74C4D" w14:textId="77777777" w:rsidTr="002F6137">
        <w:trPr>
          <w:trHeight w:val="433"/>
        </w:trPr>
        <w:tc>
          <w:tcPr>
            <w:tcW w:w="567" w:type="dxa"/>
            <w:shd w:val="clear" w:color="auto" w:fill="C5E0B3" w:themeFill="accent6" w:themeFillTint="66"/>
          </w:tcPr>
          <w:p w14:paraId="6FCF7F62" w14:textId="77777777" w:rsidR="00471101" w:rsidRPr="0097148D" w:rsidRDefault="00471101" w:rsidP="002F6137">
            <w:pPr>
              <w:jc w:val="center"/>
              <w:rPr>
                <w:b/>
                <w:lang w:val="hr-HR"/>
              </w:rPr>
            </w:pPr>
            <w:r w:rsidRPr="0097148D">
              <w:rPr>
                <w:sz w:val="24"/>
                <w:szCs w:val="24"/>
                <w:lang w:val="hr-HR"/>
              </w:rPr>
              <w:br w:type="page"/>
            </w:r>
          </w:p>
        </w:tc>
        <w:tc>
          <w:tcPr>
            <w:tcW w:w="6095" w:type="dxa"/>
            <w:shd w:val="clear" w:color="auto" w:fill="C5E0B3" w:themeFill="accent6" w:themeFillTint="66"/>
          </w:tcPr>
          <w:p w14:paraId="0656D44E" w14:textId="77777777" w:rsidR="00471101" w:rsidRPr="0097148D" w:rsidRDefault="00471101" w:rsidP="002F6137">
            <w:pPr>
              <w:jc w:val="right"/>
              <w:rPr>
                <w:b/>
                <w:lang w:val="hr-HR"/>
              </w:rPr>
            </w:pPr>
            <w:r w:rsidRPr="0097148D">
              <w:rPr>
                <w:b/>
                <w:lang w:val="hr-HR"/>
              </w:rPr>
              <w:t xml:space="preserve">VERZIJA: </w:t>
            </w:r>
          </w:p>
        </w:tc>
        <w:tc>
          <w:tcPr>
            <w:tcW w:w="6946" w:type="dxa"/>
            <w:shd w:val="clear" w:color="auto" w:fill="C5E0B3" w:themeFill="accent6" w:themeFillTint="66"/>
          </w:tcPr>
          <w:p w14:paraId="4C1B77FF" w14:textId="4D35C94E" w:rsidR="00471101" w:rsidRPr="0097148D" w:rsidRDefault="006C2E43" w:rsidP="002F6137">
            <w:pPr>
              <w:rPr>
                <w:b/>
                <w:lang w:val="hr-HR"/>
              </w:rPr>
            </w:pPr>
            <w:r w:rsidRPr="0097148D">
              <w:rPr>
                <w:b/>
                <w:lang w:val="hr-HR"/>
              </w:rPr>
              <w:t>1.2</w:t>
            </w:r>
          </w:p>
        </w:tc>
      </w:tr>
      <w:tr w:rsidR="00471101" w:rsidRPr="0097148D" w14:paraId="68A0445B" w14:textId="77777777" w:rsidTr="002F6137">
        <w:trPr>
          <w:trHeight w:val="433"/>
        </w:trPr>
        <w:tc>
          <w:tcPr>
            <w:tcW w:w="567" w:type="dxa"/>
            <w:shd w:val="clear" w:color="auto" w:fill="C5E0B3" w:themeFill="accent6" w:themeFillTint="66"/>
          </w:tcPr>
          <w:p w14:paraId="6296F791" w14:textId="77777777" w:rsidR="00471101" w:rsidRPr="0097148D" w:rsidRDefault="00471101" w:rsidP="002F6137">
            <w:pPr>
              <w:jc w:val="center"/>
              <w:rPr>
                <w:b/>
                <w:lang w:val="hr-HR"/>
              </w:rPr>
            </w:pPr>
          </w:p>
        </w:tc>
        <w:tc>
          <w:tcPr>
            <w:tcW w:w="6095" w:type="dxa"/>
            <w:shd w:val="clear" w:color="auto" w:fill="C5E0B3" w:themeFill="accent6" w:themeFillTint="66"/>
          </w:tcPr>
          <w:p w14:paraId="54A46E76" w14:textId="7477C524" w:rsidR="00471101" w:rsidRPr="0097148D" w:rsidRDefault="00471101" w:rsidP="002F6137">
            <w:pPr>
              <w:jc w:val="right"/>
              <w:rPr>
                <w:b/>
                <w:lang w:val="hr-HR"/>
              </w:rPr>
            </w:pPr>
            <w:r w:rsidRPr="0097148D">
              <w:rPr>
                <w:b/>
                <w:lang w:val="hr-HR"/>
              </w:rPr>
              <w:t xml:space="preserve">OBJAVA SVIH PITANJA/ODGOVORA IZ VERZIJE </w:t>
            </w:r>
            <w:r w:rsidR="006C2E43" w:rsidRPr="0097148D">
              <w:rPr>
                <w:b/>
                <w:lang w:val="hr-HR"/>
              </w:rPr>
              <w:t>1.2</w:t>
            </w:r>
            <w:r w:rsidRPr="0097148D">
              <w:rPr>
                <w:b/>
                <w:lang w:val="hr-HR"/>
              </w:rPr>
              <w:t>:</w:t>
            </w:r>
          </w:p>
        </w:tc>
        <w:tc>
          <w:tcPr>
            <w:tcW w:w="6946" w:type="dxa"/>
            <w:shd w:val="clear" w:color="auto" w:fill="C5E0B3" w:themeFill="accent6" w:themeFillTint="66"/>
          </w:tcPr>
          <w:p w14:paraId="432E7737" w14:textId="65E2DF0B" w:rsidR="00471101" w:rsidRPr="0097148D" w:rsidRDefault="006C2E43" w:rsidP="002F6137">
            <w:pPr>
              <w:rPr>
                <w:b/>
                <w:color w:val="FF0000"/>
                <w:lang w:val="hr-HR"/>
              </w:rPr>
            </w:pPr>
            <w:r w:rsidRPr="0097148D">
              <w:rPr>
                <w:b/>
                <w:lang w:val="hr-HR"/>
              </w:rPr>
              <w:t>3</w:t>
            </w:r>
            <w:r w:rsidR="00471101" w:rsidRPr="0097148D">
              <w:rPr>
                <w:b/>
                <w:lang w:val="hr-HR"/>
              </w:rPr>
              <w:t>. SET PITANJA I ODGOVORA</w:t>
            </w:r>
          </w:p>
        </w:tc>
      </w:tr>
      <w:tr w:rsidR="00471101" w:rsidRPr="0097148D" w14:paraId="00880BEE" w14:textId="77777777" w:rsidTr="002F6137">
        <w:trPr>
          <w:trHeight w:val="433"/>
        </w:trPr>
        <w:tc>
          <w:tcPr>
            <w:tcW w:w="567" w:type="dxa"/>
            <w:shd w:val="clear" w:color="auto" w:fill="538135" w:themeFill="accent6" w:themeFillShade="BF"/>
          </w:tcPr>
          <w:p w14:paraId="676B4CEB" w14:textId="77777777" w:rsidR="00471101" w:rsidRPr="0097148D" w:rsidRDefault="00471101" w:rsidP="002F6137">
            <w:pPr>
              <w:jc w:val="center"/>
              <w:rPr>
                <w:b/>
                <w:sz w:val="22"/>
                <w:szCs w:val="22"/>
                <w:lang w:val="hr-HR"/>
              </w:rPr>
            </w:pPr>
            <w:r w:rsidRPr="0097148D">
              <w:rPr>
                <w:b/>
                <w:color w:val="FFFFFF" w:themeColor="background1"/>
                <w:sz w:val="22"/>
                <w:szCs w:val="22"/>
                <w:lang w:val="hr-HR"/>
              </w:rPr>
              <w:t>RB</w:t>
            </w:r>
          </w:p>
        </w:tc>
        <w:tc>
          <w:tcPr>
            <w:tcW w:w="6095" w:type="dxa"/>
            <w:shd w:val="clear" w:color="auto" w:fill="538135" w:themeFill="accent6" w:themeFillShade="BF"/>
          </w:tcPr>
          <w:p w14:paraId="1A72C8DC" w14:textId="50565756" w:rsidR="00471101" w:rsidRPr="0097148D" w:rsidRDefault="00471101" w:rsidP="002F6137">
            <w:pPr>
              <w:rPr>
                <w:b/>
                <w:sz w:val="22"/>
                <w:szCs w:val="22"/>
                <w:lang w:val="hr-HR"/>
              </w:rPr>
            </w:pPr>
            <w:r w:rsidRPr="0097148D">
              <w:rPr>
                <w:b/>
                <w:color w:val="FFFFFF" w:themeColor="background1"/>
                <w:sz w:val="22"/>
                <w:szCs w:val="22"/>
                <w:lang w:val="hr-HR"/>
              </w:rPr>
              <w:t xml:space="preserve">DATUM ZAPRIMANJA PITANJA: </w:t>
            </w:r>
            <w:r w:rsidR="006C2E43" w:rsidRPr="0097148D">
              <w:rPr>
                <w:b/>
                <w:color w:val="FFFFFF" w:themeColor="background1"/>
                <w:sz w:val="22"/>
                <w:szCs w:val="22"/>
                <w:lang w:val="hr-HR"/>
              </w:rPr>
              <w:t xml:space="preserve"> 26</w:t>
            </w:r>
            <w:r w:rsidRPr="0097148D">
              <w:rPr>
                <w:b/>
                <w:color w:val="FFFFFF" w:themeColor="background1"/>
                <w:sz w:val="22"/>
                <w:szCs w:val="22"/>
                <w:lang w:val="hr-HR"/>
              </w:rPr>
              <w:t>. siječanja 2022.</w:t>
            </w:r>
          </w:p>
        </w:tc>
        <w:tc>
          <w:tcPr>
            <w:tcW w:w="6946" w:type="dxa"/>
            <w:shd w:val="clear" w:color="auto" w:fill="538135" w:themeFill="accent6" w:themeFillShade="BF"/>
          </w:tcPr>
          <w:p w14:paraId="40907291" w14:textId="24B0901E" w:rsidR="00471101" w:rsidRPr="0097148D" w:rsidRDefault="00471101" w:rsidP="006C2E43">
            <w:pPr>
              <w:rPr>
                <w:b/>
                <w:sz w:val="22"/>
                <w:szCs w:val="22"/>
                <w:lang w:val="hr-HR"/>
              </w:rPr>
            </w:pPr>
            <w:r w:rsidRPr="0097148D">
              <w:rPr>
                <w:b/>
                <w:color w:val="FFFFFF" w:themeColor="background1"/>
                <w:sz w:val="22"/>
                <w:szCs w:val="22"/>
                <w:lang w:val="hr-HR"/>
              </w:rPr>
              <w:t>DATUM ODGOVORA NA PITANJE:</w:t>
            </w:r>
            <w:r w:rsidR="006C2E43" w:rsidRPr="0097148D">
              <w:rPr>
                <w:b/>
                <w:color w:val="FFFFFF" w:themeColor="background1"/>
                <w:sz w:val="22"/>
                <w:szCs w:val="22"/>
                <w:lang w:val="hr-HR"/>
              </w:rPr>
              <w:t xml:space="preserve"> 2</w:t>
            </w:r>
            <w:r w:rsidR="001E2835" w:rsidRPr="0097148D">
              <w:rPr>
                <w:b/>
                <w:color w:val="FFFFFF" w:themeColor="background1"/>
                <w:sz w:val="22"/>
                <w:szCs w:val="22"/>
                <w:lang w:val="hr-HR"/>
              </w:rPr>
              <w:t>.</w:t>
            </w:r>
            <w:r w:rsidR="00376A59" w:rsidRPr="0097148D">
              <w:rPr>
                <w:b/>
                <w:color w:val="FFFFFF" w:themeColor="background1"/>
                <w:sz w:val="22"/>
                <w:szCs w:val="22"/>
                <w:lang w:val="hr-HR"/>
              </w:rPr>
              <w:t xml:space="preserve"> </w:t>
            </w:r>
            <w:r w:rsidR="006C2E43" w:rsidRPr="0097148D">
              <w:rPr>
                <w:b/>
                <w:color w:val="FFFFFF" w:themeColor="background1"/>
                <w:sz w:val="22"/>
                <w:szCs w:val="22"/>
                <w:lang w:val="hr-HR"/>
              </w:rPr>
              <w:t>veljače</w:t>
            </w:r>
            <w:r w:rsidR="001E2835" w:rsidRPr="0097148D">
              <w:rPr>
                <w:b/>
                <w:color w:val="FFFFFF" w:themeColor="background1"/>
                <w:sz w:val="22"/>
                <w:szCs w:val="22"/>
                <w:lang w:val="hr-HR"/>
              </w:rPr>
              <w:t xml:space="preserve"> 2022.</w:t>
            </w:r>
          </w:p>
        </w:tc>
      </w:tr>
      <w:tr w:rsidR="00C219F1" w:rsidRPr="0097148D" w14:paraId="05932B5D" w14:textId="77777777" w:rsidTr="00587DFF">
        <w:trPr>
          <w:trHeight w:val="433"/>
        </w:trPr>
        <w:tc>
          <w:tcPr>
            <w:tcW w:w="567" w:type="dxa"/>
            <w:shd w:val="clear" w:color="auto" w:fill="auto"/>
          </w:tcPr>
          <w:p w14:paraId="47A0E0BD" w14:textId="35FB0A65" w:rsidR="00C219F1" w:rsidRPr="00573224" w:rsidRDefault="00BF30C3" w:rsidP="00587DFF">
            <w:pPr>
              <w:jc w:val="right"/>
              <w:rPr>
                <w:b/>
                <w:lang w:val="hr-HR"/>
              </w:rPr>
            </w:pPr>
            <w:r w:rsidRPr="00573224">
              <w:rPr>
                <w:b/>
                <w:lang w:val="hr-HR"/>
              </w:rPr>
              <w:t>8</w:t>
            </w:r>
            <w:r w:rsidR="005775B7" w:rsidRPr="00573224">
              <w:rPr>
                <w:b/>
                <w:lang w:val="hr-HR"/>
              </w:rPr>
              <w:t>.</w:t>
            </w:r>
          </w:p>
        </w:tc>
        <w:tc>
          <w:tcPr>
            <w:tcW w:w="6095" w:type="dxa"/>
            <w:shd w:val="clear" w:color="auto" w:fill="auto"/>
          </w:tcPr>
          <w:p w14:paraId="01DA8709" w14:textId="07906AA0" w:rsidR="00C219F1" w:rsidRPr="0097148D" w:rsidRDefault="006C2E43" w:rsidP="00C219F1">
            <w:pPr>
              <w:rPr>
                <w:lang w:val="hr-HR"/>
              </w:rPr>
            </w:pPr>
            <w:r w:rsidRPr="0097148D">
              <w:rPr>
                <w:lang w:val="hr-HR"/>
              </w:rPr>
              <w:t>Mogu li se potraživati troškovi informiranja stanovništva o potresima u sklopu prijave na Fond, iako još nisu utrošena, već su u fazi pripreme i izrade te se planiraju utrošiti, kao i nabava IKT opreme/IT aplikacije za obavještavanje stanovništva o potresima?</w:t>
            </w:r>
          </w:p>
        </w:tc>
        <w:tc>
          <w:tcPr>
            <w:tcW w:w="6946" w:type="dxa"/>
            <w:shd w:val="clear" w:color="auto" w:fill="auto"/>
          </w:tcPr>
          <w:p w14:paraId="45171D01" w14:textId="77777777" w:rsidR="00C219F1" w:rsidRDefault="00B95C1B" w:rsidP="00B95C1B">
            <w:pPr>
              <w:rPr>
                <w:i/>
                <w:lang w:val="hr-HR"/>
              </w:rPr>
            </w:pPr>
            <w:r>
              <w:rPr>
                <w:lang w:val="hr-HR"/>
              </w:rPr>
              <w:t xml:space="preserve">Mogu sukladno točki 5.1. Uputa za prijavitelje koja određuje kako </w:t>
            </w:r>
            <w:r w:rsidRPr="00B95C1B">
              <w:rPr>
                <w:i/>
                <w:lang w:val="hr-HR"/>
              </w:rPr>
              <w:t>Provedba operacije smije započeti najranije 28. prosinca 2020. godine, a mora se dovršiti do 15. svibnja 2023. godine, s mogućnošću produljenja u opravdanim slučajevima ako tako nadležan TOPFD odluči.</w:t>
            </w:r>
          </w:p>
          <w:p w14:paraId="377B059D" w14:textId="73A00714" w:rsidR="00B95C1B" w:rsidRPr="00B95C1B" w:rsidRDefault="00B95C1B" w:rsidP="00B95C1B">
            <w:pPr>
              <w:rPr>
                <w:lang w:val="hr-HR"/>
              </w:rPr>
            </w:pPr>
            <w:r>
              <w:rPr>
                <w:lang w:val="hr-HR"/>
              </w:rPr>
              <w:t xml:space="preserve">Napominjemo kako trošak IKT opreme </w:t>
            </w:r>
            <w:r w:rsidRPr="00B95C1B">
              <w:rPr>
                <w:lang w:val="hr-HR"/>
              </w:rPr>
              <w:t xml:space="preserve">mora direktno biti povezan </w:t>
            </w:r>
            <w:r>
              <w:rPr>
                <w:lang w:val="hr-HR"/>
              </w:rPr>
              <w:t xml:space="preserve">s </w:t>
            </w:r>
            <w:r w:rsidRPr="00B95C1B">
              <w:rPr>
                <w:lang w:val="hr-HR"/>
              </w:rPr>
              <w:t>aktivnosti</w:t>
            </w:r>
            <w:r>
              <w:rPr>
                <w:lang w:val="hr-HR"/>
              </w:rPr>
              <w:t>ma</w:t>
            </w:r>
            <w:r w:rsidRPr="00B95C1B">
              <w:rPr>
                <w:lang w:val="hr-HR"/>
              </w:rPr>
              <w:t xml:space="preserve"> informiranja,</w:t>
            </w:r>
            <w:r>
              <w:rPr>
                <w:lang w:val="hr-HR"/>
              </w:rPr>
              <w:t xml:space="preserve"> dok su operativni troškovi </w:t>
            </w:r>
            <w:r w:rsidRPr="00B95C1B">
              <w:rPr>
                <w:lang w:val="hr-HR"/>
              </w:rPr>
              <w:t xml:space="preserve">neprihvatljivi sukladno točki 2.10 </w:t>
            </w:r>
            <w:r>
              <w:rPr>
                <w:lang w:val="hr-HR"/>
              </w:rPr>
              <w:t>Uputa za prijavitelje.</w:t>
            </w:r>
          </w:p>
        </w:tc>
      </w:tr>
      <w:tr w:rsidR="006C2E43" w:rsidRPr="0097148D" w14:paraId="3918F672" w14:textId="77777777" w:rsidTr="00587DFF">
        <w:trPr>
          <w:trHeight w:val="433"/>
        </w:trPr>
        <w:tc>
          <w:tcPr>
            <w:tcW w:w="567" w:type="dxa"/>
            <w:shd w:val="clear" w:color="auto" w:fill="auto"/>
          </w:tcPr>
          <w:p w14:paraId="3480EE54" w14:textId="40E40EE0" w:rsidR="006C2E43" w:rsidRPr="0097148D" w:rsidRDefault="00BF30C3" w:rsidP="00587DFF">
            <w:pPr>
              <w:jc w:val="right"/>
              <w:rPr>
                <w:b/>
                <w:lang w:val="hr-HR"/>
              </w:rPr>
            </w:pPr>
            <w:r>
              <w:rPr>
                <w:b/>
                <w:lang w:val="hr-HR"/>
              </w:rPr>
              <w:t>9</w:t>
            </w:r>
            <w:r w:rsidR="005775B7">
              <w:rPr>
                <w:b/>
                <w:lang w:val="hr-HR"/>
              </w:rPr>
              <w:t>.</w:t>
            </w:r>
          </w:p>
        </w:tc>
        <w:tc>
          <w:tcPr>
            <w:tcW w:w="6095" w:type="dxa"/>
            <w:shd w:val="clear" w:color="auto" w:fill="auto"/>
          </w:tcPr>
          <w:p w14:paraId="5143DD5D" w14:textId="6F68286E" w:rsidR="006C2E43" w:rsidRPr="0097148D" w:rsidRDefault="006C2E43" w:rsidP="00C219F1">
            <w:pPr>
              <w:rPr>
                <w:lang w:val="hr-HR"/>
              </w:rPr>
            </w:pPr>
            <w:r w:rsidRPr="0097148D">
              <w:rPr>
                <w:lang w:val="hr-HR"/>
              </w:rPr>
              <w:t>Budući da se u uputama za prijavitelje pod točkom 2.9. Prihvatljivi troškovi za Grupu 1.  navode troškovi intervencija službi spašavanja u vidu prekovremenih sati i dnevnica, zanima nas jeli prihvatljiv trošak i naknada dobrovoljnim vatrogascima na intervencijama sukladno čl. 96. Zakona o vatrogastvu (NN 125/19)?</w:t>
            </w:r>
          </w:p>
        </w:tc>
        <w:tc>
          <w:tcPr>
            <w:tcW w:w="6946" w:type="dxa"/>
            <w:shd w:val="clear" w:color="auto" w:fill="auto"/>
          </w:tcPr>
          <w:p w14:paraId="33901240" w14:textId="706CDC71" w:rsidR="006C2E43" w:rsidRPr="0097148D" w:rsidRDefault="00B95C1B" w:rsidP="00B95C1B">
            <w:pPr>
              <w:rPr>
                <w:lang w:val="hr-HR"/>
              </w:rPr>
            </w:pPr>
            <w:r>
              <w:rPr>
                <w:lang w:val="hr-HR"/>
              </w:rPr>
              <w:t xml:space="preserve">Prihvatljiv je trošak nadoknade putem predmetnog Poziva ukoliko su naknade </w:t>
            </w:r>
            <w:r w:rsidR="00AD43D0">
              <w:rPr>
                <w:lang w:val="hr-HR"/>
              </w:rPr>
              <w:t>isplaćene i mogu se dokazati.</w:t>
            </w:r>
          </w:p>
        </w:tc>
      </w:tr>
      <w:tr w:rsidR="006C2E43" w:rsidRPr="0097148D" w14:paraId="028EC43A" w14:textId="77777777" w:rsidTr="00587DFF">
        <w:trPr>
          <w:trHeight w:val="433"/>
        </w:trPr>
        <w:tc>
          <w:tcPr>
            <w:tcW w:w="567" w:type="dxa"/>
            <w:shd w:val="clear" w:color="auto" w:fill="auto"/>
          </w:tcPr>
          <w:p w14:paraId="471969AD" w14:textId="2044C328" w:rsidR="006C2E43" w:rsidRPr="0097148D" w:rsidRDefault="005775B7" w:rsidP="00BF30C3">
            <w:pPr>
              <w:jc w:val="right"/>
              <w:rPr>
                <w:b/>
                <w:lang w:val="hr-HR"/>
              </w:rPr>
            </w:pPr>
            <w:r>
              <w:rPr>
                <w:b/>
                <w:lang w:val="hr-HR"/>
              </w:rPr>
              <w:t>1</w:t>
            </w:r>
            <w:r w:rsidR="00BF30C3">
              <w:rPr>
                <w:b/>
                <w:lang w:val="hr-HR"/>
              </w:rPr>
              <w:t>0</w:t>
            </w:r>
            <w:r>
              <w:rPr>
                <w:b/>
                <w:lang w:val="hr-HR"/>
              </w:rPr>
              <w:t>.</w:t>
            </w:r>
          </w:p>
        </w:tc>
        <w:tc>
          <w:tcPr>
            <w:tcW w:w="6095" w:type="dxa"/>
            <w:shd w:val="clear" w:color="auto" w:fill="auto"/>
          </w:tcPr>
          <w:p w14:paraId="34F7F26E" w14:textId="65ED4759" w:rsidR="006C2E43" w:rsidRPr="0097148D" w:rsidRDefault="006C2E43" w:rsidP="00C219F1">
            <w:pPr>
              <w:rPr>
                <w:lang w:val="hr-HR"/>
              </w:rPr>
            </w:pPr>
            <w:r w:rsidRPr="0097148D">
              <w:rPr>
                <w:lang w:val="hr-HR"/>
              </w:rPr>
              <w:t>Koja dokumentacija se traži i za što te koje je obrasce potrebno ispuniti? Posebno se to odnosi na Grupu 1, da nam se navede koje je obrasce potrebno ispuniti i koju popratnu dokumentaciju.</w:t>
            </w:r>
          </w:p>
        </w:tc>
        <w:tc>
          <w:tcPr>
            <w:tcW w:w="6946" w:type="dxa"/>
            <w:shd w:val="clear" w:color="auto" w:fill="auto"/>
          </w:tcPr>
          <w:p w14:paraId="271C44F9" w14:textId="210914B8" w:rsidR="006C2E43" w:rsidRPr="0097148D" w:rsidRDefault="00B95C1B" w:rsidP="00C71FFB">
            <w:pPr>
              <w:rPr>
                <w:lang w:val="hr-HR"/>
              </w:rPr>
            </w:pPr>
            <w:r>
              <w:rPr>
                <w:lang w:val="hr-HR"/>
              </w:rPr>
              <w:t>Obavezna je dokumentacija navedena u točki 3.1. Uputa za prijavitelje (N</w:t>
            </w:r>
            <w:r w:rsidRPr="00B95C1B">
              <w:rPr>
                <w:lang w:val="hr-HR"/>
              </w:rPr>
              <w:t>alog za mobilizaciju odnosno drugi akt ili odluka nadležnog tijela i Punomoć za zastupanje je obavezno jedino ako je primjenjivo)</w:t>
            </w:r>
            <w:r>
              <w:rPr>
                <w:lang w:val="hr-HR"/>
              </w:rPr>
              <w:t>. P</w:t>
            </w:r>
            <w:r w:rsidRPr="00B95C1B">
              <w:rPr>
                <w:lang w:val="hr-HR"/>
              </w:rPr>
              <w:t>reporuča se</w:t>
            </w:r>
            <w:r>
              <w:rPr>
                <w:lang w:val="hr-HR"/>
              </w:rPr>
              <w:t xml:space="preserve"> i</w:t>
            </w:r>
            <w:r w:rsidRPr="00B95C1B">
              <w:rPr>
                <w:lang w:val="hr-HR"/>
              </w:rPr>
              <w:t xml:space="preserve"> dostava cjelokupne popratne dokumentacije kojom se dokazuje opravdanost troškova</w:t>
            </w:r>
            <w:r>
              <w:rPr>
                <w:lang w:val="hr-HR"/>
              </w:rPr>
              <w:t xml:space="preserve"> (</w:t>
            </w:r>
            <w:r w:rsidRPr="00B95C1B">
              <w:rPr>
                <w:lang w:val="hr-HR"/>
              </w:rPr>
              <w:t>izvještaj/zapisnik o uništenoj, oštećenoj i/ili rashodovanoj opremi, fotografije, inventurni brojevi, i slično</w:t>
            </w:r>
            <w:r w:rsidR="00F539F0">
              <w:rPr>
                <w:lang w:val="hr-HR"/>
              </w:rPr>
              <w:t>).</w:t>
            </w:r>
          </w:p>
        </w:tc>
      </w:tr>
      <w:tr w:rsidR="006C2E43" w:rsidRPr="0097148D" w14:paraId="593A0740" w14:textId="77777777" w:rsidTr="00587DFF">
        <w:trPr>
          <w:trHeight w:val="433"/>
        </w:trPr>
        <w:tc>
          <w:tcPr>
            <w:tcW w:w="567" w:type="dxa"/>
            <w:shd w:val="clear" w:color="auto" w:fill="auto"/>
          </w:tcPr>
          <w:p w14:paraId="0720E9A9" w14:textId="38D38B65" w:rsidR="006C2E43" w:rsidRPr="0097148D" w:rsidRDefault="00BF30C3" w:rsidP="00587DFF">
            <w:pPr>
              <w:jc w:val="right"/>
              <w:rPr>
                <w:b/>
                <w:lang w:val="hr-HR"/>
              </w:rPr>
            </w:pPr>
            <w:r>
              <w:rPr>
                <w:b/>
                <w:lang w:val="hr-HR"/>
              </w:rPr>
              <w:t>11</w:t>
            </w:r>
            <w:r w:rsidR="005775B7">
              <w:rPr>
                <w:b/>
                <w:lang w:val="hr-HR"/>
              </w:rPr>
              <w:t>.</w:t>
            </w:r>
          </w:p>
        </w:tc>
        <w:tc>
          <w:tcPr>
            <w:tcW w:w="6095" w:type="dxa"/>
            <w:shd w:val="clear" w:color="auto" w:fill="auto"/>
          </w:tcPr>
          <w:p w14:paraId="14B09BEA" w14:textId="74C97757" w:rsidR="006C2E43" w:rsidRPr="0097148D" w:rsidRDefault="006C2E43" w:rsidP="00C219F1">
            <w:pPr>
              <w:rPr>
                <w:lang w:val="hr-HR"/>
              </w:rPr>
            </w:pPr>
            <w:r w:rsidRPr="0097148D">
              <w:rPr>
                <w:lang w:val="hr-HR"/>
              </w:rPr>
              <w:t>Molim Vas informaciju da li je potrebno postupak jednostavne nabave provesti putem elektroničkog oglasnika javne nabave ( EOJN) ili se može provesti samo internim Pravilnikom o jednostavnoj nabavi bez objave u EOJN-u?</w:t>
            </w:r>
          </w:p>
        </w:tc>
        <w:tc>
          <w:tcPr>
            <w:tcW w:w="6946" w:type="dxa"/>
            <w:shd w:val="clear" w:color="auto" w:fill="auto"/>
          </w:tcPr>
          <w:p w14:paraId="565A173B" w14:textId="0500A652" w:rsidR="006C2E43" w:rsidRPr="0097148D" w:rsidRDefault="00F539F0" w:rsidP="00C71FFB">
            <w:pPr>
              <w:rPr>
                <w:lang w:val="hr-HR"/>
              </w:rPr>
            </w:pPr>
            <w:r>
              <w:rPr>
                <w:lang w:val="hr-HR"/>
              </w:rPr>
              <w:t xml:space="preserve">Može se provesti internim Pravilnikom o jednostavnoj nabavi sukladno stavku 2. članka 15. Zakona o javnoj nabavi (NN 120/16) koji navodi kako </w:t>
            </w:r>
            <w:r w:rsidRPr="00F539F0">
              <w:rPr>
                <w:i/>
                <w:lang w:val="hr-HR"/>
              </w:rPr>
              <w:t xml:space="preserve">Pravila, uvjete i postupke jednostavne nabave </w:t>
            </w:r>
            <w:r w:rsidRPr="00F539F0">
              <w:rPr>
                <w:b/>
                <w:i/>
                <w:lang w:val="hr-HR"/>
              </w:rPr>
              <w:t>utvrđuje naručitelj općim aktom</w:t>
            </w:r>
            <w:r w:rsidRPr="00F539F0">
              <w:rPr>
                <w:i/>
                <w:lang w:val="hr-HR"/>
              </w:rPr>
              <w:t>, uzimajući u obzir načela javne nabave te mogućnost primjene elektroničkih sredstava komunikacije.</w:t>
            </w:r>
          </w:p>
        </w:tc>
      </w:tr>
    </w:tbl>
    <w:p w14:paraId="2BB198B1" w14:textId="6A2E6B47" w:rsidR="00C219F1" w:rsidRPr="0097148D" w:rsidRDefault="00C219F1" w:rsidP="00002E6E">
      <w:pPr>
        <w:spacing w:after="0" w:line="240" w:lineRule="auto"/>
        <w:jc w:val="both"/>
        <w:rPr>
          <w:rFonts w:ascii="Times New Roman" w:hAnsi="Times New Roman" w:cs="Times New Roman"/>
          <w:sz w:val="24"/>
          <w:szCs w:val="24"/>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C219F1" w:rsidRPr="0097148D" w14:paraId="279EB817" w14:textId="77777777" w:rsidTr="001130C4">
        <w:trPr>
          <w:trHeight w:val="433"/>
        </w:trPr>
        <w:tc>
          <w:tcPr>
            <w:tcW w:w="567" w:type="dxa"/>
            <w:shd w:val="clear" w:color="auto" w:fill="C5E0B3" w:themeFill="accent6" w:themeFillTint="66"/>
          </w:tcPr>
          <w:p w14:paraId="0A16EEB7" w14:textId="77777777" w:rsidR="00C219F1" w:rsidRPr="0097148D" w:rsidRDefault="00C219F1" w:rsidP="001130C4">
            <w:pPr>
              <w:jc w:val="center"/>
              <w:rPr>
                <w:b/>
                <w:lang w:val="hr-HR"/>
              </w:rPr>
            </w:pPr>
            <w:r w:rsidRPr="0097148D">
              <w:rPr>
                <w:sz w:val="24"/>
                <w:szCs w:val="24"/>
                <w:lang w:val="hr-HR"/>
              </w:rPr>
              <w:br w:type="page"/>
            </w:r>
          </w:p>
        </w:tc>
        <w:tc>
          <w:tcPr>
            <w:tcW w:w="6095" w:type="dxa"/>
            <w:shd w:val="clear" w:color="auto" w:fill="C5E0B3" w:themeFill="accent6" w:themeFillTint="66"/>
          </w:tcPr>
          <w:p w14:paraId="2CD0864C" w14:textId="77777777" w:rsidR="00C219F1" w:rsidRPr="0097148D" w:rsidRDefault="00C219F1" w:rsidP="001130C4">
            <w:pPr>
              <w:jc w:val="right"/>
              <w:rPr>
                <w:b/>
                <w:lang w:val="hr-HR"/>
              </w:rPr>
            </w:pPr>
            <w:r w:rsidRPr="0097148D">
              <w:rPr>
                <w:b/>
                <w:lang w:val="hr-HR"/>
              </w:rPr>
              <w:t xml:space="preserve">VERZIJA: </w:t>
            </w:r>
          </w:p>
        </w:tc>
        <w:tc>
          <w:tcPr>
            <w:tcW w:w="6946" w:type="dxa"/>
            <w:shd w:val="clear" w:color="auto" w:fill="C5E0B3" w:themeFill="accent6" w:themeFillTint="66"/>
          </w:tcPr>
          <w:p w14:paraId="56BCE4B4" w14:textId="50F938FF" w:rsidR="00C219F1" w:rsidRPr="0097148D" w:rsidRDefault="003D724F" w:rsidP="001130C4">
            <w:pPr>
              <w:rPr>
                <w:b/>
                <w:lang w:val="hr-HR"/>
              </w:rPr>
            </w:pPr>
            <w:r w:rsidRPr="0097148D">
              <w:rPr>
                <w:b/>
                <w:lang w:val="hr-HR"/>
              </w:rPr>
              <w:t>1.2</w:t>
            </w:r>
          </w:p>
        </w:tc>
      </w:tr>
      <w:tr w:rsidR="00C219F1" w:rsidRPr="0097148D" w14:paraId="2E60DCF7" w14:textId="77777777" w:rsidTr="001130C4">
        <w:trPr>
          <w:trHeight w:val="433"/>
        </w:trPr>
        <w:tc>
          <w:tcPr>
            <w:tcW w:w="567" w:type="dxa"/>
            <w:shd w:val="clear" w:color="auto" w:fill="C5E0B3" w:themeFill="accent6" w:themeFillTint="66"/>
          </w:tcPr>
          <w:p w14:paraId="0F091703" w14:textId="77777777" w:rsidR="00C219F1" w:rsidRPr="0097148D" w:rsidRDefault="00C219F1" w:rsidP="001130C4">
            <w:pPr>
              <w:jc w:val="center"/>
              <w:rPr>
                <w:b/>
                <w:lang w:val="hr-HR"/>
              </w:rPr>
            </w:pPr>
          </w:p>
        </w:tc>
        <w:tc>
          <w:tcPr>
            <w:tcW w:w="6095" w:type="dxa"/>
            <w:shd w:val="clear" w:color="auto" w:fill="C5E0B3" w:themeFill="accent6" w:themeFillTint="66"/>
          </w:tcPr>
          <w:p w14:paraId="6AC47A98" w14:textId="30780E29" w:rsidR="00C219F1" w:rsidRPr="0097148D" w:rsidRDefault="00C219F1" w:rsidP="001130C4">
            <w:pPr>
              <w:jc w:val="right"/>
              <w:rPr>
                <w:b/>
                <w:lang w:val="hr-HR"/>
              </w:rPr>
            </w:pPr>
            <w:r w:rsidRPr="0097148D">
              <w:rPr>
                <w:b/>
                <w:lang w:val="hr-HR"/>
              </w:rPr>
              <w:t xml:space="preserve">OBJAVA SVIH PITANJA/ODGOVORA IZ VERZIJE </w:t>
            </w:r>
            <w:r w:rsidR="003D724F" w:rsidRPr="0097148D">
              <w:rPr>
                <w:b/>
                <w:lang w:val="hr-HR"/>
              </w:rPr>
              <w:t>1.2</w:t>
            </w:r>
            <w:r w:rsidRPr="0097148D">
              <w:rPr>
                <w:b/>
                <w:lang w:val="hr-HR"/>
              </w:rPr>
              <w:t>:</w:t>
            </w:r>
          </w:p>
        </w:tc>
        <w:tc>
          <w:tcPr>
            <w:tcW w:w="6946" w:type="dxa"/>
            <w:shd w:val="clear" w:color="auto" w:fill="C5E0B3" w:themeFill="accent6" w:themeFillTint="66"/>
          </w:tcPr>
          <w:p w14:paraId="0EA01561" w14:textId="2C6C814C" w:rsidR="00C219F1" w:rsidRPr="0097148D" w:rsidRDefault="006C2E43" w:rsidP="001130C4">
            <w:pPr>
              <w:rPr>
                <w:b/>
                <w:color w:val="FF0000"/>
                <w:lang w:val="hr-HR"/>
              </w:rPr>
            </w:pPr>
            <w:r w:rsidRPr="0097148D">
              <w:rPr>
                <w:b/>
                <w:lang w:val="hr-HR"/>
              </w:rPr>
              <w:t>3</w:t>
            </w:r>
            <w:r w:rsidR="00C219F1" w:rsidRPr="0097148D">
              <w:rPr>
                <w:b/>
                <w:lang w:val="hr-HR"/>
              </w:rPr>
              <w:t>. SET PITANJA I ODGOVORA</w:t>
            </w:r>
          </w:p>
        </w:tc>
      </w:tr>
      <w:tr w:rsidR="00C219F1" w:rsidRPr="0097148D" w14:paraId="6EB5888F" w14:textId="77777777" w:rsidTr="001130C4">
        <w:trPr>
          <w:trHeight w:val="433"/>
        </w:trPr>
        <w:tc>
          <w:tcPr>
            <w:tcW w:w="567" w:type="dxa"/>
            <w:shd w:val="clear" w:color="auto" w:fill="538135" w:themeFill="accent6" w:themeFillShade="BF"/>
          </w:tcPr>
          <w:p w14:paraId="5509C872" w14:textId="77777777" w:rsidR="00C219F1" w:rsidRPr="0097148D" w:rsidRDefault="00C219F1" w:rsidP="001130C4">
            <w:pPr>
              <w:jc w:val="center"/>
              <w:rPr>
                <w:b/>
                <w:sz w:val="22"/>
                <w:szCs w:val="22"/>
                <w:lang w:val="hr-HR"/>
              </w:rPr>
            </w:pPr>
            <w:r w:rsidRPr="0097148D">
              <w:rPr>
                <w:b/>
                <w:color w:val="FFFFFF" w:themeColor="background1"/>
                <w:sz w:val="22"/>
                <w:szCs w:val="22"/>
                <w:lang w:val="hr-HR"/>
              </w:rPr>
              <w:t>RB</w:t>
            </w:r>
          </w:p>
        </w:tc>
        <w:tc>
          <w:tcPr>
            <w:tcW w:w="6095" w:type="dxa"/>
            <w:shd w:val="clear" w:color="auto" w:fill="538135" w:themeFill="accent6" w:themeFillShade="BF"/>
          </w:tcPr>
          <w:p w14:paraId="735B99A6" w14:textId="3235A0C0" w:rsidR="00C219F1" w:rsidRPr="0097148D" w:rsidRDefault="00C219F1" w:rsidP="001130C4">
            <w:pPr>
              <w:rPr>
                <w:b/>
                <w:sz w:val="22"/>
                <w:szCs w:val="22"/>
                <w:lang w:val="hr-HR"/>
              </w:rPr>
            </w:pPr>
            <w:r w:rsidRPr="0097148D">
              <w:rPr>
                <w:b/>
                <w:color w:val="FFFFFF" w:themeColor="background1"/>
                <w:sz w:val="22"/>
                <w:szCs w:val="22"/>
                <w:lang w:val="hr-HR"/>
              </w:rPr>
              <w:t xml:space="preserve">DATUM ZAPRIMANJA PITANJA: </w:t>
            </w:r>
            <w:r w:rsidR="006C2E43" w:rsidRPr="0097148D">
              <w:rPr>
                <w:b/>
                <w:color w:val="FFFFFF" w:themeColor="background1"/>
                <w:sz w:val="22"/>
                <w:szCs w:val="22"/>
                <w:lang w:val="hr-HR"/>
              </w:rPr>
              <w:t xml:space="preserve"> 27</w:t>
            </w:r>
            <w:r w:rsidRPr="0097148D">
              <w:rPr>
                <w:b/>
                <w:color w:val="FFFFFF" w:themeColor="background1"/>
                <w:sz w:val="22"/>
                <w:szCs w:val="22"/>
                <w:lang w:val="hr-HR"/>
              </w:rPr>
              <w:t>. siječanja 2022.</w:t>
            </w:r>
          </w:p>
        </w:tc>
        <w:tc>
          <w:tcPr>
            <w:tcW w:w="6946" w:type="dxa"/>
            <w:shd w:val="clear" w:color="auto" w:fill="538135" w:themeFill="accent6" w:themeFillShade="BF"/>
          </w:tcPr>
          <w:p w14:paraId="1C226626" w14:textId="3BC1D5F1" w:rsidR="00C219F1" w:rsidRPr="0097148D" w:rsidRDefault="00C219F1" w:rsidP="001130C4">
            <w:pPr>
              <w:rPr>
                <w:b/>
                <w:sz w:val="22"/>
                <w:szCs w:val="22"/>
                <w:lang w:val="hr-HR"/>
              </w:rPr>
            </w:pPr>
            <w:r w:rsidRPr="0097148D">
              <w:rPr>
                <w:b/>
                <w:color w:val="FFFFFF" w:themeColor="background1"/>
                <w:sz w:val="22"/>
                <w:szCs w:val="22"/>
                <w:lang w:val="hr-HR"/>
              </w:rPr>
              <w:t>DATUM ODGOVORA NA PITANJE:</w:t>
            </w:r>
            <w:r w:rsidR="006C2E43" w:rsidRPr="0097148D">
              <w:rPr>
                <w:b/>
                <w:color w:val="FFFFFF" w:themeColor="background1"/>
                <w:sz w:val="22"/>
                <w:szCs w:val="22"/>
                <w:lang w:val="hr-HR"/>
              </w:rPr>
              <w:t xml:space="preserve"> 2</w:t>
            </w:r>
            <w:r w:rsidRPr="0097148D">
              <w:rPr>
                <w:b/>
                <w:color w:val="FFFFFF" w:themeColor="background1"/>
                <w:sz w:val="22"/>
                <w:szCs w:val="22"/>
                <w:lang w:val="hr-HR"/>
              </w:rPr>
              <w:t>.</w:t>
            </w:r>
            <w:r w:rsidR="00376A59" w:rsidRPr="0097148D">
              <w:rPr>
                <w:b/>
                <w:color w:val="FFFFFF" w:themeColor="background1"/>
                <w:sz w:val="22"/>
                <w:szCs w:val="22"/>
                <w:lang w:val="hr-HR"/>
              </w:rPr>
              <w:t xml:space="preserve"> </w:t>
            </w:r>
            <w:r w:rsidR="006C2E43" w:rsidRPr="0097148D">
              <w:rPr>
                <w:b/>
                <w:color w:val="FFFFFF" w:themeColor="background1"/>
                <w:sz w:val="22"/>
                <w:szCs w:val="22"/>
                <w:lang w:val="hr-HR"/>
              </w:rPr>
              <w:t>veljače</w:t>
            </w:r>
            <w:r w:rsidRPr="0097148D">
              <w:rPr>
                <w:b/>
                <w:color w:val="FFFFFF" w:themeColor="background1"/>
                <w:sz w:val="22"/>
                <w:szCs w:val="22"/>
                <w:lang w:val="hr-HR"/>
              </w:rPr>
              <w:t xml:space="preserve"> 2022.</w:t>
            </w:r>
          </w:p>
        </w:tc>
      </w:tr>
      <w:tr w:rsidR="00C219F1" w:rsidRPr="0097148D" w14:paraId="07D52535" w14:textId="77777777" w:rsidTr="001130C4">
        <w:trPr>
          <w:trHeight w:val="433"/>
        </w:trPr>
        <w:tc>
          <w:tcPr>
            <w:tcW w:w="567" w:type="dxa"/>
            <w:shd w:val="clear" w:color="auto" w:fill="auto"/>
          </w:tcPr>
          <w:p w14:paraId="4544BE19" w14:textId="66EA374C" w:rsidR="00C219F1" w:rsidRPr="00573224" w:rsidRDefault="00BF30C3" w:rsidP="001130C4">
            <w:pPr>
              <w:jc w:val="right"/>
              <w:rPr>
                <w:b/>
                <w:lang w:val="hr-HR"/>
              </w:rPr>
            </w:pPr>
            <w:r w:rsidRPr="00573224">
              <w:rPr>
                <w:b/>
                <w:lang w:val="hr-HR"/>
              </w:rPr>
              <w:t>12</w:t>
            </w:r>
            <w:r w:rsidR="005775B7" w:rsidRPr="00573224">
              <w:rPr>
                <w:b/>
                <w:lang w:val="hr-HR"/>
              </w:rPr>
              <w:t>.</w:t>
            </w:r>
          </w:p>
        </w:tc>
        <w:tc>
          <w:tcPr>
            <w:tcW w:w="6095" w:type="dxa"/>
            <w:shd w:val="clear" w:color="auto" w:fill="auto"/>
          </w:tcPr>
          <w:p w14:paraId="40767D3D" w14:textId="19816EDE" w:rsidR="006C2E43" w:rsidRPr="0097148D" w:rsidRDefault="006C2E43" w:rsidP="006C2E43">
            <w:pPr>
              <w:rPr>
                <w:lang w:val="hr-HR"/>
              </w:rPr>
            </w:pPr>
            <w:r w:rsidRPr="0097148D">
              <w:rPr>
                <w:lang w:val="hr-HR"/>
              </w:rPr>
              <w:t>M</w:t>
            </w:r>
            <w:r w:rsidRPr="0097148D">
              <w:rPr>
                <w:lang w:val="hr-HR"/>
              </w:rPr>
              <w:t>olimo Vas informaciju vezanu uz dokumentaciju koja se prilaže. Navedeno je da je nužno dostaviti Izjavu prijavitelja o mogućnosti povrata poreza na dodanu vrijednost.</w:t>
            </w:r>
          </w:p>
          <w:p w14:paraId="793DB180" w14:textId="0723DB23" w:rsidR="00C219F1" w:rsidRPr="0097148D" w:rsidRDefault="006C2E43" w:rsidP="006C2E43">
            <w:pPr>
              <w:rPr>
                <w:lang w:val="hr-HR"/>
              </w:rPr>
            </w:pPr>
            <w:r w:rsidRPr="0097148D">
              <w:rPr>
                <w:lang w:val="hr-HR"/>
              </w:rPr>
              <w:t xml:space="preserve">Ako se prijavljuje udruga (DVD) koja nije u sustavu PDV-a, može li se dostaviti takva izjava, odnosno je li udruga koja nije u sustavu </w:t>
            </w:r>
            <w:r w:rsidRPr="0097148D">
              <w:rPr>
                <w:lang w:val="hr-HR"/>
              </w:rPr>
              <w:t xml:space="preserve">PDV-a prihvatljiv prijavitelj? </w:t>
            </w:r>
          </w:p>
        </w:tc>
        <w:tc>
          <w:tcPr>
            <w:tcW w:w="6946" w:type="dxa"/>
            <w:shd w:val="clear" w:color="auto" w:fill="auto"/>
          </w:tcPr>
          <w:p w14:paraId="4ECF7555" w14:textId="0A421CDD" w:rsidR="00C219F1" w:rsidRPr="0097148D" w:rsidRDefault="00B178B5" w:rsidP="00B178B5">
            <w:pPr>
              <w:rPr>
                <w:lang w:val="hr-HR"/>
              </w:rPr>
            </w:pPr>
            <w:r>
              <w:rPr>
                <w:lang w:val="hr-HR"/>
              </w:rPr>
              <w:t xml:space="preserve">Udruga koja nije u sustavu PDV-a je prihvatljiv prijavitelj. Napominjemo kako je u navedenom slučaju potrebno ispuniti Obrazac </w:t>
            </w:r>
            <w:r w:rsidRPr="00E85E7B">
              <w:rPr>
                <w:b/>
                <w:lang w:val="hr-HR"/>
              </w:rPr>
              <w:t>4c</w:t>
            </w:r>
            <w:r>
              <w:rPr>
                <w:lang w:val="hr-HR"/>
              </w:rPr>
              <w:t xml:space="preserve"> </w:t>
            </w:r>
            <w:r w:rsidRPr="00B178B5">
              <w:rPr>
                <w:lang w:val="hr-HR"/>
              </w:rPr>
              <w:t>Izjave prijavitelja o mogućnosti povrata poreza na dodanu vrijednost.</w:t>
            </w:r>
          </w:p>
        </w:tc>
      </w:tr>
      <w:tr w:rsidR="00C219F1" w:rsidRPr="0097148D" w14:paraId="7DEF2255" w14:textId="77777777" w:rsidTr="001130C4">
        <w:trPr>
          <w:trHeight w:val="433"/>
        </w:trPr>
        <w:tc>
          <w:tcPr>
            <w:tcW w:w="567" w:type="dxa"/>
            <w:shd w:val="clear" w:color="auto" w:fill="auto"/>
          </w:tcPr>
          <w:p w14:paraId="1701283D" w14:textId="30540054" w:rsidR="00C219F1" w:rsidRPr="00573224" w:rsidRDefault="00BF30C3" w:rsidP="001130C4">
            <w:pPr>
              <w:jc w:val="right"/>
              <w:rPr>
                <w:b/>
                <w:lang w:val="hr-HR"/>
              </w:rPr>
            </w:pPr>
            <w:r w:rsidRPr="00573224">
              <w:rPr>
                <w:b/>
                <w:lang w:val="hr-HR"/>
              </w:rPr>
              <w:t>13</w:t>
            </w:r>
            <w:r w:rsidR="005775B7" w:rsidRPr="00573224">
              <w:rPr>
                <w:b/>
                <w:lang w:val="hr-HR"/>
              </w:rPr>
              <w:t>.</w:t>
            </w:r>
          </w:p>
        </w:tc>
        <w:tc>
          <w:tcPr>
            <w:tcW w:w="6095" w:type="dxa"/>
            <w:shd w:val="clear" w:color="auto" w:fill="auto"/>
          </w:tcPr>
          <w:p w14:paraId="227178AA" w14:textId="548750AC" w:rsidR="00C219F1" w:rsidRPr="0097148D" w:rsidRDefault="006C2E43" w:rsidP="001130C4">
            <w:pPr>
              <w:rPr>
                <w:lang w:val="hr-HR"/>
              </w:rPr>
            </w:pPr>
            <w:r w:rsidRPr="0097148D">
              <w:rPr>
                <w:lang w:val="hr-HR"/>
              </w:rPr>
              <w:t>Je li prihvatljiv prijavitelj GRAD koji nije u sustavu PDV-a?</w:t>
            </w:r>
          </w:p>
        </w:tc>
        <w:tc>
          <w:tcPr>
            <w:tcW w:w="6946" w:type="dxa"/>
            <w:shd w:val="clear" w:color="auto" w:fill="auto"/>
          </w:tcPr>
          <w:p w14:paraId="762ED6B0" w14:textId="4894D36B" w:rsidR="00C219F1" w:rsidRPr="0097148D" w:rsidRDefault="00B178B5" w:rsidP="006C2E43">
            <w:pPr>
              <w:rPr>
                <w:lang w:val="hr-HR"/>
              </w:rPr>
            </w:pPr>
            <w:r>
              <w:rPr>
                <w:lang w:val="hr-HR"/>
              </w:rPr>
              <w:t xml:space="preserve">Grad koji nije u sustavu PDV-a je prihvatljiv prijavitelj. </w:t>
            </w:r>
            <w:r w:rsidRPr="00B178B5">
              <w:rPr>
                <w:lang w:val="hr-HR"/>
              </w:rPr>
              <w:t xml:space="preserve">Napominjemo kako je u navedenom slučaju potrebno ispuniti Obrazac </w:t>
            </w:r>
            <w:r w:rsidRPr="00E85E7B">
              <w:rPr>
                <w:b/>
                <w:lang w:val="hr-HR"/>
              </w:rPr>
              <w:t>4c</w:t>
            </w:r>
            <w:r w:rsidRPr="00B178B5">
              <w:rPr>
                <w:lang w:val="hr-HR"/>
              </w:rPr>
              <w:t xml:space="preserve"> Izjave prijavitelja o mogućnosti povrata poreza na dodanu vrijednost.</w:t>
            </w:r>
          </w:p>
        </w:tc>
      </w:tr>
      <w:tr w:rsidR="00C219F1" w:rsidRPr="0097148D" w14:paraId="2B3B3EC2" w14:textId="77777777" w:rsidTr="001130C4">
        <w:trPr>
          <w:trHeight w:val="433"/>
        </w:trPr>
        <w:tc>
          <w:tcPr>
            <w:tcW w:w="567" w:type="dxa"/>
            <w:shd w:val="clear" w:color="auto" w:fill="auto"/>
          </w:tcPr>
          <w:p w14:paraId="2E9A621F" w14:textId="179A310D" w:rsidR="00C219F1" w:rsidRPr="0097148D" w:rsidRDefault="00BF30C3" w:rsidP="001130C4">
            <w:pPr>
              <w:jc w:val="right"/>
              <w:rPr>
                <w:b/>
                <w:lang w:val="hr-HR"/>
              </w:rPr>
            </w:pPr>
            <w:r>
              <w:rPr>
                <w:b/>
                <w:lang w:val="hr-HR"/>
              </w:rPr>
              <w:t>14</w:t>
            </w:r>
            <w:r w:rsidR="005775B7">
              <w:rPr>
                <w:b/>
                <w:lang w:val="hr-HR"/>
              </w:rPr>
              <w:t>.</w:t>
            </w:r>
          </w:p>
        </w:tc>
        <w:tc>
          <w:tcPr>
            <w:tcW w:w="6095" w:type="dxa"/>
            <w:shd w:val="clear" w:color="auto" w:fill="auto"/>
          </w:tcPr>
          <w:p w14:paraId="73B31A26" w14:textId="68E54FF7" w:rsidR="00C219F1" w:rsidRPr="0097148D" w:rsidRDefault="006C2E43" w:rsidP="00C219F1">
            <w:pPr>
              <w:rPr>
                <w:lang w:val="hr-HR"/>
              </w:rPr>
            </w:pPr>
            <w:r w:rsidRPr="0097148D">
              <w:rPr>
                <w:lang w:val="hr-HR"/>
              </w:rPr>
              <w:t>Vezano na predmetni poziv pod referentnom oznakom FSEU.2022.MUP. molimo pojašnjenje da li je pozivom propisana najniža i najviša visina potpore po projektu?</w:t>
            </w:r>
          </w:p>
        </w:tc>
        <w:tc>
          <w:tcPr>
            <w:tcW w:w="6946" w:type="dxa"/>
            <w:shd w:val="clear" w:color="auto" w:fill="auto"/>
          </w:tcPr>
          <w:p w14:paraId="38FF0A4F" w14:textId="57283015" w:rsidR="00C219F1" w:rsidRPr="0097148D" w:rsidRDefault="00E85E7B" w:rsidP="001517D2">
            <w:pPr>
              <w:rPr>
                <w:lang w:val="hr-HR"/>
              </w:rPr>
            </w:pPr>
            <w:r w:rsidRPr="00E85E7B">
              <w:rPr>
                <w:lang w:val="hr-HR"/>
              </w:rPr>
              <w:t>Najniži i najviši i</w:t>
            </w:r>
            <w:r>
              <w:rPr>
                <w:lang w:val="hr-HR"/>
              </w:rPr>
              <w:t>znos bespovratnih sredstava po o</w:t>
            </w:r>
            <w:r w:rsidRPr="00E85E7B">
              <w:rPr>
                <w:lang w:val="hr-HR"/>
              </w:rPr>
              <w:t>peraciji nije definiran Pozivom, a intenzitet potpore iznosi 100 %.</w:t>
            </w:r>
          </w:p>
        </w:tc>
      </w:tr>
      <w:tr w:rsidR="006C2E43" w:rsidRPr="0097148D" w14:paraId="52C13783" w14:textId="77777777" w:rsidTr="001130C4">
        <w:trPr>
          <w:trHeight w:val="433"/>
        </w:trPr>
        <w:tc>
          <w:tcPr>
            <w:tcW w:w="567" w:type="dxa"/>
            <w:shd w:val="clear" w:color="auto" w:fill="auto"/>
          </w:tcPr>
          <w:p w14:paraId="3EE7D43B" w14:textId="34CB168E" w:rsidR="006C2E43" w:rsidRPr="0097148D" w:rsidRDefault="00BF30C3" w:rsidP="001130C4">
            <w:pPr>
              <w:jc w:val="right"/>
              <w:rPr>
                <w:b/>
                <w:lang w:val="hr-HR"/>
              </w:rPr>
            </w:pPr>
            <w:r>
              <w:rPr>
                <w:b/>
                <w:lang w:val="hr-HR"/>
              </w:rPr>
              <w:lastRenderedPageBreak/>
              <w:t>15</w:t>
            </w:r>
            <w:r w:rsidR="005775B7">
              <w:rPr>
                <w:b/>
                <w:lang w:val="hr-HR"/>
              </w:rPr>
              <w:t>.</w:t>
            </w:r>
          </w:p>
        </w:tc>
        <w:tc>
          <w:tcPr>
            <w:tcW w:w="6095" w:type="dxa"/>
            <w:shd w:val="clear" w:color="auto" w:fill="auto"/>
          </w:tcPr>
          <w:p w14:paraId="0B7F248D" w14:textId="25FE4D2C" w:rsidR="006C2E43" w:rsidRPr="0097148D" w:rsidRDefault="00E85E7B" w:rsidP="006C2E43">
            <w:pPr>
              <w:rPr>
                <w:lang w:val="hr-HR"/>
              </w:rPr>
            </w:pPr>
            <w:r>
              <w:rPr>
                <w:lang w:val="hr-HR"/>
              </w:rPr>
              <w:t xml:space="preserve">Molimo </w:t>
            </w:r>
            <w:r w:rsidR="006C2E43" w:rsidRPr="0097148D">
              <w:rPr>
                <w:lang w:val="hr-HR"/>
              </w:rPr>
              <w:t>pojašnjenje da li su prihvatljivi troškovi operacija ukoliko su sve aktivnosti po operaciji u međuvremenu u potpunosti završene i plaćene te nema novih planiranih aktivnosti u sklopu operacije,  osim aktivnosti Grupe 2.: Upravljanje projektom i administracija?</w:t>
            </w:r>
          </w:p>
          <w:p w14:paraId="5EC5C3E2" w14:textId="18D0FA9E" w:rsidR="006C2E43" w:rsidRPr="0097148D" w:rsidRDefault="006C2E43" w:rsidP="006C2E43">
            <w:pPr>
              <w:rPr>
                <w:lang w:val="hr-HR"/>
              </w:rPr>
            </w:pPr>
          </w:p>
        </w:tc>
        <w:tc>
          <w:tcPr>
            <w:tcW w:w="6946" w:type="dxa"/>
            <w:shd w:val="clear" w:color="auto" w:fill="auto"/>
          </w:tcPr>
          <w:p w14:paraId="63F896E2" w14:textId="02B5F051" w:rsidR="006C2E43" w:rsidRPr="0097148D" w:rsidRDefault="00E85E7B" w:rsidP="001517D2">
            <w:pPr>
              <w:rPr>
                <w:lang w:val="hr-HR"/>
              </w:rPr>
            </w:pPr>
            <w:r w:rsidRPr="00E85E7B">
              <w:rPr>
                <w:lang w:val="hr-HR"/>
              </w:rPr>
              <w:t xml:space="preserve">Mogu se prijaviti troškovi koji su nastali i prije podnošenja projektnog prijedloga, ali ne </w:t>
            </w:r>
            <w:r>
              <w:rPr>
                <w:lang w:val="hr-HR"/>
              </w:rPr>
              <w:t xml:space="preserve">prije 28. prosinca 2020. godine sukladno točki </w:t>
            </w:r>
            <w:r w:rsidRPr="00E85E7B">
              <w:rPr>
                <w:i/>
                <w:lang w:val="hr-HR"/>
              </w:rPr>
              <w:t>5.1. Razdoblje provedbe operacije</w:t>
            </w:r>
            <w:r>
              <w:rPr>
                <w:lang w:val="hr-HR"/>
              </w:rPr>
              <w:t xml:space="preserve"> Uputa za prijavitelje.</w:t>
            </w:r>
          </w:p>
        </w:tc>
      </w:tr>
    </w:tbl>
    <w:p w14:paraId="3181E621" w14:textId="44807393" w:rsidR="003D724F" w:rsidRPr="0097148D" w:rsidRDefault="003D724F" w:rsidP="00002E6E">
      <w:pPr>
        <w:spacing w:after="0" w:line="240" w:lineRule="auto"/>
        <w:jc w:val="both"/>
        <w:rPr>
          <w:rFonts w:ascii="Times New Roman" w:hAnsi="Times New Roman" w:cs="Times New Roman"/>
          <w:sz w:val="24"/>
          <w:szCs w:val="24"/>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1168D1" w:rsidRPr="0097148D" w14:paraId="22150543" w14:textId="77777777" w:rsidTr="001130C4">
        <w:trPr>
          <w:trHeight w:val="433"/>
        </w:trPr>
        <w:tc>
          <w:tcPr>
            <w:tcW w:w="567" w:type="dxa"/>
            <w:shd w:val="clear" w:color="auto" w:fill="C5E0B3" w:themeFill="accent6" w:themeFillTint="66"/>
          </w:tcPr>
          <w:p w14:paraId="0FDECD9A" w14:textId="77777777" w:rsidR="001168D1" w:rsidRPr="0097148D" w:rsidRDefault="001168D1" w:rsidP="001130C4">
            <w:pPr>
              <w:jc w:val="center"/>
              <w:rPr>
                <w:b/>
                <w:lang w:val="hr-HR"/>
              </w:rPr>
            </w:pPr>
            <w:r w:rsidRPr="0097148D">
              <w:rPr>
                <w:sz w:val="24"/>
                <w:szCs w:val="24"/>
                <w:lang w:val="hr-HR"/>
              </w:rPr>
              <w:br w:type="page"/>
            </w:r>
          </w:p>
        </w:tc>
        <w:tc>
          <w:tcPr>
            <w:tcW w:w="6095" w:type="dxa"/>
            <w:shd w:val="clear" w:color="auto" w:fill="C5E0B3" w:themeFill="accent6" w:themeFillTint="66"/>
          </w:tcPr>
          <w:p w14:paraId="7182387A" w14:textId="77777777" w:rsidR="001168D1" w:rsidRPr="0097148D" w:rsidRDefault="001168D1" w:rsidP="001130C4">
            <w:pPr>
              <w:jc w:val="right"/>
              <w:rPr>
                <w:b/>
                <w:lang w:val="hr-HR"/>
              </w:rPr>
            </w:pPr>
            <w:r w:rsidRPr="0097148D">
              <w:rPr>
                <w:b/>
                <w:lang w:val="hr-HR"/>
              </w:rPr>
              <w:t xml:space="preserve">VERZIJA: </w:t>
            </w:r>
          </w:p>
        </w:tc>
        <w:tc>
          <w:tcPr>
            <w:tcW w:w="6946" w:type="dxa"/>
            <w:shd w:val="clear" w:color="auto" w:fill="C5E0B3" w:themeFill="accent6" w:themeFillTint="66"/>
          </w:tcPr>
          <w:p w14:paraId="2BBD8E9E" w14:textId="77777777" w:rsidR="001168D1" w:rsidRPr="0097148D" w:rsidRDefault="001168D1" w:rsidP="001130C4">
            <w:pPr>
              <w:rPr>
                <w:b/>
                <w:lang w:val="hr-HR"/>
              </w:rPr>
            </w:pPr>
            <w:r w:rsidRPr="0097148D">
              <w:rPr>
                <w:b/>
                <w:lang w:val="hr-HR"/>
              </w:rPr>
              <w:t>1.2</w:t>
            </w:r>
          </w:p>
        </w:tc>
      </w:tr>
      <w:tr w:rsidR="001168D1" w:rsidRPr="0097148D" w14:paraId="2767826C" w14:textId="77777777" w:rsidTr="001130C4">
        <w:trPr>
          <w:trHeight w:val="433"/>
        </w:trPr>
        <w:tc>
          <w:tcPr>
            <w:tcW w:w="567" w:type="dxa"/>
            <w:shd w:val="clear" w:color="auto" w:fill="C5E0B3" w:themeFill="accent6" w:themeFillTint="66"/>
          </w:tcPr>
          <w:p w14:paraId="1B77A838" w14:textId="77777777" w:rsidR="001168D1" w:rsidRPr="0097148D" w:rsidRDefault="001168D1" w:rsidP="001130C4">
            <w:pPr>
              <w:jc w:val="center"/>
              <w:rPr>
                <w:b/>
                <w:lang w:val="hr-HR"/>
              </w:rPr>
            </w:pPr>
          </w:p>
        </w:tc>
        <w:tc>
          <w:tcPr>
            <w:tcW w:w="6095" w:type="dxa"/>
            <w:shd w:val="clear" w:color="auto" w:fill="C5E0B3" w:themeFill="accent6" w:themeFillTint="66"/>
          </w:tcPr>
          <w:p w14:paraId="587D2DC1" w14:textId="77777777" w:rsidR="001168D1" w:rsidRPr="0097148D" w:rsidRDefault="001168D1" w:rsidP="001130C4">
            <w:pPr>
              <w:jc w:val="right"/>
              <w:rPr>
                <w:b/>
                <w:lang w:val="hr-HR"/>
              </w:rPr>
            </w:pPr>
            <w:r w:rsidRPr="0097148D">
              <w:rPr>
                <w:b/>
                <w:lang w:val="hr-HR"/>
              </w:rPr>
              <w:t>OBJAVA SVIH PITANJA/ODGOVORA IZ VERZIJE 1.2:</w:t>
            </w:r>
          </w:p>
        </w:tc>
        <w:tc>
          <w:tcPr>
            <w:tcW w:w="6946" w:type="dxa"/>
            <w:shd w:val="clear" w:color="auto" w:fill="C5E0B3" w:themeFill="accent6" w:themeFillTint="66"/>
          </w:tcPr>
          <w:p w14:paraId="555134E8" w14:textId="240829C0" w:rsidR="001168D1" w:rsidRPr="0097148D" w:rsidRDefault="0097148D" w:rsidP="001130C4">
            <w:pPr>
              <w:rPr>
                <w:b/>
                <w:color w:val="FF0000"/>
                <w:lang w:val="hr-HR"/>
              </w:rPr>
            </w:pPr>
            <w:r w:rsidRPr="0097148D">
              <w:rPr>
                <w:b/>
                <w:lang w:val="hr-HR"/>
              </w:rPr>
              <w:t>3</w:t>
            </w:r>
            <w:r w:rsidR="001168D1" w:rsidRPr="0097148D">
              <w:rPr>
                <w:b/>
                <w:lang w:val="hr-HR"/>
              </w:rPr>
              <w:t>. SET PITANJA I ODGOVORA</w:t>
            </w:r>
          </w:p>
        </w:tc>
      </w:tr>
      <w:tr w:rsidR="001168D1" w:rsidRPr="0097148D" w14:paraId="4713607B" w14:textId="77777777" w:rsidTr="001130C4">
        <w:trPr>
          <w:trHeight w:val="433"/>
        </w:trPr>
        <w:tc>
          <w:tcPr>
            <w:tcW w:w="567" w:type="dxa"/>
            <w:shd w:val="clear" w:color="auto" w:fill="538135" w:themeFill="accent6" w:themeFillShade="BF"/>
          </w:tcPr>
          <w:p w14:paraId="4903306B" w14:textId="77777777" w:rsidR="001168D1" w:rsidRPr="0097148D" w:rsidRDefault="001168D1" w:rsidP="001130C4">
            <w:pPr>
              <w:jc w:val="center"/>
              <w:rPr>
                <w:b/>
                <w:sz w:val="22"/>
                <w:szCs w:val="22"/>
                <w:lang w:val="hr-HR"/>
              </w:rPr>
            </w:pPr>
            <w:r w:rsidRPr="0097148D">
              <w:rPr>
                <w:b/>
                <w:color w:val="FFFFFF" w:themeColor="background1"/>
                <w:sz w:val="22"/>
                <w:szCs w:val="22"/>
                <w:lang w:val="hr-HR"/>
              </w:rPr>
              <w:t>RB</w:t>
            </w:r>
          </w:p>
        </w:tc>
        <w:tc>
          <w:tcPr>
            <w:tcW w:w="6095" w:type="dxa"/>
            <w:shd w:val="clear" w:color="auto" w:fill="538135" w:themeFill="accent6" w:themeFillShade="BF"/>
          </w:tcPr>
          <w:p w14:paraId="1A6541C7" w14:textId="4327ACD8" w:rsidR="001168D1" w:rsidRPr="0097148D" w:rsidRDefault="001168D1" w:rsidP="001130C4">
            <w:pPr>
              <w:rPr>
                <w:b/>
                <w:sz w:val="22"/>
                <w:szCs w:val="22"/>
                <w:lang w:val="hr-HR"/>
              </w:rPr>
            </w:pPr>
            <w:r w:rsidRPr="0097148D">
              <w:rPr>
                <w:b/>
                <w:color w:val="FFFFFF" w:themeColor="background1"/>
                <w:sz w:val="22"/>
                <w:szCs w:val="22"/>
                <w:lang w:val="hr-HR"/>
              </w:rPr>
              <w:t xml:space="preserve">DATUM ZAPRIMANJA PITANJA: </w:t>
            </w:r>
            <w:r w:rsidR="0097148D" w:rsidRPr="0097148D">
              <w:rPr>
                <w:b/>
                <w:color w:val="FFFFFF" w:themeColor="background1"/>
                <w:sz w:val="22"/>
                <w:szCs w:val="22"/>
                <w:lang w:val="hr-HR"/>
              </w:rPr>
              <w:t xml:space="preserve"> 31</w:t>
            </w:r>
            <w:r w:rsidRPr="0097148D">
              <w:rPr>
                <w:b/>
                <w:color w:val="FFFFFF" w:themeColor="background1"/>
                <w:sz w:val="22"/>
                <w:szCs w:val="22"/>
                <w:lang w:val="hr-HR"/>
              </w:rPr>
              <w:t>. siječanja 2022.</w:t>
            </w:r>
          </w:p>
        </w:tc>
        <w:tc>
          <w:tcPr>
            <w:tcW w:w="6946" w:type="dxa"/>
            <w:shd w:val="clear" w:color="auto" w:fill="538135" w:themeFill="accent6" w:themeFillShade="BF"/>
          </w:tcPr>
          <w:p w14:paraId="39993F04" w14:textId="51C42524" w:rsidR="001168D1" w:rsidRPr="0097148D" w:rsidRDefault="001168D1" w:rsidP="001130C4">
            <w:pPr>
              <w:rPr>
                <w:b/>
                <w:sz w:val="22"/>
                <w:szCs w:val="22"/>
                <w:lang w:val="hr-HR"/>
              </w:rPr>
            </w:pPr>
            <w:r w:rsidRPr="0097148D">
              <w:rPr>
                <w:b/>
                <w:color w:val="FFFFFF" w:themeColor="background1"/>
                <w:sz w:val="22"/>
                <w:szCs w:val="22"/>
                <w:lang w:val="hr-HR"/>
              </w:rPr>
              <w:t>DATUM ODGOVORA NA PITANJE:</w:t>
            </w:r>
            <w:r w:rsidR="0097148D" w:rsidRPr="0097148D">
              <w:rPr>
                <w:b/>
                <w:color w:val="FFFFFF" w:themeColor="background1"/>
                <w:sz w:val="22"/>
                <w:szCs w:val="22"/>
                <w:lang w:val="hr-HR"/>
              </w:rPr>
              <w:t xml:space="preserve"> 2</w:t>
            </w:r>
            <w:r w:rsidRPr="0097148D">
              <w:rPr>
                <w:b/>
                <w:color w:val="FFFFFF" w:themeColor="background1"/>
                <w:sz w:val="22"/>
                <w:szCs w:val="22"/>
                <w:lang w:val="hr-HR"/>
              </w:rPr>
              <w:t>.</w:t>
            </w:r>
            <w:r w:rsidR="00376A59" w:rsidRPr="0097148D">
              <w:rPr>
                <w:b/>
                <w:color w:val="FFFFFF" w:themeColor="background1"/>
                <w:sz w:val="22"/>
                <w:szCs w:val="22"/>
                <w:lang w:val="hr-HR"/>
              </w:rPr>
              <w:t xml:space="preserve"> </w:t>
            </w:r>
            <w:r w:rsidR="0097148D" w:rsidRPr="0097148D">
              <w:rPr>
                <w:b/>
                <w:color w:val="FFFFFF" w:themeColor="background1"/>
                <w:sz w:val="22"/>
                <w:szCs w:val="22"/>
                <w:lang w:val="hr-HR"/>
              </w:rPr>
              <w:t>veljače</w:t>
            </w:r>
            <w:r w:rsidRPr="0097148D">
              <w:rPr>
                <w:b/>
                <w:color w:val="FFFFFF" w:themeColor="background1"/>
                <w:sz w:val="22"/>
                <w:szCs w:val="22"/>
                <w:lang w:val="hr-HR"/>
              </w:rPr>
              <w:t xml:space="preserve"> 2022.</w:t>
            </w:r>
          </w:p>
        </w:tc>
      </w:tr>
      <w:tr w:rsidR="001168D1" w:rsidRPr="0097148D" w14:paraId="6B28591C" w14:textId="77777777" w:rsidTr="001130C4">
        <w:trPr>
          <w:trHeight w:val="433"/>
        </w:trPr>
        <w:tc>
          <w:tcPr>
            <w:tcW w:w="567" w:type="dxa"/>
            <w:shd w:val="clear" w:color="auto" w:fill="auto"/>
          </w:tcPr>
          <w:p w14:paraId="4D693B54" w14:textId="56BF6B9A" w:rsidR="001168D1" w:rsidRPr="00573224" w:rsidRDefault="00BF30C3" w:rsidP="001130C4">
            <w:pPr>
              <w:jc w:val="right"/>
              <w:rPr>
                <w:b/>
                <w:lang w:val="hr-HR"/>
              </w:rPr>
            </w:pPr>
            <w:r w:rsidRPr="00573224">
              <w:rPr>
                <w:b/>
                <w:lang w:val="hr-HR"/>
              </w:rPr>
              <w:t>16</w:t>
            </w:r>
            <w:r w:rsidR="005775B7" w:rsidRPr="00573224">
              <w:rPr>
                <w:b/>
                <w:lang w:val="hr-HR"/>
              </w:rPr>
              <w:t>.</w:t>
            </w:r>
          </w:p>
        </w:tc>
        <w:tc>
          <w:tcPr>
            <w:tcW w:w="6095" w:type="dxa"/>
            <w:shd w:val="clear" w:color="auto" w:fill="auto"/>
          </w:tcPr>
          <w:p w14:paraId="661FCAEF" w14:textId="56E51B23" w:rsidR="0097148D" w:rsidRPr="0097148D" w:rsidRDefault="0097148D" w:rsidP="0097148D">
            <w:pPr>
              <w:rPr>
                <w:lang w:val="hr-HR"/>
              </w:rPr>
            </w:pPr>
            <w:r w:rsidRPr="0097148D">
              <w:rPr>
                <w:lang w:val="hr-HR"/>
              </w:rPr>
              <w:t>Prema točci 1.6. Uputa za prijavitelje prijavitelj „ne smije tražiti/primiti sredstva iz drugih javnih izvora za troškove koji će biti nadoknađeni u sklopu podnesenog projektnog prijedloga…Dvostrukim financiranjem se ne smatraju vlastita javna sredstva Prijavitelja kojim su se p</w:t>
            </w:r>
            <w:r w:rsidRPr="0097148D">
              <w:rPr>
                <w:lang w:val="hr-HR"/>
              </w:rPr>
              <w:t xml:space="preserve">odmirili već nastali troškovi“ </w:t>
            </w:r>
            <w:r w:rsidRPr="0097148D">
              <w:rPr>
                <w:lang w:val="hr-HR"/>
              </w:rPr>
              <w:t xml:space="preserve"> </w:t>
            </w:r>
          </w:p>
          <w:p w14:paraId="5915EDE4" w14:textId="6CB91C9F" w:rsidR="001168D1" w:rsidRPr="0097148D" w:rsidRDefault="0097148D" w:rsidP="0097148D">
            <w:pPr>
              <w:rPr>
                <w:lang w:val="hr-HR"/>
              </w:rPr>
            </w:pPr>
            <w:r w:rsidRPr="0097148D">
              <w:rPr>
                <w:lang w:val="hr-HR"/>
              </w:rPr>
              <w:t>Molimo dodatno pojašnjenje navoda „vlastita javna sredstva“. Jesu li proračunska sredstva dodijeljena od strane državnih tijela RH isto što i vlastita javna sredstva ili su vlastita javna sredstva isključivo sredstva ostvarena primjerice gospodarskom djelatnošću prijavitelja?</w:t>
            </w:r>
          </w:p>
        </w:tc>
        <w:tc>
          <w:tcPr>
            <w:tcW w:w="6946" w:type="dxa"/>
            <w:shd w:val="clear" w:color="auto" w:fill="auto"/>
          </w:tcPr>
          <w:p w14:paraId="39541EA4" w14:textId="62F3B742" w:rsidR="001168D1" w:rsidRPr="0097148D" w:rsidRDefault="009B026D" w:rsidP="001517D2">
            <w:pPr>
              <w:rPr>
                <w:lang w:val="hr-HR"/>
              </w:rPr>
            </w:pPr>
            <w:r>
              <w:rPr>
                <w:rFonts w:eastAsiaTheme="minorEastAsia"/>
                <w:lang w:val="hr-HR"/>
              </w:rPr>
              <w:t xml:space="preserve">U </w:t>
            </w:r>
            <w:r w:rsidR="00E85E7B" w:rsidRPr="00E85E7B">
              <w:rPr>
                <w:rFonts w:eastAsiaTheme="minorEastAsia"/>
                <w:lang w:val="hr-HR"/>
              </w:rPr>
              <w:t>toč</w:t>
            </w:r>
            <w:bookmarkStart w:id="1" w:name="_Toc70882560"/>
            <w:bookmarkStart w:id="2" w:name="_Toc71027509"/>
            <w:bookmarkStart w:id="3" w:name="_Toc71269402"/>
            <w:r>
              <w:rPr>
                <w:rFonts w:eastAsiaTheme="minorEastAsia"/>
                <w:lang w:val="hr-HR"/>
              </w:rPr>
              <w:t xml:space="preserve">ki 1.6. Uputa za prijavitelje </w:t>
            </w:r>
            <w:r w:rsidR="00E85E7B" w:rsidRPr="009B026D">
              <w:rPr>
                <w:i/>
                <w:lang w:val="hr-HR"/>
              </w:rPr>
              <w:t xml:space="preserve">Prijavitelj ne smije tražiti/primiti sredstva iz drugih javnih izvora za troškove koji će biti nadoknađeni u sklopu podnesenog projektnog prijedloga, odnosno za financiranje odabrane operacije. Dvostrukim financiranjem se ne smatraju </w:t>
            </w:r>
            <w:r w:rsidR="00E85E7B" w:rsidRPr="009B026D">
              <w:rPr>
                <w:b/>
                <w:i/>
                <w:lang w:val="hr-HR"/>
              </w:rPr>
              <w:t>vlastita javna sredstva Prijavitelja kojim su se podmirili već nastali troškovi</w:t>
            </w:r>
            <w:r w:rsidR="00E85E7B" w:rsidRPr="009B026D">
              <w:rPr>
                <w:i/>
                <w:lang w:val="hr-HR"/>
              </w:rPr>
              <w:t>, a koji se prijavljuju za nadoknadu u sklopu projektnog prijedloga</w:t>
            </w:r>
            <w:bookmarkEnd w:id="1"/>
            <w:bookmarkEnd w:id="2"/>
            <w:bookmarkEnd w:id="3"/>
            <w:r w:rsidR="00E85E7B" w:rsidRPr="00E85E7B">
              <w:rPr>
                <w:lang w:val="hr-HR"/>
              </w:rPr>
              <w:t xml:space="preserve">, </w:t>
            </w:r>
            <w:r>
              <w:rPr>
                <w:b/>
                <w:lang w:val="hr-HR"/>
              </w:rPr>
              <w:t>v</w:t>
            </w:r>
            <w:r w:rsidRPr="009B026D">
              <w:rPr>
                <w:b/>
                <w:lang w:val="hr-HR"/>
              </w:rPr>
              <w:t>lastitim javnim sredstvima</w:t>
            </w:r>
            <w:r w:rsidRPr="009B026D">
              <w:rPr>
                <w:lang w:val="hr-HR"/>
              </w:rPr>
              <w:t xml:space="preserve"> </w:t>
            </w:r>
            <w:r>
              <w:rPr>
                <w:lang w:val="hr-HR"/>
              </w:rPr>
              <w:t>se smatraju</w:t>
            </w:r>
            <w:r w:rsidR="00E85E7B" w:rsidRPr="00E85E7B">
              <w:rPr>
                <w:lang w:val="hr-HR"/>
              </w:rPr>
              <w:t xml:space="preserve"> sredstva korisnika proračuna koji su troškove platili iz proračuna (državnog, jedinica lokalne i područne (regionalne) samouprave). Prijavitelj može tražiti nadoknadu vlastitih sredstava, ostvarenih primjerice gospodarskom djelatnošću, dok nikako ne može tražiti nadoknadu troškova nastalih kao posljedica serije potresa počevši od 28. prosinca 2020. godine koji se nadoknađuju putem drugih javnih izvora.</w:t>
            </w:r>
          </w:p>
        </w:tc>
      </w:tr>
      <w:tr w:rsidR="0097148D" w:rsidRPr="0097148D" w14:paraId="1C11CBDB" w14:textId="77777777" w:rsidTr="001130C4">
        <w:trPr>
          <w:trHeight w:val="433"/>
        </w:trPr>
        <w:tc>
          <w:tcPr>
            <w:tcW w:w="567" w:type="dxa"/>
            <w:shd w:val="clear" w:color="auto" w:fill="auto"/>
          </w:tcPr>
          <w:p w14:paraId="62BF584B" w14:textId="604F43DB" w:rsidR="0097148D" w:rsidRPr="0097148D" w:rsidRDefault="00BF30C3" w:rsidP="001130C4">
            <w:pPr>
              <w:jc w:val="right"/>
              <w:rPr>
                <w:b/>
                <w:lang w:val="hr-HR"/>
              </w:rPr>
            </w:pPr>
            <w:r>
              <w:rPr>
                <w:b/>
                <w:lang w:val="hr-HR"/>
              </w:rPr>
              <w:t>17</w:t>
            </w:r>
            <w:r w:rsidR="005775B7">
              <w:rPr>
                <w:b/>
                <w:lang w:val="hr-HR"/>
              </w:rPr>
              <w:t>.</w:t>
            </w:r>
          </w:p>
        </w:tc>
        <w:tc>
          <w:tcPr>
            <w:tcW w:w="6095" w:type="dxa"/>
            <w:shd w:val="clear" w:color="auto" w:fill="auto"/>
          </w:tcPr>
          <w:p w14:paraId="61AB1574" w14:textId="11D60374" w:rsidR="0097148D" w:rsidRPr="0097148D" w:rsidRDefault="0097148D" w:rsidP="001130C4">
            <w:pPr>
              <w:rPr>
                <w:lang w:val="hr-HR"/>
              </w:rPr>
            </w:pPr>
            <w:r w:rsidRPr="0097148D">
              <w:rPr>
                <w:lang w:val="hr-HR"/>
              </w:rPr>
              <w:t>Jesu li troškovi zamjene potrošene i oštećene službene zaštitne obuće i odjeće prihvatljivi troškovi ovog Poziva?</w:t>
            </w:r>
          </w:p>
        </w:tc>
        <w:tc>
          <w:tcPr>
            <w:tcW w:w="6946" w:type="dxa"/>
            <w:shd w:val="clear" w:color="auto" w:fill="auto"/>
          </w:tcPr>
          <w:p w14:paraId="7B62E5AB" w14:textId="5707C12C" w:rsidR="0097148D" w:rsidRPr="0097148D" w:rsidRDefault="00C24021" w:rsidP="001517D2">
            <w:pPr>
              <w:rPr>
                <w:lang w:val="hr-HR"/>
              </w:rPr>
            </w:pPr>
            <w:r>
              <w:rPr>
                <w:lang w:val="hr-HR"/>
              </w:rPr>
              <w:t xml:space="preserve">Prihvatljivi su. Napominjemo kako je isto potrebno dokazati popratnom dokumentacijom </w:t>
            </w:r>
            <w:r w:rsidRPr="00C24021">
              <w:rPr>
                <w:lang w:val="hr-HR"/>
              </w:rPr>
              <w:t>(izvještaj/zapisnik o uništenoj, oštećenoj i/ili rashodovanoj opremi, fotografije, inventurni brojevi, i slično).</w:t>
            </w:r>
          </w:p>
        </w:tc>
      </w:tr>
    </w:tbl>
    <w:p w14:paraId="35F39FCB" w14:textId="77777777" w:rsidR="001168D1" w:rsidRPr="00EC7F45" w:rsidRDefault="001168D1" w:rsidP="00002E6E">
      <w:pPr>
        <w:spacing w:after="0" w:line="240" w:lineRule="auto"/>
        <w:jc w:val="both"/>
        <w:rPr>
          <w:rFonts w:ascii="Times New Roman" w:hAnsi="Times New Roman" w:cs="Times New Roman"/>
          <w:sz w:val="24"/>
          <w:szCs w:val="24"/>
        </w:rPr>
      </w:pPr>
    </w:p>
    <w:sectPr w:rsidR="001168D1" w:rsidRPr="00EC7F45" w:rsidSect="001934E9">
      <w:footerReference w:type="default" r:id="rId13"/>
      <w:pgSz w:w="16838" w:h="11906" w:orient="landscape"/>
      <w:pgMar w:top="568" w:right="1417" w:bottom="1135"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45B3D" w14:textId="77777777" w:rsidR="00570C0F" w:rsidRDefault="00570C0F" w:rsidP="00FC265C">
      <w:pPr>
        <w:spacing w:after="0" w:line="240" w:lineRule="auto"/>
      </w:pPr>
      <w:r>
        <w:separator/>
      </w:r>
    </w:p>
  </w:endnote>
  <w:endnote w:type="continuationSeparator" w:id="0">
    <w:p w14:paraId="523AB400" w14:textId="77777777" w:rsidR="00570C0F" w:rsidRDefault="00570C0F"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C1E" w14:textId="408865D3" w:rsidR="00FA1518" w:rsidRDefault="00FA1518">
    <w:pPr>
      <w:pStyle w:val="Podnoje"/>
      <w:jc w:val="center"/>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696D6" w14:textId="77777777" w:rsidR="00570C0F" w:rsidRDefault="00570C0F" w:rsidP="00FC265C">
      <w:pPr>
        <w:spacing w:after="0" w:line="240" w:lineRule="auto"/>
      </w:pPr>
      <w:r>
        <w:separator/>
      </w:r>
    </w:p>
  </w:footnote>
  <w:footnote w:type="continuationSeparator" w:id="0">
    <w:p w14:paraId="62509BAB" w14:textId="77777777" w:rsidR="00570C0F" w:rsidRDefault="00570C0F"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034A0"/>
    <w:multiLevelType w:val="hybridMultilevel"/>
    <w:tmpl w:val="880009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E3793"/>
    <w:multiLevelType w:val="hybridMultilevel"/>
    <w:tmpl w:val="D9345F4C"/>
    <w:lvl w:ilvl="0" w:tplc="5186DC58">
      <w:start w:val="3"/>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F2E9C"/>
    <w:multiLevelType w:val="hybridMultilevel"/>
    <w:tmpl w:val="D988C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6"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146F57"/>
    <w:multiLevelType w:val="hybridMultilevel"/>
    <w:tmpl w:val="323EDFD6"/>
    <w:lvl w:ilvl="0" w:tplc="724411C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19"/>
  </w:num>
  <w:num w:numId="3">
    <w:abstractNumId w:val="2"/>
  </w:num>
  <w:num w:numId="4">
    <w:abstractNumId w:val="14"/>
  </w:num>
  <w:num w:numId="5">
    <w:abstractNumId w:val="9"/>
  </w:num>
  <w:num w:numId="6">
    <w:abstractNumId w:val="18"/>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21"/>
  </w:num>
  <w:num w:numId="12">
    <w:abstractNumId w:val="13"/>
  </w:num>
  <w:num w:numId="13">
    <w:abstractNumId w:val="15"/>
  </w:num>
  <w:num w:numId="14">
    <w:abstractNumId w:val="20"/>
  </w:num>
  <w:num w:numId="15">
    <w:abstractNumId w:val="16"/>
  </w:num>
  <w:num w:numId="16">
    <w:abstractNumId w:val="22"/>
  </w:num>
  <w:num w:numId="17">
    <w:abstractNumId w:val="4"/>
  </w:num>
  <w:num w:numId="18">
    <w:abstractNumId w:val="0"/>
  </w:num>
  <w:num w:numId="19">
    <w:abstractNumId w:val="1"/>
  </w:num>
  <w:num w:numId="20">
    <w:abstractNumId w:val="3"/>
  </w:num>
  <w:num w:numId="21">
    <w:abstractNumId w:val="17"/>
  </w:num>
  <w:num w:numId="22">
    <w:abstractNumId w:val="6"/>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25010"/>
    <w:rsid w:val="00025179"/>
    <w:rsid w:val="00033557"/>
    <w:rsid w:val="00041DB1"/>
    <w:rsid w:val="00070B3D"/>
    <w:rsid w:val="000717B8"/>
    <w:rsid w:val="00075396"/>
    <w:rsid w:val="00087974"/>
    <w:rsid w:val="000C22AB"/>
    <w:rsid w:val="000C5E2D"/>
    <w:rsid w:val="000D2ECF"/>
    <w:rsid w:val="000D72E4"/>
    <w:rsid w:val="000E0026"/>
    <w:rsid w:val="000E048D"/>
    <w:rsid w:val="000E1FC3"/>
    <w:rsid w:val="000E3753"/>
    <w:rsid w:val="00102D7E"/>
    <w:rsid w:val="00105079"/>
    <w:rsid w:val="001064EB"/>
    <w:rsid w:val="001168D1"/>
    <w:rsid w:val="00126B47"/>
    <w:rsid w:val="00131AED"/>
    <w:rsid w:val="00133307"/>
    <w:rsid w:val="00135309"/>
    <w:rsid w:val="0013776A"/>
    <w:rsid w:val="001421EB"/>
    <w:rsid w:val="001449EF"/>
    <w:rsid w:val="00146565"/>
    <w:rsid w:val="001517D2"/>
    <w:rsid w:val="001521C3"/>
    <w:rsid w:val="001534AC"/>
    <w:rsid w:val="0015413A"/>
    <w:rsid w:val="0015587E"/>
    <w:rsid w:val="00157A85"/>
    <w:rsid w:val="00162062"/>
    <w:rsid w:val="0017031A"/>
    <w:rsid w:val="00185383"/>
    <w:rsid w:val="001934E9"/>
    <w:rsid w:val="0019596C"/>
    <w:rsid w:val="001974B9"/>
    <w:rsid w:val="001A0094"/>
    <w:rsid w:val="001A17C6"/>
    <w:rsid w:val="001A2939"/>
    <w:rsid w:val="001A3DC4"/>
    <w:rsid w:val="001B23B8"/>
    <w:rsid w:val="001B6C35"/>
    <w:rsid w:val="001B6E45"/>
    <w:rsid w:val="001B7D2D"/>
    <w:rsid w:val="001D5C15"/>
    <w:rsid w:val="001D72E3"/>
    <w:rsid w:val="001E2835"/>
    <w:rsid w:val="001E2BCC"/>
    <w:rsid w:val="001E32CC"/>
    <w:rsid w:val="001F23F6"/>
    <w:rsid w:val="0020544A"/>
    <w:rsid w:val="0021201B"/>
    <w:rsid w:val="002123B8"/>
    <w:rsid w:val="0021460E"/>
    <w:rsid w:val="002200CD"/>
    <w:rsid w:val="00220385"/>
    <w:rsid w:val="0022540C"/>
    <w:rsid w:val="00231F3C"/>
    <w:rsid w:val="00241C38"/>
    <w:rsid w:val="00255256"/>
    <w:rsid w:val="00256C13"/>
    <w:rsid w:val="00256FC4"/>
    <w:rsid w:val="002632C2"/>
    <w:rsid w:val="00265580"/>
    <w:rsid w:val="002720AE"/>
    <w:rsid w:val="0027480B"/>
    <w:rsid w:val="00275B1A"/>
    <w:rsid w:val="00277013"/>
    <w:rsid w:val="0028615F"/>
    <w:rsid w:val="0028621D"/>
    <w:rsid w:val="002A5212"/>
    <w:rsid w:val="002A5357"/>
    <w:rsid w:val="002B2324"/>
    <w:rsid w:val="002C0AB7"/>
    <w:rsid w:val="002C33CF"/>
    <w:rsid w:val="002C3C3C"/>
    <w:rsid w:val="002C5E0E"/>
    <w:rsid w:val="002C5F04"/>
    <w:rsid w:val="002C6F5D"/>
    <w:rsid w:val="002D6A56"/>
    <w:rsid w:val="002D6C75"/>
    <w:rsid w:val="002E5C6E"/>
    <w:rsid w:val="002E650B"/>
    <w:rsid w:val="003042A2"/>
    <w:rsid w:val="0031107B"/>
    <w:rsid w:val="00313710"/>
    <w:rsid w:val="00313FE4"/>
    <w:rsid w:val="00320A93"/>
    <w:rsid w:val="00324620"/>
    <w:rsid w:val="0033705B"/>
    <w:rsid w:val="00344DE8"/>
    <w:rsid w:val="00345819"/>
    <w:rsid w:val="003512C9"/>
    <w:rsid w:val="00354EFC"/>
    <w:rsid w:val="00366959"/>
    <w:rsid w:val="00376A59"/>
    <w:rsid w:val="0037735B"/>
    <w:rsid w:val="0037749C"/>
    <w:rsid w:val="00377D87"/>
    <w:rsid w:val="00384BE7"/>
    <w:rsid w:val="00384E6B"/>
    <w:rsid w:val="00386638"/>
    <w:rsid w:val="00390E92"/>
    <w:rsid w:val="00393243"/>
    <w:rsid w:val="00393E2C"/>
    <w:rsid w:val="003A50E9"/>
    <w:rsid w:val="003B1151"/>
    <w:rsid w:val="003B147E"/>
    <w:rsid w:val="003C532A"/>
    <w:rsid w:val="003C7A71"/>
    <w:rsid w:val="003D0C1B"/>
    <w:rsid w:val="003D2E8D"/>
    <w:rsid w:val="003D5CC5"/>
    <w:rsid w:val="003D724F"/>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553B1"/>
    <w:rsid w:val="00461F02"/>
    <w:rsid w:val="00465397"/>
    <w:rsid w:val="0046775D"/>
    <w:rsid w:val="00471101"/>
    <w:rsid w:val="004716CB"/>
    <w:rsid w:val="00473BB8"/>
    <w:rsid w:val="00483932"/>
    <w:rsid w:val="004912B2"/>
    <w:rsid w:val="004961FF"/>
    <w:rsid w:val="004A1CC9"/>
    <w:rsid w:val="004A615D"/>
    <w:rsid w:val="004B0A8E"/>
    <w:rsid w:val="004B2E15"/>
    <w:rsid w:val="004B402A"/>
    <w:rsid w:val="004B4117"/>
    <w:rsid w:val="004B722E"/>
    <w:rsid w:val="004B7E0D"/>
    <w:rsid w:val="004C20C9"/>
    <w:rsid w:val="004C2773"/>
    <w:rsid w:val="004C7C74"/>
    <w:rsid w:val="004D3124"/>
    <w:rsid w:val="004D5761"/>
    <w:rsid w:val="004E29AB"/>
    <w:rsid w:val="004F7ACD"/>
    <w:rsid w:val="0050224E"/>
    <w:rsid w:val="00510A63"/>
    <w:rsid w:val="00511D99"/>
    <w:rsid w:val="0051414C"/>
    <w:rsid w:val="00544D17"/>
    <w:rsid w:val="0054576C"/>
    <w:rsid w:val="00563E70"/>
    <w:rsid w:val="00565EEF"/>
    <w:rsid w:val="00570C0F"/>
    <w:rsid w:val="00571959"/>
    <w:rsid w:val="00573224"/>
    <w:rsid w:val="005775B7"/>
    <w:rsid w:val="005813DD"/>
    <w:rsid w:val="005824F7"/>
    <w:rsid w:val="005849F9"/>
    <w:rsid w:val="00584E2A"/>
    <w:rsid w:val="0058653A"/>
    <w:rsid w:val="00587DFF"/>
    <w:rsid w:val="00592ADF"/>
    <w:rsid w:val="00593C7C"/>
    <w:rsid w:val="005A47E8"/>
    <w:rsid w:val="005A668A"/>
    <w:rsid w:val="005C5082"/>
    <w:rsid w:val="005D165D"/>
    <w:rsid w:val="005D44D1"/>
    <w:rsid w:val="005D4B64"/>
    <w:rsid w:val="005D681B"/>
    <w:rsid w:val="005E0D89"/>
    <w:rsid w:val="005E2728"/>
    <w:rsid w:val="005E2BEC"/>
    <w:rsid w:val="00601BE1"/>
    <w:rsid w:val="00614A18"/>
    <w:rsid w:val="00616078"/>
    <w:rsid w:val="00632AE9"/>
    <w:rsid w:val="00634D45"/>
    <w:rsid w:val="006532BB"/>
    <w:rsid w:val="00653729"/>
    <w:rsid w:val="00654E3C"/>
    <w:rsid w:val="00660AFA"/>
    <w:rsid w:val="00662D19"/>
    <w:rsid w:val="0066530D"/>
    <w:rsid w:val="0068593C"/>
    <w:rsid w:val="00686582"/>
    <w:rsid w:val="006878F5"/>
    <w:rsid w:val="00687B38"/>
    <w:rsid w:val="00690177"/>
    <w:rsid w:val="00694412"/>
    <w:rsid w:val="0069614B"/>
    <w:rsid w:val="006A3966"/>
    <w:rsid w:val="006C16EA"/>
    <w:rsid w:val="006C2D2A"/>
    <w:rsid w:val="006C2E43"/>
    <w:rsid w:val="006C414B"/>
    <w:rsid w:val="006C7AE0"/>
    <w:rsid w:val="006D2170"/>
    <w:rsid w:val="006D7D73"/>
    <w:rsid w:val="006E49CF"/>
    <w:rsid w:val="006E58C6"/>
    <w:rsid w:val="006F02B4"/>
    <w:rsid w:val="006F5631"/>
    <w:rsid w:val="006F61F0"/>
    <w:rsid w:val="006F716F"/>
    <w:rsid w:val="006F7A36"/>
    <w:rsid w:val="00701958"/>
    <w:rsid w:val="0071752A"/>
    <w:rsid w:val="007205DE"/>
    <w:rsid w:val="007247DD"/>
    <w:rsid w:val="00726557"/>
    <w:rsid w:val="00726D6C"/>
    <w:rsid w:val="00732F8E"/>
    <w:rsid w:val="00734037"/>
    <w:rsid w:val="00734F2D"/>
    <w:rsid w:val="007361D2"/>
    <w:rsid w:val="00742B44"/>
    <w:rsid w:val="007519B8"/>
    <w:rsid w:val="0075438A"/>
    <w:rsid w:val="007571D3"/>
    <w:rsid w:val="00764819"/>
    <w:rsid w:val="00767F01"/>
    <w:rsid w:val="0077278A"/>
    <w:rsid w:val="0077279C"/>
    <w:rsid w:val="0077431E"/>
    <w:rsid w:val="00776618"/>
    <w:rsid w:val="00777960"/>
    <w:rsid w:val="0078017A"/>
    <w:rsid w:val="007806CB"/>
    <w:rsid w:val="0078157A"/>
    <w:rsid w:val="00781612"/>
    <w:rsid w:val="007924B0"/>
    <w:rsid w:val="007A0C51"/>
    <w:rsid w:val="007A16D0"/>
    <w:rsid w:val="007B432C"/>
    <w:rsid w:val="007C563B"/>
    <w:rsid w:val="007E0476"/>
    <w:rsid w:val="007E716A"/>
    <w:rsid w:val="00800EBC"/>
    <w:rsid w:val="0080768F"/>
    <w:rsid w:val="0081394B"/>
    <w:rsid w:val="008143AD"/>
    <w:rsid w:val="00826E16"/>
    <w:rsid w:val="0083279E"/>
    <w:rsid w:val="008401B2"/>
    <w:rsid w:val="008467B9"/>
    <w:rsid w:val="008541A2"/>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B696A"/>
    <w:rsid w:val="008C2A42"/>
    <w:rsid w:val="008D053B"/>
    <w:rsid w:val="008D5073"/>
    <w:rsid w:val="008E518D"/>
    <w:rsid w:val="008E71E4"/>
    <w:rsid w:val="008F1C41"/>
    <w:rsid w:val="008F4888"/>
    <w:rsid w:val="0090012B"/>
    <w:rsid w:val="00903622"/>
    <w:rsid w:val="00903DB0"/>
    <w:rsid w:val="00904FA2"/>
    <w:rsid w:val="00911198"/>
    <w:rsid w:val="009115C5"/>
    <w:rsid w:val="00913041"/>
    <w:rsid w:val="00915A31"/>
    <w:rsid w:val="009169C2"/>
    <w:rsid w:val="00920F1C"/>
    <w:rsid w:val="009238C2"/>
    <w:rsid w:val="00925989"/>
    <w:rsid w:val="00926CFE"/>
    <w:rsid w:val="009360A4"/>
    <w:rsid w:val="0093744E"/>
    <w:rsid w:val="0094505A"/>
    <w:rsid w:val="009622CB"/>
    <w:rsid w:val="0097148D"/>
    <w:rsid w:val="00971E56"/>
    <w:rsid w:val="0098396A"/>
    <w:rsid w:val="00984845"/>
    <w:rsid w:val="00996300"/>
    <w:rsid w:val="00996FE8"/>
    <w:rsid w:val="009A0A4C"/>
    <w:rsid w:val="009A21CF"/>
    <w:rsid w:val="009A59DD"/>
    <w:rsid w:val="009B026D"/>
    <w:rsid w:val="009C6EDE"/>
    <w:rsid w:val="009D17A7"/>
    <w:rsid w:val="009E06F7"/>
    <w:rsid w:val="009E45B2"/>
    <w:rsid w:val="009E4B14"/>
    <w:rsid w:val="009F08AB"/>
    <w:rsid w:val="009F1F0C"/>
    <w:rsid w:val="009F490E"/>
    <w:rsid w:val="00A019E1"/>
    <w:rsid w:val="00A166B4"/>
    <w:rsid w:val="00A22696"/>
    <w:rsid w:val="00A24F6F"/>
    <w:rsid w:val="00A3084B"/>
    <w:rsid w:val="00A415B4"/>
    <w:rsid w:val="00A4448A"/>
    <w:rsid w:val="00A47FC8"/>
    <w:rsid w:val="00A50770"/>
    <w:rsid w:val="00A600DE"/>
    <w:rsid w:val="00A645BC"/>
    <w:rsid w:val="00A7020B"/>
    <w:rsid w:val="00A71EE6"/>
    <w:rsid w:val="00A7352C"/>
    <w:rsid w:val="00A766C2"/>
    <w:rsid w:val="00A81C96"/>
    <w:rsid w:val="00A84628"/>
    <w:rsid w:val="00A87842"/>
    <w:rsid w:val="00A97B60"/>
    <w:rsid w:val="00AA28A3"/>
    <w:rsid w:val="00AB45DB"/>
    <w:rsid w:val="00AC1967"/>
    <w:rsid w:val="00AC2E10"/>
    <w:rsid w:val="00AD383A"/>
    <w:rsid w:val="00AD43D0"/>
    <w:rsid w:val="00AD4C9B"/>
    <w:rsid w:val="00AE318F"/>
    <w:rsid w:val="00AE6DA4"/>
    <w:rsid w:val="00AE6FA1"/>
    <w:rsid w:val="00AF1DD1"/>
    <w:rsid w:val="00AF37E2"/>
    <w:rsid w:val="00AF63A3"/>
    <w:rsid w:val="00AF71D4"/>
    <w:rsid w:val="00B016FF"/>
    <w:rsid w:val="00B072D0"/>
    <w:rsid w:val="00B178B5"/>
    <w:rsid w:val="00B20CFE"/>
    <w:rsid w:val="00B21B8C"/>
    <w:rsid w:val="00B37EAB"/>
    <w:rsid w:val="00B40421"/>
    <w:rsid w:val="00B45804"/>
    <w:rsid w:val="00B53970"/>
    <w:rsid w:val="00B5423E"/>
    <w:rsid w:val="00B60EAE"/>
    <w:rsid w:val="00B6105D"/>
    <w:rsid w:val="00B7526C"/>
    <w:rsid w:val="00B80913"/>
    <w:rsid w:val="00B91902"/>
    <w:rsid w:val="00B94381"/>
    <w:rsid w:val="00B95C1B"/>
    <w:rsid w:val="00B96CCD"/>
    <w:rsid w:val="00BA0BB7"/>
    <w:rsid w:val="00BA50AB"/>
    <w:rsid w:val="00BA68EF"/>
    <w:rsid w:val="00BB6591"/>
    <w:rsid w:val="00BC1E84"/>
    <w:rsid w:val="00BC2912"/>
    <w:rsid w:val="00BC3421"/>
    <w:rsid w:val="00BC3C57"/>
    <w:rsid w:val="00BC755E"/>
    <w:rsid w:val="00BE107C"/>
    <w:rsid w:val="00BE466E"/>
    <w:rsid w:val="00BF0436"/>
    <w:rsid w:val="00BF30C3"/>
    <w:rsid w:val="00BF3462"/>
    <w:rsid w:val="00C07D04"/>
    <w:rsid w:val="00C10092"/>
    <w:rsid w:val="00C151F3"/>
    <w:rsid w:val="00C219F1"/>
    <w:rsid w:val="00C24021"/>
    <w:rsid w:val="00C5369B"/>
    <w:rsid w:val="00C661D3"/>
    <w:rsid w:val="00C71E74"/>
    <w:rsid w:val="00C71FFB"/>
    <w:rsid w:val="00C75344"/>
    <w:rsid w:val="00C81675"/>
    <w:rsid w:val="00C93C99"/>
    <w:rsid w:val="00CC284D"/>
    <w:rsid w:val="00CC77FF"/>
    <w:rsid w:val="00CD3103"/>
    <w:rsid w:val="00CD3292"/>
    <w:rsid w:val="00CD7911"/>
    <w:rsid w:val="00CE5CCB"/>
    <w:rsid w:val="00CE6837"/>
    <w:rsid w:val="00CE7CF7"/>
    <w:rsid w:val="00CE7DFF"/>
    <w:rsid w:val="00CF127F"/>
    <w:rsid w:val="00CF2A48"/>
    <w:rsid w:val="00CF689F"/>
    <w:rsid w:val="00D12C16"/>
    <w:rsid w:val="00D12E9C"/>
    <w:rsid w:val="00D166C8"/>
    <w:rsid w:val="00D17E78"/>
    <w:rsid w:val="00D25CC7"/>
    <w:rsid w:val="00D33DBD"/>
    <w:rsid w:val="00D360C0"/>
    <w:rsid w:val="00D42A58"/>
    <w:rsid w:val="00D4758C"/>
    <w:rsid w:val="00D50190"/>
    <w:rsid w:val="00D64CE6"/>
    <w:rsid w:val="00D73041"/>
    <w:rsid w:val="00D82761"/>
    <w:rsid w:val="00D82E32"/>
    <w:rsid w:val="00D86066"/>
    <w:rsid w:val="00D946CC"/>
    <w:rsid w:val="00D956F1"/>
    <w:rsid w:val="00D96048"/>
    <w:rsid w:val="00DA23CA"/>
    <w:rsid w:val="00DB03E0"/>
    <w:rsid w:val="00DB6455"/>
    <w:rsid w:val="00DC02A0"/>
    <w:rsid w:val="00DC0B8E"/>
    <w:rsid w:val="00DD2AAC"/>
    <w:rsid w:val="00DD78D8"/>
    <w:rsid w:val="00DE3E16"/>
    <w:rsid w:val="00DE67F3"/>
    <w:rsid w:val="00DF53ED"/>
    <w:rsid w:val="00DF6922"/>
    <w:rsid w:val="00E053F8"/>
    <w:rsid w:val="00E06670"/>
    <w:rsid w:val="00E1073F"/>
    <w:rsid w:val="00E10ED4"/>
    <w:rsid w:val="00E156A0"/>
    <w:rsid w:val="00E15B8C"/>
    <w:rsid w:val="00E322AD"/>
    <w:rsid w:val="00E34584"/>
    <w:rsid w:val="00E50633"/>
    <w:rsid w:val="00E61823"/>
    <w:rsid w:val="00E63528"/>
    <w:rsid w:val="00E82939"/>
    <w:rsid w:val="00E858BA"/>
    <w:rsid w:val="00E85E7B"/>
    <w:rsid w:val="00E94D1C"/>
    <w:rsid w:val="00E9610A"/>
    <w:rsid w:val="00E97254"/>
    <w:rsid w:val="00EA08DE"/>
    <w:rsid w:val="00EA0F18"/>
    <w:rsid w:val="00EA6D9F"/>
    <w:rsid w:val="00EB3D93"/>
    <w:rsid w:val="00EC3847"/>
    <w:rsid w:val="00EC7F45"/>
    <w:rsid w:val="00ED47F9"/>
    <w:rsid w:val="00ED7769"/>
    <w:rsid w:val="00EE19A2"/>
    <w:rsid w:val="00EE211A"/>
    <w:rsid w:val="00EE3476"/>
    <w:rsid w:val="00EE4823"/>
    <w:rsid w:val="00EF35F3"/>
    <w:rsid w:val="00F04E7D"/>
    <w:rsid w:val="00F050C4"/>
    <w:rsid w:val="00F11CAD"/>
    <w:rsid w:val="00F14137"/>
    <w:rsid w:val="00F14D0C"/>
    <w:rsid w:val="00F20EFA"/>
    <w:rsid w:val="00F23668"/>
    <w:rsid w:val="00F313D0"/>
    <w:rsid w:val="00F335D0"/>
    <w:rsid w:val="00F35A49"/>
    <w:rsid w:val="00F3729E"/>
    <w:rsid w:val="00F40E90"/>
    <w:rsid w:val="00F41132"/>
    <w:rsid w:val="00F50537"/>
    <w:rsid w:val="00F51C3B"/>
    <w:rsid w:val="00F522CF"/>
    <w:rsid w:val="00F52F2A"/>
    <w:rsid w:val="00F539F0"/>
    <w:rsid w:val="00F57973"/>
    <w:rsid w:val="00F62191"/>
    <w:rsid w:val="00F67B89"/>
    <w:rsid w:val="00F7009F"/>
    <w:rsid w:val="00F7211E"/>
    <w:rsid w:val="00F730AC"/>
    <w:rsid w:val="00F73512"/>
    <w:rsid w:val="00FA1518"/>
    <w:rsid w:val="00FA7BFE"/>
    <w:rsid w:val="00FB09B1"/>
    <w:rsid w:val="00FB2D63"/>
    <w:rsid w:val="00FC149F"/>
    <w:rsid w:val="00FC1C86"/>
    <w:rsid w:val="00FC265C"/>
    <w:rsid w:val="00FD7D9C"/>
    <w:rsid w:val="00FD7EAE"/>
    <w:rsid w:val="00FE47CB"/>
    <w:rsid w:val="00FE71B3"/>
    <w:rsid w:val="00FF2B00"/>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8D1"/>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C71E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19823567">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up.gov.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BEB4F-E189-4BD5-9D6A-81D572CF929E}">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e7e76099-6754-463c-9cf2-a42a0296b652"/>
    <ds:schemaRef ds:uri="b79bbf72-da78-429d-b3af-e70e85e72d43"/>
    <ds:schemaRef ds:uri="http://www.w3.org/XML/1998/namespace"/>
    <ds:schemaRef ds:uri="http://purl.org/dc/dcmitype/"/>
  </ds:schemaRefs>
</ds:datastoreItem>
</file>

<file path=customXml/itemProps2.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3.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D5A321-29A1-4125-94F2-9492713CE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Pages>
  <Words>1752</Words>
  <Characters>9991</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MUP</cp:lastModifiedBy>
  <cp:revision>17</cp:revision>
  <cp:lastPrinted>2022-02-02T14:28:00Z</cp:lastPrinted>
  <dcterms:created xsi:type="dcterms:W3CDTF">2022-02-02T08:55:00Z</dcterms:created>
  <dcterms:modified xsi:type="dcterms:W3CDTF">2022-02-02T14:55:00Z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