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5960E" w14:textId="07E7BB0F" w:rsidR="00614A18" w:rsidRPr="0097148D" w:rsidRDefault="00DA49F5" w:rsidP="00DA49F5">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614A18" w:rsidRPr="0097148D">
        <w:rPr>
          <w:rFonts w:ascii="Times New Roman" w:hAnsi="Times New Roman" w:cs="Times New Roman"/>
          <w:b/>
          <w:sz w:val="32"/>
          <w:szCs w:val="32"/>
        </w:rPr>
        <w:t>PITANJA I ODGOVORI</w:t>
      </w:r>
      <w:r w:rsidR="009115C5" w:rsidRPr="0097148D">
        <w:rPr>
          <w:rFonts w:ascii="Times New Roman" w:hAnsi="Times New Roman" w:cs="Times New Roman"/>
          <w:b/>
          <w:sz w:val="32"/>
          <w:szCs w:val="32"/>
        </w:rPr>
        <w:t xml:space="preserve"> </w:t>
      </w:r>
      <w:r>
        <w:rPr>
          <w:rFonts w:ascii="Times New Roman" w:hAnsi="Times New Roman" w:cs="Times New Roman"/>
          <w:b/>
          <w:sz w:val="32"/>
          <w:szCs w:val="32"/>
        </w:rPr>
        <w:t xml:space="preserve"> </w:t>
      </w:r>
    </w:p>
    <w:p w14:paraId="51B0A16C" w14:textId="77777777" w:rsidR="00C71E74" w:rsidRPr="0097148D" w:rsidRDefault="00686A72" w:rsidP="00B60EAE">
      <w:pPr>
        <w:spacing w:after="0" w:line="240" w:lineRule="auto"/>
        <w:jc w:val="center"/>
        <w:rPr>
          <w:rStyle w:val="Hiperveza"/>
          <w:rFonts w:ascii="Times New Roman" w:hAnsi="Times New Roman" w:cs="Times New Roman"/>
          <w:b/>
          <w:sz w:val="32"/>
          <w:szCs w:val="32"/>
        </w:rPr>
      </w:pPr>
      <w:hyperlink r:id="rId11" w:history="1">
        <w:r w:rsidR="009F490E" w:rsidRPr="0097148D">
          <w:rPr>
            <w:rStyle w:val="Hiperveza"/>
            <w:rFonts w:ascii="Times New Roman" w:hAnsi="Times New Roman" w:cs="Times New Roman"/>
            <w:b/>
            <w:sz w:val="32"/>
            <w:szCs w:val="32"/>
          </w:rPr>
          <w:t>www.strukturnifondovi.hr</w:t>
        </w:r>
      </w:hyperlink>
    </w:p>
    <w:p w14:paraId="3D0A6F81" w14:textId="0F6417AD" w:rsidR="00A600DE" w:rsidRPr="0097148D" w:rsidRDefault="00686A72" w:rsidP="00B60EAE">
      <w:pPr>
        <w:spacing w:after="0" w:line="240" w:lineRule="auto"/>
        <w:jc w:val="center"/>
        <w:rPr>
          <w:rFonts w:ascii="Times New Roman" w:hAnsi="Times New Roman" w:cs="Times New Roman"/>
          <w:b/>
          <w:sz w:val="32"/>
          <w:szCs w:val="32"/>
        </w:rPr>
      </w:pPr>
      <w:hyperlink r:id="rId12" w:history="1">
        <w:r w:rsidR="00C71E74" w:rsidRPr="0097148D">
          <w:rPr>
            <w:rStyle w:val="Hiperveza"/>
            <w:rFonts w:ascii="Times New Roman" w:hAnsi="Times New Roman" w:cs="Times New Roman"/>
            <w:b/>
            <w:sz w:val="32"/>
            <w:szCs w:val="32"/>
          </w:rPr>
          <w:t>mup.gov.hr</w:t>
        </w:r>
      </w:hyperlink>
      <w:r w:rsidR="009F490E" w:rsidRPr="0097148D">
        <w:rPr>
          <w:rFonts w:ascii="Times New Roman" w:hAnsi="Times New Roman" w:cs="Times New Roman"/>
          <w:b/>
          <w:sz w:val="32"/>
          <w:szCs w:val="32"/>
        </w:rPr>
        <w:t xml:space="preserve"> </w:t>
      </w:r>
    </w:p>
    <w:p w14:paraId="546473B1" w14:textId="77777777" w:rsidR="00C93C99" w:rsidRPr="0097148D" w:rsidRDefault="00C93C99" w:rsidP="00B60EAE">
      <w:pPr>
        <w:spacing w:after="0" w:line="240" w:lineRule="auto"/>
        <w:jc w:val="center"/>
        <w:rPr>
          <w:rFonts w:ascii="Times New Roman" w:hAnsi="Times New Roman" w:cs="Times New Roman"/>
          <w:b/>
          <w:sz w:val="32"/>
          <w:szCs w:val="32"/>
        </w:rPr>
      </w:pPr>
    </w:p>
    <w:p w14:paraId="2CB7203F" w14:textId="77777777" w:rsidR="00461F02" w:rsidRPr="0097148D" w:rsidRDefault="00461F02" w:rsidP="00461F02">
      <w:pPr>
        <w:spacing w:after="0" w:line="240" w:lineRule="auto"/>
        <w:jc w:val="center"/>
        <w:rPr>
          <w:rStyle w:val="Bodytext285pt"/>
          <w:rFonts w:eastAsiaTheme="minorHAnsi"/>
          <w:b/>
          <w:sz w:val="18"/>
          <w:szCs w:val="18"/>
          <w:lang w:val="hr-HR"/>
        </w:rPr>
      </w:pPr>
    </w:p>
    <w:p w14:paraId="38FF248D" w14:textId="676493ED" w:rsidR="007A0C51" w:rsidRPr="0097148D" w:rsidRDefault="00BC755E" w:rsidP="007A0C51">
      <w:pPr>
        <w:spacing w:after="0" w:line="240" w:lineRule="auto"/>
        <w:rPr>
          <w:rFonts w:ascii="Times New Roman" w:hAnsi="Times New Roman" w:cs="Times New Roman"/>
          <w:b/>
          <w:sz w:val="18"/>
          <w:szCs w:val="18"/>
        </w:rPr>
      </w:pPr>
      <w:r w:rsidRPr="0097148D">
        <w:rPr>
          <w:rStyle w:val="Bodytext285pt"/>
          <w:rFonts w:eastAsiaTheme="minorHAnsi"/>
          <w:b/>
          <w:sz w:val="18"/>
          <w:szCs w:val="18"/>
          <w:lang w:val="hr-HR"/>
        </w:rPr>
        <w:t>FOND:</w:t>
      </w:r>
      <w:r w:rsidR="001B6E45" w:rsidRPr="0097148D">
        <w:rPr>
          <w:rStyle w:val="Bodytext285pt"/>
          <w:rFonts w:eastAsiaTheme="minorHAnsi"/>
          <w:b/>
          <w:sz w:val="18"/>
          <w:szCs w:val="18"/>
          <w:lang w:val="hr-HR"/>
        </w:rPr>
        <w:t xml:space="preserve"> Fond solidarnosti Europske unije</w:t>
      </w:r>
      <w:r w:rsidR="00781612" w:rsidRPr="0097148D">
        <w:rPr>
          <w:rStyle w:val="Bodytext285pt"/>
          <w:rFonts w:eastAsiaTheme="minorHAnsi"/>
          <w:b/>
          <w:sz w:val="18"/>
          <w:szCs w:val="18"/>
          <w:lang w:val="hr-HR"/>
        </w:rPr>
        <w:tab/>
      </w:r>
      <w:r w:rsidR="00781612" w:rsidRPr="0097148D">
        <w:rPr>
          <w:rStyle w:val="Bodytext285pt"/>
          <w:rFonts w:eastAsiaTheme="minorHAnsi"/>
          <w:b/>
          <w:sz w:val="18"/>
          <w:szCs w:val="18"/>
          <w:lang w:val="hr-HR"/>
        </w:rPr>
        <w:tab/>
      </w:r>
      <w:r w:rsidR="00781612" w:rsidRPr="0097148D">
        <w:rPr>
          <w:rStyle w:val="Bodytext285pt"/>
          <w:rFonts w:eastAsiaTheme="minorHAnsi"/>
          <w:b/>
          <w:sz w:val="18"/>
          <w:szCs w:val="18"/>
          <w:lang w:val="hr-HR"/>
        </w:rPr>
        <w:tab/>
      </w:r>
      <w:r w:rsidR="00781612" w:rsidRPr="0097148D">
        <w:rPr>
          <w:rStyle w:val="Bodytext285pt"/>
          <w:rFonts w:eastAsiaTheme="minorHAnsi"/>
          <w:b/>
          <w:sz w:val="18"/>
          <w:szCs w:val="18"/>
          <w:lang w:val="hr-HR"/>
        </w:rPr>
        <w:tab/>
      </w:r>
      <w:r w:rsidR="00461F02" w:rsidRPr="0097148D">
        <w:rPr>
          <w:rStyle w:val="Bodytext285pt"/>
          <w:rFonts w:eastAsiaTheme="minorHAnsi"/>
          <w:sz w:val="18"/>
          <w:szCs w:val="18"/>
          <w:lang w:val="hr-HR"/>
        </w:rPr>
        <w:tab/>
      </w:r>
      <w:r w:rsidR="00461F02" w:rsidRPr="0097148D">
        <w:rPr>
          <w:rStyle w:val="Bodytext285pt"/>
          <w:rFonts w:eastAsiaTheme="minorHAnsi"/>
          <w:sz w:val="18"/>
          <w:szCs w:val="18"/>
          <w:lang w:val="hr-HR"/>
        </w:rPr>
        <w:tab/>
      </w:r>
      <w:r w:rsidR="00461F02" w:rsidRPr="0097148D">
        <w:rPr>
          <w:rStyle w:val="Bodytext285pt"/>
          <w:rFonts w:eastAsiaTheme="minorHAnsi"/>
          <w:sz w:val="18"/>
          <w:szCs w:val="18"/>
          <w:lang w:val="hr-HR"/>
        </w:rPr>
        <w:tab/>
      </w:r>
      <w:r w:rsidR="007A0C51" w:rsidRPr="0097148D">
        <w:rPr>
          <w:rFonts w:ascii="Times New Roman" w:hAnsi="Times New Roman" w:cs="Times New Roman"/>
          <w:b/>
          <w:sz w:val="18"/>
          <w:szCs w:val="18"/>
        </w:rPr>
        <w:t xml:space="preserve">NADLEŽNO TIJELO: </w:t>
      </w:r>
      <w:r w:rsidR="00CF689F" w:rsidRPr="0097148D">
        <w:rPr>
          <w:rFonts w:ascii="Times New Roman" w:hAnsi="Times New Roman" w:cs="Times New Roman"/>
          <w:b/>
          <w:sz w:val="18"/>
          <w:szCs w:val="18"/>
        </w:rPr>
        <w:t>Ministarstvo unutarnjih poslova</w:t>
      </w:r>
    </w:p>
    <w:p w14:paraId="4ACAB349" w14:textId="77777777" w:rsidR="00CF689F" w:rsidRPr="0097148D" w:rsidRDefault="001B6E45"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NAZIV POZIVA:</w:t>
      </w:r>
      <w:r w:rsidRPr="0097148D">
        <w:rPr>
          <w:rFonts w:ascii="Times New Roman" w:hAnsi="Times New Roman" w:cs="Times New Roman"/>
          <w:b/>
          <w:sz w:val="18"/>
          <w:szCs w:val="18"/>
        </w:rPr>
        <w:tab/>
      </w:r>
      <w:r w:rsidR="00CF689F" w:rsidRPr="0097148D">
        <w:rPr>
          <w:rFonts w:ascii="Times New Roman" w:hAnsi="Times New Roman" w:cs="Times New Roman"/>
          <w:b/>
          <w:sz w:val="18"/>
          <w:szCs w:val="18"/>
        </w:rPr>
        <w:t>Financiranje službi spašavanja za potrebe stanovništva nastalih</w:t>
      </w:r>
    </w:p>
    <w:p w14:paraId="4AD05D67" w14:textId="6CE79170" w:rsidR="00CF689F"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 xml:space="preserve">kao posljedica serije potresa počevši od 28. prosinca 2020. godine na području Grada Zagreba,           ROK ZA PODNOŠENJE PP: </w:t>
      </w:r>
      <w:r w:rsidR="00BC3C57" w:rsidRPr="0097148D">
        <w:rPr>
          <w:rFonts w:ascii="Times New Roman" w:hAnsi="Times New Roman" w:cs="Times New Roman"/>
          <w:b/>
          <w:sz w:val="18"/>
          <w:szCs w:val="18"/>
        </w:rPr>
        <w:t>30. travanj 2022.</w:t>
      </w:r>
    </w:p>
    <w:p w14:paraId="36BEB28B" w14:textId="77777777" w:rsidR="00CF689F"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Krapinsko-zagorske županije, Zagrebačke županije, Sisačko-moslavačke županije,</w:t>
      </w:r>
    </w:p>
    <w:p w14:paraId="697277E1" w14:textId="7BE6B968" w:rsidR="00CF689F"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Karlovačke županije, Varaždinske županije, Međimurske županije, Brodsko-posavske županije,         ROK ZA ODGOVOR NA PITANJE (UzP):</w:t>
      </w:r>
      <w:r w:rsidR="00BC3C57" w:rsidRPr="0097148D">
        <w:rPr>
          <w:rFonts w:ascii="Times New Roman" w:hAnsi="Times New Roman" w:cs="Times New Roman"/>
          <w:b/>
          <w:sz w:val="18"/>
          <w:szCs w:val="18"/>
        </w:rPr>
        <w:t xml:space="preserve"> Svakih 7 radnih dana</w:t>
      </w:r>
    </w:p>
    <w:p w14:paraId="7015CE32" w14:textId="3D159770" w:rsidR="00461F02"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Koprivničko-križevačke županije i Bjelovarsko-bilogorske županije</w:t>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t xml:space="preserve"> </w:t>
      </w:r>
    </w:p>
    <w:p w14:paraId="3C6C58C4" w14:textId="77777777" w:rsidR="00CF689F" w:rsidRPr="0097148D" w:rsidRDefault="00CF689F" w:rsidP="001B6E45">
      <w:pPr>
        <w:spacing w:after="0" w:line="240" w:lineRule="auto"/>
        <w:rPr>
          <w:rFonts w:ascii="Times New Roman" w:hAnsi="Times New Roman" w:cs="Times New Roman"/>
          <w:b/>
          <w:sz w:val="18"/>
          <w:szCs w:val="18"/>
        </w:rPr>
      </w:pPr>
    </w:p>
    <w:p w14:paraId="74E7BE21" w14:textId="3966E473" w:rsidR="001B6E45" w:rsidRPr="0097148D" w:rsidRDefault="001B6E45" w:rsidP="001B6E45">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OZNAKA POZIVA:</w:t>
      </w:r>
      <w:r w:rsidR="00CF689F" w:rsidRPr="0097148D">
        <w:rPr>
          <w:rFonts w:ascii="Times New Roman" w:hAnsi="Times New Roman" w:cs="Times New Roman"/>
          <w:b/>
          <w:sz w:val="18"/>
          <w:szCs w:val="18"/>
        </w:rPr>
        <w:t xml:space="preserve"> FSEU.2022.MUP.</w:t>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t xml:space="preserve"> </w:t>
      </w:r>
    </w:p>
    <w:p w14:paraId="2A20E381" w14:textId="436B7F90" w:rsidR="001B6E45" w:rsidRPr="0097148D" w:rsidRDefault="006C2D2A" w:rsidP="001B6E45">
      <w:pPr>
        <w:spacing w:after="0" w:line="240" w:lineRule="auto"/>
        <w:rPr>
          <w:rFonts w:ascii="Times New Roman" w:hAnsi="Times New Roman" w:cs="Times New Roman"/>
          <w:b/>
          <w:bCs/>
          <w:sz w:val="18"/>
          <w:szCs w:val="18"/>
        </w:rPr>
      </w:pPr>
      <w:r w:rsidRPr="0097148D">
        <w:rPr>
          <w:rFonts w:ascii="Times New Roman" w:hAnsi="Times New Roman" w:cs="Times New Roman"/>
          <w:b/>
          <w:bCs/>
          <w:sz w:val="18"/>
          <w:szCs w:val="18"/>
        </w:rPr>
        <w:t>TIP NATJEČAJA:</w:t>
      </w:r>
      <w:r w:rsidR="00CF689F" w:rsidRPr="0097148D">
        <w:rPr>
          <w:rFonts w:ascii="Times New Roman" w:hAnsi="Times New Roman" w:cs="Times New Roman"/>
          <w:b/>
          <w:bCs/>
          <w:sz w:val="18"/>
          <w:szCs w:val="18"/>
        </w:rPr>
        <w:t xml:space="preserve"> OTVORENI POSTUPAK</w:t>
      </w:r>
    </w:p>
    <w:p w14:paraId="0F944CA7" w14:textId="50DA0528" w:rsidR="00461F02" w:rsidRPr="0097148D" w:rsidRDefault="001B6E45"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F51C3B" w:rsidRPr="0097148D">
        <w:rPr>
          <w:rFonts w:ascii="Times New Roman" w:hAnsi="Times New Roman" w:cs="Times New Roman"/>
          <w:b/>
          <w:sz w:val="18"/>
          <w:szCs w:val="18"/>
        </w:rPr>
        <w:t xml:space="preserve"> </w:t>
      </w:r>
    </w:p>
    <w:p w14:paraId="0199FBB4" w14:textId="11D662DB" w:rsidR="002632C2" w:rsidRPr="0097148D"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97148D" w:rsidRDefault="00A3084B" w:rsidP="00A3084B">
      <w:pPr>
        <w:spacing w:after="0" w:line="240" w:lineRule="auto"/>
        <w:jc w:val="both"/>
        <w:rPr>
          <w:rFonts w:ascii="Times New Roman" w:eastAsia="Times New Roman" w:hAnsi="Times New Roman" w:cs="Times New Roman"/>
          <w:sz w:val="18"/>
          <w:szCs w:val="18"/>
        </w:rPr>
      </w:pPr>
      <w:r w:rsidRPr="0097148D">
        <w:rPr>
          <w:rFonts w:ascii="Times New Roman" w:eastAsia="Times New Roman" w:hAnsi="Times New Roman" w:cs="Times New Roman"/>
          <w:sz w:val="18"/>
          <w:szCs w:val="18"/>
        </w:rPr>
        <w:t xml:space="preserve">Objavljeni odgovori dopunjuju i detaljnije pojašnjavaju dokumentaciju </w:t>
      </w:r>
      <w:r w:rsidR="001F23F6" w:rsidRPr="0097148D">
        <w:rPr>
          <w:rFonts w:ascii="Times New Roman" w:eastAsia="Times New Roman" w:hAnsi="Times New Roman" w:cs="Times New Roman"/>
          <w:sz w:val="18"/>
          <w:szCs w:val="18"/>
        </w:rPr>
        <w:t>Poziva na dostavu projektnih prijedloga (</w:t>
      </w:r>
      <w:r w:rsidRPr="0097148D">
        <w:rPr>
          <w:rFonts w:ascii="Times New Roman" w:eastAsia="Times New Roman" w:hAnsi="Times New Roman" w:cs="Times New Roman"/>
          <w:sz w:val="18"/>
          <w:szCs w:val="18"/>
        </w:rPr>
        <w:t>PDP</w:t>
      </w:r>
      <w:r w:rsidR="001F23F6" w:rsidRPr="0097148D">
        <w:rPr>
          <w:rFonts w:ascii="Times New Roman" w:eastAsia="Times New Roman" w:hAnsi="Times New Roman" w:cs="Times New Roman"/>
          <w:sz w:val="18"/>
          <w:szCs w:val="18"/>
        </w:rPr>
        <w:t>)</w:t>
      </w:r>
      <w:r w:rsidRPr="0097148D">
        <w:rPr>
          <w:rFonts w:ascii="Times New Roman" w:eastAsia="Times New Roman" w:hAnsi="Times New Roman" w:cs="Times New Roman"/>
          <w:sz w:val="18"/>
          <w:szCs w:val="18"/>
        </w:rPr>
        <w:t>. Odgovor na pojedino pitanje mora biti eksplicitan, ali u svojoj cjelini i</w:t>
      </w:r>
      <w:r w:rsidR="00256FC4" w:rsidRPr="0097148D">
        <w:rPr>
          <w:rFonts w:ascii="Times New Roman" w:eastAsia="Times New Roman" w:hAnsi="Times New Roman" w:cs="Times New Roman"/>
          <w:sz w:val="18"/>
          <w:szCs w:val="18"/>
        </w:rPr>
        <w:t>li</w:t>
      </w:r>
      <w:r w:rsidRPr="0097148D">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97148D" w:rsidRDefault="00893A7E" w:rsidP="00A3084B">
      <w:pPr>
        <w:spacing w:after="0" w:line="240" w:lineRule="auto"/>
        <w:jc w:val="both"/>
        <w:rPr>
          <w:rFonts w:ascii="Times New Roman" w:eastAsia="Times New Roman" w:hAnsi="Times New Roman" w:cs="Times New Roman"/>
          <w:sz w:val="18"/>
          <w:szCs w:val="18"/>
        </w:rPr>
      </w:pPr>
      <w:r w:rsidRPr="0097148D">
        <w:rPr>
          <w:rFonts w:ascii="Times New Roman" w:eastAsia="Times New Roman" w:hAnsi="Times New Roman" w:cs="Times New Roman"/>
          <w:sz w:val="18"/>
          <w:szCs w:val="18"/>
        </w:rPr>
        <w:t>U</w:t>
      </w:r>
      <w:r w:rsidR="0022540C" w:rsidRPr="0097148D">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sidRPr="0097148D">
        <w:rPr>
          <w:rFonts w:ascii="Times New Roman" w:hAnsi="Times New Roman" w:cs="Times New Roman"/>
          <w:color w:val="000000"/>
          <w:sz w:val="18"/>
          <w:szCs w:val="18"/>
        </w:rPr>
        <w:t>operacije</w:t>
      </w:r>
      <w:r w:rsidR="0022540C" w:rsidRPr="0097148D">
        <w:rPr>
          <w:rFonts w:ascii="Times New Roman" w:hAnsi="Times New Roman" w:cs="Times New Roman"/>
          <w:color w:val="000000"/>
          <w:sz w:val="18"/>
          <w:szCs w:val="18"/>
        </w:rPr>
        <w:t xml:space="preserve"> ili određenih aktivnosti i troškova</w:t>
      </w:r>
      <w:r w:rsidR="002632C2" w:rsidRPr="0097148D">
        <w:rPr>
          <w:rFonts w:ascii="Times New Roman" w:hAnsi="Times New Roman" w:cs="Times New Roman"/>
          <w:color w:val="000000"/>
          <w:sz w:val="18"/>
          <w:szCs w:val="18"/>
        </w:rPr>
        <w:t xml:space="preserve"> te ne </w:t>
      </w:r>
      <w:r w:rsidR="0022540C" w:rsidRPr="0097148D">
        <w:rPr>
          <w:rFonts w:ascii="Times New Roman" w:eastAsia="Times New Roman" w:hAnsi="Times New Roman" w:cs="Times New Roman"/>
          <w:sz w:val="18"/>
          <w:szCs w:val="18"/>
        </w:rPr>
        <w:t>može zamijeniti niti prejudicirati ishod pojedinih faza postupka dodjele kako su opisane u U</w:t>
      </w:r>
      <w:r w:rsidR="00F20EFA" w:rsidRPr="0097148D">
        <w:rPr>
          <w:rFonts w:ascii="Times New Roman" w:eastAsia="Times New Roman" w:hAnsi="Times New Roman" w:cs="Times New Roman"/>
          <w:sz w:val="18"/>
          <w:szCs w:val="18"/>
        </w:rPr>
        <w:t>zP-u</w:t>
      </w:r>
      <w:r w:rsidR="0022540C" w:rsidRPr="0097148D">
        <w:rPr>
          <w:rFonts w:ascii="Times New Roman" w:eastAsia="Times New Roman" w:hAnsi="Times New Roman" w:cs="Times New Roman"/>
          <w:sz w:val="18"/>
          <w:szCs w:val="18"/>
        </w:rPr>
        <w:t xml:space="preserve">. </w:t>
      </w:r>
      <w:r w:rsidR="0022540C" w:rsidRPr="0097148D">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sidRPr="0097148D">
        <w:rPr>
          <w:rFonts w:ascii="Times New Roman" w:eastAsia="Times New Roman" w:hAnsi="Times New Roman" w:cs="Times New Roman"/>
          <w:sz w:val="18"/>
          <w:szCs w:val="18"/>
          <w:u w:val="single"/>
        </w:rPr>
        <w:t>e</w:t>
      </w:r>
      <w:r w:rsidR="0022540C" w:rsidRPr="0097148D">
        <w:rPr>
          <w:rFonts w:ascii="Times New Roman" w:eastAsia="Times New Roman" w:hAnsi="Times New Roman" w:cs="Times New Roman"/>
          <w:sz w:val="18"/>
          <w:szCs w:val="18"/>
          <w:u w:val="single"/>
        </w:rPr>
        <w:t xml:space="preserve"> </w:t>
      </w:r>
      <w:r w:rsidR="00690177" w:rsidRPr="0097148D">
        <w:rPr>
          <w:rFonts w:ascii="Times New Roman" w:eastAsia="Times New Roman" w:hAnsi="Times New Roman" w:cs="Times New Roman"/>
          <w:sz w:val="18"/>
          <w:szCs w:val="18"/>
          <w:u w:val="single"/>
        </w:rPr>
        <w:t>operacije</w:t>
      </w:r>
      <w:r w:rsidR="0022540C" w:rsidRPr="0097148D">
        <w:rPr>
          <w:rFonts w:ascii="Times New Roman" w:eastAsia="Times New Roman" w:hAnsi="Times New Roman" w:cs="Times New Roman"/>
          <w:sz w:val="18"/>
          <w:szCs w:val="18"/>
          <w:u w:val="single"/>
        </w:rPr>
        <w:t xml:space="preserve">, konkretnog </w:t>
      </w:r>
      <w:r w:rsidR="001F23F6" w:rsidRPr="0097148D">
        <w:rPr>
          <w:rFonts w:ascii="Times New Roman" w:eastAsia="Times New Roman" w:hAnsi="Times New Roman" w:cs="Times New Roman"/>
          <w:sz w:val="18"/>
          <w:szCs w:val="18"/>
          <w:u w:val="single"/>
        </w:rPr>
        <w:t>p</w:t>
      </w:r>
      <w:r w:rsidR="0022540C" w:rsidRPr="0097148D">
        <w:rPr>
          <w:rFonts w:ascii="Times New Roman" w:eastAsia="Times New Roman" w:hAnsi="Times New Roman" w:cs="Times New Roman"/>
          <w:sz w:val="18"/>
          <w:szCs w:val="18"/>
          <w:u w:val="single"/>
        </w:rPr>
        <w:t>rijavitelja, konkretnih aktivnosti, konkretnih troškova i slično.</w:t>
      </w:r>
      <w:r w:rsidR="0022540C" w:rsidRPr="0097148D">
        <w:rPr>
          <w:rFonts w:ascii="Times New Roman" w:eastAsia="Times New Roman" w:hAnsi="Times New Roman" w:cs="Times New Roman"/>
          <w:sz w:val="18"/>
          <w:szCs w:val="18"/>
        </w:rPr>
        <w:t xml:space="preserve"> U slučaju takvih pitanja, </w:t>
      </w:r>
      <w:r w:rsidR="002632C2" w:rsidRPr="0097148D">
        <w:rPr>
          <w:rFonts w:ascii="Times New Roman" w:eastAsia="Times New Roman" w:hAnsi="Times New Roman" w:cs="Times New Roman"/>
          <w:sz w:val="18"/>
          <w:szCs w:val="18"/>
        </w:rPr>
        <w:t xml:space="preserve">odgovor </w:t>
      </w:r>
      <w:r w:rsidR="0022540C" w:rsidRPr="0097148D">
        <w:rPr>
          <w:rFonts w:ascii="Times New Roman" w:eastAsia="Times New Roman" w:hAnsi="Times New Roman" w:cs="Times New Roman"/>
          <w:sz w:val="18"/>
          <w:szCs w:val="18"/>
        </w:rPr>
        <w:t>nadležno</w:t>
      </w:r>
      <w:r w:rsidR="002632C2" w:rsidRPr="0097148D">
        <w:rPr>
          <w:rFonts w:ascii="Times New Roman" w:eastAsia="Times New Roman" w:hAnsi="Times New Roman" w:cs="Times New Roman"/>
          <w:sz w:val="18"/>
          <w:szCs w:val="18"/>
        </w:rPr>
        <w:t>g</w:t>
      </w:r>
      <w:r w:rsidR="0022540C" w:rsidRPr="0097148D">
        <w:rPr>
          <w:rFonts w:ascii="Times New Roman" w:eastAsia="Times New Roman" w:hAnsi="Times New Roman" w:cs="Times New Roman"/>
          <w:sz w:val="18"/>
          <w:szCs w:val="18"/>
        </w:rPr>
        <w:t xml:space="preserve"> tijel</w:t>
      </w:r>
      <w:r w:rsidR="002632C2" w:rsidRPr="0097148D">
        <w:rPr>
          <w:rFonts w:ascii="Times New Roman" w:eastAsia="Times New Roman" w:hAnsi="Times New Roman" w:cs="Times New Roman"/>
          <w:sz w:val="18"/>
          <w:szCs w:val="18"/>
        </w:rPr>
        <w:t>a</w:t>
      </w:r>
      <w:r w:rsidR="0022540C" w:rsidRPr="0097148D">
        <w:rPr>
          <w:rFonts w:ascii="Times New Roman" w:eastAsia="Times New Roman" w:hAnsi="Times New Roman" w:cs="Times New Roman"/>
          <w:sz w:val="18"/>
          <w:szCs w:val="18"/>
        </w:rPr>
        <w:t xml:space="preserve"> će upu</w:t>
      </w:r>
      <w:r w:rsidR="002632C2" w:rsidRPr="0097148D">
        <w:rPr>
          <w:rFonts w:ascii="Times New Roman" w:eastAsia="Times New Roman" w:hAnsi="Times New Roman" w:cs="Times New Roman"/>
          <w:sz w:val="18"/>
          <w:szCs w:val="18"/>
        </w:rPr>
        <w:t>ćivati</w:t>
      </w:r>
      <w:r w:rsidR="0022540C" w:rsidRPr="0097148D">
        <w:rPr>
          <w:rFonts w:ascii="Times New Roman" w:eastAsia="Times New Roman" w:hAnsi="Times New Roman" w:cs="Times New Roman"/>
          <w:sz w:val="18"/>
          <w:szCs w:val="18"/>
        </w:rPr>
        <w:t xml:space="preserve"> na relevantni dio dokumentacije P</w:t>
      </w:r>
      <w:r w:rsidR="00913041" w:rsidRPr="0097148D">
        <w:rPr>
          <w:rFonts w:ascii="Times New Roman" w:eastAsia="Times New Roman" w:hAnsi="Times New Roman" w:cs="Times New Roman"/>
          <w:sz w:val="18"/>
          <w:szCs w:val="18"/>
        </w:rPr>
        <w:t>DP-</w:t>
      </w:r>
      <w:r w:rsidR="0022540C" w:rsidRPr="0097148D">
        <w:rPr>
          <w:rFonts w:ascii="Times New Roman" w:hAnsi="Times New Roman" w:cs="Times New Roman"/>
          <w:sz w:val="18"/>
          <w:szCs w:val="18"/>
        </w:rPr>
        <w:t xml:space="preserve">a. </w:t>
      </w:r>
      <w:r w:rsidR="0022540C" w:rsidRPr="0097148D">
        <w:rPr>
          <w:rFonts w:ascii="Times New Roman" w:eastAsia="Times New Roman" w:hAnsi="Times New Roman" w:cs="Times New Roman"/>
          <w:sz w:val="18"/>
          <w:szCs w:val="18"/>
        </w:rPr>
        <w:t xml:space="preserve"> </w:t>
      </w:r>
    </w:p>
    <w:p w14:paraId="1E78F6EC" w14:textId="5FFFF016" w:rsidR="00F20EFA" w:rsidRDefault="00F20EFA" w:rsidP="00913041">
      <w:pPr>
        <w:spacing w:after="0" w:line="240" w:lineRule="auto"/>
        <w:jc w:val="both"/>
        <w:rPr>
          <w:rFonts w:ascii="Times New Roman" w:eastAsia="Times New Roman" w:hAnsi="Times New Roman" w:cs="Times New Roman"/>
          <w:sz w:val="18"/>
          <w:szCs w:val="18"/>
        </w:rPr>
      </w:pPr>
    </w:p>
    <w:p w14:paraId="3D39274D" w14:textId="54A58359" w:rsidR="00DA49F5" w:rsidRDefault="00DA49F5" w:rsidP="00913041">
      <w:pPr>
        <w:spacing w:after="0" w:line="240" w:lineRule="auto"/>
        <w:jc w:val="both"/>
        <w:rPr>
          <w:rFonts w:ascii="Times New Roman" w:eastAsia="Times New Roman" w:hAnsi="Times New Roman" w:cs="Times New Roman"/>
          <w:sz w:val="18"/>
          <w:szCs w:val="18"/>
        </w:rPr>
      </w:pPr>
    </w:p>
    <w:p w14:paraId="6CACC705" w14:textId="77777777" w:rsidR="00DA49F5" w:rsidRPr="0097148D" w:rsidRDefault="00DA49F5" w:rsidP="00913041">
      <w:pPr>
        <w:spacing w:after="0" w:line="240" w:lineRule="auto"/>
        <w:jc w:val="both"/>
        <w:rPr>
          <w:rFonts w:ascii="Times New Roman" w:eastAsia="Times New Roman" w:hAnsi="Times New Roman" w:cs="Times New Roman"/>
          <w:sz w:val="18"/>
          <w:szCs w:val="18"/>
        </w:rPr>
      </w:pPr>
    </w:p>
    <w:tbl>
      <w:tblPr>
        <w:tblStyle w:val="Reetkatablice"/>
        <w:tblW w:w="13666" w:type="dxa"/>
        <w:tblInd w:w="-5" w:type="dxa"/>
        <w:tblLayout w:type="fixed"/>
        <w:tblLook w:val="04A0" w:firstRow="1" w:lastRow="0" w:firstColumn="1" w:lastColumn="0" w:noHBand="0" w:noVBand="1"/>
      </w:tblPr>
      <w:tblGrid>
        <w:gridCol w:w="569"/>
        <w:gridCol w:w="6121"/>
        <w:gridCol w:w="6976"/>
      </w:tblGrid>
      <w:tr w:rsidR="00461F02" w:rsidRPr="0097148D" w14:paraId="4DF658F4" w14:textId="77777777" w:rsidTr="004F45A5">
        <w:trPr>
          <w:trHeight w:val="466"/>
        </w:trPr>
        <w:tc>
          <w:tcPr>
            <w:tcW w:w="569" w:type="dxa"/>
            <w:shd w:val="clear" w:color="auto" w:fill="C5E0B3" w:themeFill="accent6" w:themeFillTint="66"/>
          </w:tcPr>
          <w:p w14:paraId="21A57E76" w14:textId="77777777" w:rsidR="00461F02" w:rsidRPr="0097148D" w:rsidRDefault="00461F02" w:rsidP="004F45A5">
            <w:pPr>
              <w:jc w:val="center"/>
              <w:rPr>
                <w:b/>
                <w:lang w:val="hr-HR"/>
              </w:rPr>
            </w:pPr>
          </w:p>
        </w:tc>
        <w:tc>
          <w:tcPr>
            <w:tcW w:w="6121" w:type="dxa"/>
            <w:shd w:val="clear" w:color="auto" w:fill="C5E0B3" w:themeFill="accent6" w:themeFillTint="66"/>
          </w:tcPr>
          <w:p w14:paraId="64F131F8" w14:textId="77777777" w:rsidR="00461F02" w:rsidRPr="0097148D" w:rsidRDefault="00461F02" w:rsidP="004F45A5">
            <w:pPr>
              <w:jc w:val="right"/>
              <w:rPr>
                <w:b/>
                <w:lang w:val="hr-HR"/>
              </w:rPr>
            </w:pPr>
            <w:r w:rsidRPr="0097148D">
              <w:rPr>
                <w:b/>
                <w:lang w:val="hr-HR"/>
              </w:rPr>
              <w:t xml:space="preserve">VERZIJA: </w:t>
            </w:r>
          </w:p>
        </w:tc>
        <w:tc>
          <w:tcPr>
            <w:tcW w:w="6976" w:type="dxa"/>
            <w:shd w:val="clear" w:color="auto" w:fill="C5E0B3" w:themeFill="accent6" w:themeFillTint="66"/>
          </w:tcPr>
          <w:p w14:paraId="1416E906" w14:textId="121D5D06" w:rsidR="00461F02" w:rsidRPr="0097148D" w:rsidRDefault="00F050C4" w:rsidP="00424267">
            <w:pPr>
              <w:rPr>
                <w:b/>
                <w:lang w:val="hr-HR"/>
              </w:rPr>
            </w:pPr>
            <w:r w:rsidRPr="0097148D">
              <w:rPr>
                <w:b/>
                <w:lang w:val="hr-HR"/>
              </w:rPr>
              <w:t>1.2</w:t>
            </w:r>
          </w:p>
        </w:tc>
      </w:tr>
      <w:tr w:rsidR="002A5212" w:rsidRPr="0097148D" w14:paraId="591A585F" w14:textId="77777777" w:rsidTr="004F45A5">
        <w:trPr>
          <w:trHeight w:val="466"/>
        </w:trPr>
        <w:tc>
          <w:tcPr>
            <w:tcW w:w="569" w:type="dxa"/>
            <w:shd w:val="clear" w:color="auto" w:fill="C5E0B3" w:themeFill="accent6" w:themeFillTint="66"/>
          </w:tcPr>
          <w:p w14:paraId="7EBF774E" w14:textId="77777777" w:rsidR="002A5212" w:rsidRPr="0097148D" w:rsidRDefault="002A5212" w:rsidP="004F45A5">
            <w:pPr>
              <w:jc w:val="center"/>
              <w:rPr>
                <w:b/>
                <w:lang w:val="hr-HR"/>
              </w:rPr>
            </w:pPr>
          </w:p>
        </w:tc>
        <w:tc>
          <w:tcPr>
            <w:tcW w:w="6121" w:type="dxa"/>
            <w:shd w:val="clear" w:color="auto" w:fill="C5E0B3" w:themeFill="accent6" w:themeFillTint="66"/>
          </w:tcPr>
          <w:p w14:paraId="1250F668" w14:textId="62BFC962" w:rsidR="002A5212" w:rsidRPr="0097148D" w:rsidRDefault="002A5212" w:rsidP="004F45A5">
            <w:pPr>
              <w:jc w:val="right"/>
              <w:rPr>
                <w:b/>
                <w:lang w:val="hr-HR"/>
              </w:rPr>
            </w:pPr>
            <w:r w:rsidRPr="0097148D">
              <w:rPr>
                <w:b/>
                <w:lang w:val="hr-HR"/>
              </w:rPr>
              <w:t xml:space="preserve">OBJAVA SVIH PITANJA/ODGOVORA IZ VERZIJE </w:t>
            </w:r>
            <w:r w:rsidR="00F050C4" w:rsidRPr="0097148D">
              <w:rPr>
                <w:b/>
                <w:lang w:val="hr-HR"/>
              </w:rPr>
              <w:t>1.2</w:t>
            </w:r>
            <w:r w:rsidRPr="0097148D">
              <w:rPr>
                <w:b/>
                <w:lang w:val="hr-HR"/>
              </w:rPr>
              <w:t>:</w:t>
            </w:r>
          </w:p>
        </w:tc>
        <w:tc>
          <w:tcPr>
            <w:tcW w:w="6976" w:type="dxa"/>
            <w:shd w:val="clear" w:color="auto" w:fill="C5E0B3" w:themeFill="accent6" w:themeFillTint="66"/>
          </w:tcPr>
          <w:p w14:paraId="4709AC0D" w14:textId="6565BF3A" w:rsidR="002A5212" w:rsidRPr="0097148D" w:rsidRDefault="00B37AE6" w:rsidP="00F522CF">
            <w:pPr>
              <w:rPr>
                <w:b/>
                <w:color w:val="FF0000"/>
                <w:lang w:val="hr-HR"/>
              </w:rPr>
            </w:pPr>
            <w:r>
              <w:rPr>
                <w:b/>
                <w:lang w:val="hr-HR"/>
              </w:rPr>
              <w:t>6</w:t>
            </w:r>
            <w:r w:rsidR="00F522CF" w:rsidRPr="0097148D">
              <w:rPr>
                <w:b/>
                <w:lang w:val="hr-HR"/>
              </w:rPr>
              <w:t>. SET PITANJA I ODGOVORA</w:t>
            </w:r>
          </w:p>
        </w:tc>
      </w:tr>
      <w:tr w:rsidR="001421EB" w:rsidRPr="0097148D" w14:paraId="636D4E54" w14:textId="77777777" w:rsidTr="004F45A5">
        <w:trPr>
          <w:trHeight w:val="466"/>
        </w:trPr>
        <w:tc>
          <w:tcPr>
            <w:tcW w:w="569" w:type="dxa"/>
            <w:shd w:val="clear" w:color="auto" w:fill="538135" w:themeFill="accent6" w:themeFillShade="BF"/>
          </w:tcPr>
          <w:p w14:paraId="36240794" w14:textId="77777777" w:rsidR="001421EB" w:rsidRPr="0097148D" w:rsidRDefault="001421EB" w:rsidP="004F45A5">
            <w:pPr>
              <w:jc w:val="center"/>
              <w:rPr>
                <w:b/>
                <w:sz w:val="22"/>
                <w:szCs w:val="22"/>
                <w:lang w:val="hr-HR"/>
              </w:rPr>
            </w:pPr>
            <w:r w:rsidRPr="0097148D">
              <w:rPr>
                <w:b/>
                <w:color w:val="FFFFFF" w:themeColor="background1"/>
                <w:sz w:val="22"/>
                <w:szCs w:val="22"/>
                <w:lang w:val="hr-HR"/>
              </w:rPr>
              <w:t>RB</w:t>
            </w:r>
          </w:p>
        </w:tc>
        <w:tc>
          <w:tcPr>
            <w:tcW w:w="6121" w:type="dxa"/>
            <w:shd w:val="clear" w:color="auto" w:fill="538135" w:themeFill="accent6" w:themeFillShade="BF"/>
          </w:tcPr>
          <w:p w14:paraId="1F437EE7" w14:textId="13254837" w:rsidR="001421EB" w:rsidRPr="0097148D" w:rsidRDefault="00324620" w:rsidP="004F45A5">
            <w:pPr>
              <w:rPr>
                <w:b/>
                <w:sz w:val="22"/>
                <w:szCs w:val="22"/>
                <w:lang w:val="hr-HR"/>
              </w:rPr>
            </w:pPr>
            <w:r w:rsidRPr="0097148D">
              <w:rPr>
                <w:b/>
                <w:color w:val="FFFFFF" w:themeColor="background1"/>
                <w:sz w:val="22"/>
                <w:szCs w:val="22"/>
                <w:lang w:val="hr-HR"/>
              </w:rPr>
              <w:t xml:space="preserve">DATUM ZAPRIMANJA </w:t>
            </w:r>
            <w:r w:rsidR="001421EB" w:rsidRPr="0097148D">
              <w:rPr>
                <w:b/>
                <w:color w:val="FFFFFF" w:themeColor="background1"/>
                <w:sz w:val="22"/>
                <w:szCs w:val="22"/>
                <w:lang w:val="hr-HR"/>
              </w:rPr>
              <w:t>PITANJ</w:t>
            </w:r>
            <w:r w:rsidRPr="0097148D">
              <w:rPr>
                <w:b/>
                <w:color w:val="FFFFFF" w:themeColor="background1"/>
                <w:sz w:val="22"/>
                <w:szCs w:val="22"/>
                <w:lang w:val="hr-HR"/>
              </w:rPr>
              <w:t>A</w:t>
            </w:r>
            <w:r w:rsidR="00F41132" w:rsidRPr="0097148D">
              <w:rPr>
                <w:b/>
                <w:color w:val="FFFFFF" w:themeColor="background1"/>
                <w:sz w:val="22"/>
                <w:szCs w:val="22"/>
                <w:lang w:val="hr-HR"/>
              </w:rPr>
              <w:t xml:space="preserve">: </w:t>
            </w:r>
            <w:r w:rsidR="00B37AE6">
              <w:rPr>
                <w:b/>
                <w:color w:val="FFFFFF" w:themeColor="background1"/>
                <w:sz w:val="22"/>
                <w:szCs w:val="22"/>
                <w:lang w:val="hr-HR"/>
              </w:rPr>
              <w:t>1. ožujka</w:t>
            </w:r>
            <w:r w:rsidR="00471101" w:rsidRPr="0097148D">
              <w:rPr>
                <w:b/>
                <w:color w:val="FFFFFF" w:themeColor="background1"/>
                <w:sz w:val="22"/>
                <w:szCs w:val="22"/>
                <w:lang w:val="hr-HR"/>
              </w:rPr>
              <w:t xml:space="preserve"> 2022.</w:t>
            </w:r>
          </w:p>
        </w:tc>
        <w:tc>
          <w:tcPr>
            <w:tcW w:w="6976" w:type="dxa"/>
            <w:shd w:val="clear" w:color="auto" w:fill="538135" w:themeFill="accent6" w:themeFillShade="BF"/>
          </w:tcPr>
          <w:p w14:paraId="7B6817FD" w14:textId="0BDDA4A5" w:rsidR="001421EB" w:rsidRPr="0097148D" w:rsidRDefault="00324620" w:rsidP="00B37AE6">
            <w:pPr>
              <w:rPr>
                <w:b/>
                <w:sz w:val="22"/>
                <w:szCs w:val="22"/>
                <w:lang w:val="hr-HR"/>
              </w:rPr>
            </w:pPr>
            <w:r w:rsidRPr="0097148D">
              <w:rPr>
                <w:b/>
                <w:color w:val="FFFFFF" w:themeColor="background1"/>
                <w:sz w:val="22"/>
                <w:szCs w:val="22"/>
                <w:lang w:val="hr-HR"/>
              </w:rPr>
              <w:t>DATUM O</w:t>
            </w:r>
            <w:r w:rsidR="001421EB" w:rsidRPr="0097148D">
              <w:rPr>
                <w:b/>
                <w:color w:val="FFFFFF" w:themeColor="background1"/>
                <w:sz w:val="22"/>
                <w:szCs w:val="22"/>
                <w:lang w:val="hr-HR"/>
              </w:rPr>
              <w:t>DGOVOR</w:t>
            </w:r>
            <w:r w:rsidRPr="0097148D">
              <w:rPr>
                <w:b/>
                <w:color w:val="FFFFFF" w:themeColor="background1"/>
                <w:sz w:val="22"/>
                <w:szCs w:val="22"/>
                <w:lang w:val="hr-HR"/>
              </w:rPr>
              <w:t>A</w:t>
            </w:r>
            <w:r w:rsidR="00345819" w:rsidRPr="0097148D">
              <w:rPr>
                <w:b/>
                <w:color w:val="FFFFFF" w:themeColor="background1"/>
                <w:sz w:val="22"/>
                <w:szCs w:val="22"/>
                <w:lang w:val="hr-HR"/>
              </w:rPr>
              <w:t xml:space="preserve"> NA PITANJE:</w:t>
            </w:r>
            <w:r w:rsidR="00B37AE6">
              <w:rPr>
                <w:b/>
                <w:color w:val="FFFFFF" w:themeColor="background1"/>
                <w:sz w:val="22"/>
                <w:szCs w:val="22"/>
                <w:lang w:val="hr-HR"/>
              </w:rPr>
              <w:t xml:space="preserve"> 10</w:t>
            </w:r>
            <w:r w:rsidR="00F050C4" w:rsidRPr="0097148D">
              <w:rPr>
                <w:b/>
                <w:color w:val="FFFFFF" w:themeColor="background1"/>
                <w:sz w:val="22"/>
                <w:szCs w:val="22"/>
                <w:lang w:val="hr-HR"/>
              </w:rPr>
              <w:t xml:space="preserve">. </w:t>
            </w:r>
            <w:r w:rsidR="00B37AE6">
              <w:rPr>
                <w:b/>
                <w:color w:val="FFFFFF" w:themeColor="background1"/>
                <w:sz w:val="22"/>
                <w:szCs w:val="22"/>
                <w:lang w:val="hr-HR"/>
              </w:rPr>
              <w:t xml:space="preserve">ožujka </w:t>
            </w:r>
            <w:r w:rsidR="00F050C4" w:rsidRPr="0097148D">
              <w:rPr>
                <w:b/>
                <w:color w:val="FFFFFF" w:themeColor="background1"/>
                <w:sz w:val="22"/>
                <w:szCs w:val="22"/>
                <w:lang w:val="hr-HR"/>
              </w:rPr>
              <w:t>2022.</w:t>
            </w:r>
          </w:p>
        </w:tc>
      </w:tr>
      <w:tr w:rsidR="001421EB" w:rsidRPr="0097148D" w14:paraId="0DB6FC75" w14:textId="77777777" w:rsidTr="004F45A5">
        <w:trPr>
          <w:trHeight w:val="369"/>
        </w:trPr>
        <w:tc>
          <w:tcPr>
            <w:tcW w:w="569" w:type="dxa"/>
            <w:vAlign w:val="center"/>
          </w:tcPr>
          <w:p w14:paraId="31ECE4DD" w14:textId="65393912" w:rsidR="001421EB" w:rsidRPr="00573224" w:rsidRDefault="00471101" w:rsidP="004F45A5">
            <w:pPr>
              <w:tabs>
                <w:tab w:val="left" w:pos="176"/>
              </w:tabs>
              <w:jc w:val="right"/>
              <w:rPr>
                <w:b/>
                <w:lang w:val="hr-HR"/>
              </w:rPr>
            </w:pPr>
            <w:r w:rsidRPr="00573224">
              <w:rPr>
                <w:b/>
                <w:lang w:val="hr-HR"/>
              </w:rPr>
              <w:t>1.</w:t>
            </w:r>
          </w:p>
        </w:tc>
        <w:tc>
          <w:tcPr>
            <w:tcW w:w="6121" w:type="dxa"/>
          </w:tcPr>
          <w:p w14:paraId="6814D14B" w14:textId="61B46312" w:rsidR="001421EB" w:rsidRPr="00DA49F5" w:rsidRDefault="00B37AE6" w:rsidP="00B37AE6">
            <w:pPr>
              <w:jc w:val="both"/>
              <w:rPr>
                <w:lang w:val="hr-HR"/>
              </w:rPr>
            </w:pPr>
            <w:r>
              <w:rPr>
                <w:lang w:val="hr-HR"/>
              </w:rPr>
              <w:t>D</w:t>
            </w:r>
            <w:r w:rsidRPr="00B37AE6">
              <w:rPr>
                <w:lang w:val="hr-HR"/>
              </w:rPr>
              <w:t>a li se jedinica lokalne samouprave može javiti na natječaj ako je dodijelila humanitarnu pomoć u građevinskom materijalu za pomoć stradalnicima u Sisačko</w:t>
            </w:r>
            <w:r>
              <w:rPr>
                <w:lang w:val="hr-HR"/>
              </w:rPr>
              <w:t>-moslavačkoj županiji?</w:t>
            </w:r>
          </w:p>
        </w:tc>
        <w:tc>
          <w:tcPr>
            <w:tcW w:w="6976" w:type="dxa"/>
          </w:tcPr>
          <w:p w14:paraId="12D6B0D2" w14:textId="7F92D84A" w:rsidR="005873BB" w:rsidRDefault="00C811B3" w:rsidP="00B37AE6">
            <w:pPr>
              <w:pStyle w:val="Odlomakpopisa"/>
              <w:ind w:left="294"/>
              <w:jc w:val="both"/>
              <w:rPr>
                <w:lang w:val="hr-HR"/>
              </w:rPr>
            </w:pPr>
            <w:r>
              <w:rPr>
                <w:lang w:val="hr-HR"/>
              </w:rPr>
              <w:t xml:space="preserve">Sukladno točki 2.9 </w:t>
            </w:r>
            <w:r w:rsidRPr="00C811B3">
              <w:rPr>
                <w:i/>
                <w:lang w:val="hr-HR"/>
              </w:rPr>
              <w:t xml:space="preserve">Uputa za prijavitelje </w:t>
            </w:r>
            <w:r>
              <w:rPr>
                <w:lang w:val="hr-HR"/>
              </w:rPr>
              <w:t xml:space="preserve">prihvatljivi su sljedeći troškovi humanitarne pomoći: </w:t>
            </w:r>
          </w:p>
          <w:p w14:paraId="2E3200FD" w14:textId="77777777" w:rsidR="00C811B3" w:rsidRDefault="00C811B3" w:rsidP="00C811B3">
            <w:pPr>
              <w:pStyle w:val="Odlomakpopisa"/>
              <w:numPr>
                <w:ilvl w:val="0"/>
                <w:numId w:val="27"/>
              </w:numPr>
              <w:jc w:val="both"/>
              <w:rPr>
                <w:lang w:val="hr-HR"/>
              </w:rPr>
            </w:pPr>
            <w:r>
              <w:rPr>
                <w:lang w:val="hr-HR"/>
              </w:rPr>
              <w:t>Troškovi pripremljenih i podijeljenih obroka;</w:t>
            </w:r>
          </w:p>
          <w:p w14:paraId="01AE1061" w14:textId="41F32299" w:rsidR="00C811B3" w:rsidRPr="00CF1168" w:rsidRDefault="00C811B3" w:rsidP="00C811B3">
            <w:pPr>
              <w:pStyle w:val="Odlomakpopisa"/>
              <w:numPr>
                <w:ilvl w:val="0"/>
                <w:numId w:val="27"/>
              </w:numPr>
              <w:jc w:val="both"/>
              <w:rPr>
                <w:lang w:val="hr-HR"/>
              </w:rPr>
            </w:pPr>
            <w:r>
              <w:rPr>
                <w:lang w:val="hr-HR"/>
              </w:rPr>
              <w:t>Troškovi higijenskih potrepština i humanitarnih paketa</w:t>
            </w:r>
          </w:p>
        </w:tc>
      </w:tr>
    </w:tbl>
    <w:p w14:paraId="6F1D0F21" w14:textId="2D0A29C0" w:rsidR="004F45A5" w:rsidRDefault="004F45A5" w:rsidP="00002E6E">
      <w:pPr>
        <w:spacing w:after="0" w:line="240" w:lineRule="auto"/>
        <w:jc w:val="both"/>
        <w:rPr>
          <w:rFonts w:ascii="Times New Roman" w:hAnsi="Times New Roman" w:cs="Times New Roman"/>
          <w:sz w:val="24"/>
          <w:szCs w:val="24"/>
        </w:rPr>
      </w:pPr>
    </w:p>
    <w:p w14:paraId="79F07813" w14:textId="193B5C21" w:rsidR="00B37AE6" w:rsidRDefault="00B37AE6" w:rsidP="00002E6E">
      <w:pPr>
        <w:spacing w:after="0" w:line="240" w:lineRule="auto"/>
        <w:jc w:val="both"/>
        <w:rPr>
          <w:rFonts w:ascii="Times New Roman" w:hAnsi="Times New Roman" w:cs="Times New Roman"/>
          <w:sz w:val="24"/>
          <w:szCs w:val="24"/>
        </w:rPr>
      </w:pPr>
    </w:p>
    <w:p w14:paraId="154A0EC5" w14:textId="5525588F" w:rsidR="00B37AE6" w:rsidRDefault="00B37AE6" w:rsidP="00002E6E">
      <w:pPr>
        <w:spacing w:after="0" w:line="240" w:lineRule="auto"/>
        <w:jc w:val="both"/>
        <w:rPr>
          <w:rFonts w:ascii="Times New Roman" w:hAnsi="Times New Roman" w:cs="Times New Roman"/>
          <w:sz w:val="24"/>
          <w:szCs w:val="24"/>
        </w:rPr>
      </w:pPr>
    </w:p>
    <w:p w14:paraId="14C33A3F" w14:textId="209E43A1" w:rsidR="00B37AE6" w:rsidRDefault="00B37AE6" w:rsidP="00002E6E">
      <w:pPr>
        <w:spacing w:after="0" w:line="240" w:lineRule="auto"/>
        <w:jc w:val="both"/>
        <w:rPr>
          <w:rFonts w:ascii="Times New Roman" w:hAnsi="Times New Roman" w:cs="Times New Roman"/>
          <w:sz w:val="24"/>
          <w:szCs w:val="24"/>
        </w:rPr>
      </w:pPr>
    </w:p>
    <w:p w14:paraId="72952890" w14:textId="77777777" w:rsidR="00B37AE6" w:rsidRDefault="00B37AE6" w:rsidP="00002E6E">
      <w:pPr>
        <w:spacing w:after="0" w:line="240" w:lineRule="auto"/>
        <w:jc w:val="both"/>
        <w:rPr>
          <w:rFonts w:ascii="Times New Roman" w:hAnsi="Times New Roman" w:cs="Times New Roman"/>
          <w:sz w:val="24"/>
          <w:szCs w:val="24"/>
        </w:rPr>
      </w:pPr>
    </w:p>
    <w:p w14:paraId="474F6755" w14:textId="77777777" w:rsidR="000F06F1" w:rsidRDefault="000F06F1" w:rsidP="00002E6E">
      <w:pPr>
        <w:spacing w:after="0" w:line="240" w:lineRule="auto"/>
        <w:jc w:val="both"/>
        <w:rPr>
          <w:rFonts w:ascii="Times New Roman" w:hAnsi="Times New Roman" w:cs="Times New Roman"/>
          <w:sz w:val="24"/>
          <w:szCs w:val="24"/>
        </w:rPr>
      </w:pPr>
    </w:p>
    <w:p w14:paraId="79020D3D" w14:textId="77777777" w:rsidR="004F45A5" w:rsidRPr="0097148D" w:rsidRDefault="004F45A5" w:rsidP="00002E6E">
      <w:pPr>
        <w:spacing w:after="0" w:line="240" w:lineRule="auto"/>
        <w:jc w:val="both"/>
        <w:rPr>
          <w:rFonts w:ascii="Times New Roman" w:hAnsi="Times New Roman" w:cs="Times New Roman"/>
          <w:sz w:val="24"/>
          <w:szCs w:val="24"/>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77279C" w:rsidRPr="0097148D" w14:paraId="1B1D26DD" w14:textId="77777777" w:rsidTr="00471101">
        <w:trPr>
          <w:trHeight w:val="433"/>
        </w:trPr>
        <w:tc>
          <w:tcPr>
            <w:tcW w:w="567" w:type="dxa"/>
            <w:shd w:val="clear" w:color="auto" w:fill="C5E0B3" w:themeFill="accent6" w:themeFillTint="66"/>
          </w:tcPr>
          <w:p w14:paraId="29E85513" w14:textId="77777777" w:rsidR="0077279C" w:rsidRPr="0097148D" w:rsidRDefault="0077279C" w:rsidP="00E43107">
            <w:pPr>
              <w:jc w:val="center"/>
              <w:rPr>
                <w:b/>
                <w:lang w:val="hr-HR"/>
              </w:rPr>
            </w:pPr>
            <w:r w:rsidRPr="0097148D">
              <w:rPr>
                <w:sz w:val="24"/>
                <w:szCs w:val="24"/>
                <w:lang w:val="hr-HR"/>
              </w:rPr>
              <w:lastRenderedPageBreak/>
              <w:br w:type="page"/>
            </w:r>
          </w:p>
        </w:tc>
        <w:tc>
          <w:tcPr>
            <w:tcW w:w="6095" w:type="dxa"/>
            <w:shd w:val="clear" w:color="auto" w:fill="C5E0B3" w:themeFill="accent6" w:themeFillTint="66"/>
          </w:tcPr>
          <w:p w14:paraId="51148BA6" w14:textId="77777777" w:rsidR="0077279C" w:rsidRPr="0097148D" w:rsidRDefault="0077279C" w:rsidP="00E43107">
            <w:pPr>
              <w:jc w:val="right"/>
              <w:rPr>
                <w:b/>
                <w:lang w:val="hr-HR"/>
              </w:rPr>
            </w:pPr>
            <w:r w:rsidRPr="0097148D">
              <w:rPr>
                <w:b/>
                <w:lang w:val="hr-HR"/>
              </w:rPr>
              <w:t xml:space="preserve">VERZIJA: </w:t>
            </w:r>
          </w:p>
        </w:tc>
        <w:tc>
          <w:tcPr>
            <w:tcW w:w="6946" w:type="dxa"/>
            <w:shd w:val="clear" w:color="auto" w:fill="C5E0B3" w:themeFill="accent6" w:themeFillTint="66"/>
          </w:tcPr>
          <w:p w14:paraId="1C3E3FAA" w14:textId="3E510DA1" w:rsidR="0077279C" w:rsidRPr="0097148D" w:rsidRDefault="00F050C4" w:rsidP="0077279C">
            <w:pPr>
              <w:rPr>
                <w:b/>
                <w:lang w:val="hr-HR"/>
              </w:rPr>
            </w:pPr>
            <w:r w:rsidRPr="0097148D">
              <w:rPr>
                <w:b/>
                <w:lang w:val="hr-HR"/>
              </w:rPr>
              <w:t>1.2</w:t>
            </w:r>
          </w:p>
        </w:tc>
      </w:tr>
      <w:tr w:rsidR="0077279C" w:rsidRPr="0097148D" w14:paraId="0BD4C546" w14:textId="77777777" w:rsidTr="00471101">
        <w:trPr>
          <w:trHeight w:val="433"/>
        </w:trPr>
        <w:tc>
          <w:tcPr>
            <w:tcW w:w="567" w:type="dxa"/>
            <w:shd w:val="clear" w:color="auto" w:fill="C5E0B3" w:themeFill="accent6" w:themeFillTint="66"/>
          </w:tcPr>
          <w:p w14:paraId="4868B86A" w14:textId="77777777" w:rsidR="0077279C" w:rsidRPr="0097148D" w:rsidRDefault="0077279C" w:rsidP="00E43107">
            <w:pPr>
              <w:jc w:val="center"/>
              <w:rPr>
                <w:b/>
                <w:lang w:val="hr-HR"/>
              </w:rPr>
            </w:pPr>
          </w:p>
        </w:tc>
        <w:tc>
          <w:tcPr>
            <w:tcW w:w="6095" w:type="dxa"/>
            <w:shd w:val="clear" w:color="auto" w:fill="C5E0B3" w:themeFill="accent6" w:themeFillTint="66"/>
          </w:tcPr>
          <w:p w14:paraId="747782F6" w14:textId="042BA71A" w:rsidR="0077279C" w:rsidRPr="0097148D" w:rsidRDefault="0077279C" w:rsidP="00781612">
            <w:pPr>
              <w:jc w:val="right"/>
              <w:rPr>
                <w:b/>
                <w:lang w:val="hr-HR"/>
              </w:rPr>
            </w:pPr>
            <w:r w:rsidRPr="0097148D">
              <w:rPr>
                <w:b/>
                <w:lang w:val="hr-HR"/>
              </w:rPr>
              <w:t xml:space="preserve">OBJAVA SVIH </w:t>
            </w:r>
            <w:r w:rsidR="002A5212" w:rsidRPr="0097148D">
              <w:rPr>
                <w:b/>
                <w:lang w:val="hr-HR"/>
              </w:rPr>
              <w:t>PITANJA/</w:t>
            </w:r>
            <w:r w:rsidRPr="0097148D">
              <w:rPr>
                <w:b/>
                <w:lang w:val="hr-HR"/>
              </w:rPr>
              <w:t xml:space="preserve">ODGOVORA IZ VERZIJE </w:t>
            </w:r>
            <w:r w:rsidR="00F050C4" w:rsidRPr="0097148D">
              <w:rPr>
                <w:b/>
                <w:lang w:val="hr-HR"/>
              </w:rPr>
              <w:t>1.2</w:t>
            </w:r>
            <w:r w:rsidRPr="0097148D">
              <w:rPr>
                <w:b/>
                <w:lang w:val="hr-HR"/>
              </w:rPr>
              <w:t>:</w:t>
            </w:r>
          </w:p>
        </w:tc>
        <w:tc>
          <w:tcPr>
            <w:tcW w:w="6946" w:type="dxa"/>
            <w:shd w:val="clear" w:color="auto" w:fill="C5E0B3" w:themeFill="accent6" w:themeFillTint="66"/>
          </w:tcPr>
          <w:p w14:paraId="27E80A02" w14:textId="6F2AF656" w:rsidR="0077279C" w:rsidRPr="0097148D" w:rsidRDefault="004B0C74" w:rsidP="00471101">
            <w:pPr>
              <w:rPr>
                <w:b/>
                <w:color w:val="FF0000"/>
                <w:lang w:val="hr-HR"/>
              </w:rPr>
            </w:pPr>
            <w:r>
              <w:rPr>
                <w:b/>
                <w:lang w:val="hr-HR"/>
              </w:rPr>
              <w:t>6</w:t>
            </w:r>
            <w:r w:rsidR="0083743E">
              <w:rPr>
                <w:b/>
                <w:lang w:val="hr-HR"/>
              </w:rPr>
              <w:t>.</w:t>
            </w:r>
            <w:r w:rsidR="00471101" w:rsidRPr="0097148D">
              <w:rPr>
                <w:b/>
                <w:lang w:val="hr-HR"/>
              </w:rPr>
              <w:t xml:space="preserve"> SET PITANJA I ODGOVORA</w:t>
            </w:r>
          </w:p>
        </w:tc>
      </w:tr>
      <w:tr w:rsidR="0077279C" w:rsidRPr="0097148D" w14:paraId="49EF036B" w14:textId="77777777" w:rsidTr="00324620">
        <w:trPr>
          <w:trHeight w:val="433"/>
        </w:trPr>
        <w:tc>
          <w:tcPr>
            <w:tcW w:w="567" w:type="dxa"/>
            <w:shd w:val="clear" w:color="auto" w:fill="538135" w:themeFill="accent6" w:themeFillShade="BF"/>
          </w:tcPr>
          <w:p w14:paraId="34E50940" w14:textId="77777777" w:rsidR="0077279C" w:rsidRPr="0097148D" w:rsidRDefault="0077279C" w:rsidP="00E43107">
            <w:pPr>
              <w:jc w:val="center"/>
              <w:rPr>
                <w:b/>
                <w:sz w:val="22"/>
                <w:szCs w:val="22"/>
                <w:lang w:val="hr-HR"/>
              </w:rPr>
            </w:pPr>
            <w:r w:rsidRPr="0097148D">
              <w:rPr>
                <w:b/>
                <w:color w:val="FFFFFF" w:themeColor="background1"/>
                <w:sz w:val="22"/>
                <w:szCs w:val="22"/>
                <w:lang w:val="hr-HR"/>
              </w:rPr>
              <w:t>RB</w:t>
            </w:r>
          </w:p>
        </w:tc>
        <w:tc>
          <w:tcPr>
            <w:tcW w:w="6095" w:type="dxa"/>
            <w:shd w:val="clear" w:color="auto" w:fill="538135" w:themeFill="accent6" w:themeFillShade="BF"/>
          </w:tcPr>
          <w:p w14:paraId="51A0B7D0" w14:textId="048E15B0" w:rsidR="0077279C" w:rsidRPr="0097148D" w:rsidRDefault="00324620" w:rsidP="00324620">
            <w:pPr>
              <w:rPr>
                <w:b/>
                <w:sz w:val="22"/>
                <w:szCs w:val="22"/>
                <w:lang w:val="hr-HR"/>
              </w:rPr>
            </w:pPr>
            <w:r w:rsidRPr="0097148D">
              <w:rPr>
                <w:b/>
                <w:color w:val="FFFFFF" w:themeColor="background1"/>
                <w:sz w:val="22"/>
                <w:szCs w:val="22"/>
                <w:lang w:val="hr-HR"/>
              </w:rPr>
              <w:t xml:space="preserve">DATUM ZAPRIMANJA </w:t>
            </w:r>
            <w:r w:rsidR="0077279C" w:rsidRPr="0097148D">
              <w:rPr>
                <w:b/>
                <w:color w:val="FFFFFF" w:themeColor="background1"/>
                <w:sz w:val="22"/>
                <w:szCs w:val="22"/>
                <w:lang w:val="hr-HR"/>
              </w:rPr>
              <w:t>PITANJ</w:t>
            </w:r>
            <w:r w:rsidRPr="0097148D">
              <w:rPr>
                <w:b/>
                <w:color w:val="FFFFFF" w:themeColor="background1"/>
                <w:sz w:val="22"/>
                <w:szCs w:val="22"/>
                <w:lang w:val="hr-HR"/>
              </w:rPr>
              <w:t>A</w:t>
            </w:r>
            <w:r w:rsidR="0077279C" w:rsidRPr="0097148D">
              <w:rPr>
                <w:b/>
                <w:color w:val="FFFFFF" w:themeColor="background1"/>
                <w:sz w:val="22"/>
                <w:szCs w:val="22"/>
                <w:lang w:val="hr-HR"/>
              </w:rPr>
              <w:t xml:space="preserve">: </w:t>
            </w:r>
            <w:r w:rsidR="00B37AE6">
              <w:rPr>
                <w:b/>
                <w:color w:val="FFFFFF" w:themeColor="background1"/>
                <w:sz w:val="22"/>
                <w:szCs w:val="22"/>
                <w:lang w:val="hr-HR"/>
              </w:rPr>
              <w:t xml:space="preserve"> 2. ožujka</w:t>
            </w:r>
            <w:r w:rsidR="00471101" w:rsidRPr="0097148D">
              <w:rPr>
                <w:b/>
                <w:color w:val="FFFFFF" w:themeColor="background1"/>
                <w:sz w:val="22"/>
                <w:szCs w:val="22"/>
                <w:lang w:val="hr-HR"/>
              </w:rPr>
              <w:t xml:space="preserve"> 2022.</w:t>
            </w:r>
          </w:p>
        </w:tc>
        <w:tc>
          <w:tcPr>
            <w:tcW w:w="6946" w:type="dxa"/>
            <w:shd w:val="clear" w:color="auto" w:fill="538135" w:themeFill="accent6" w:themeFillShade="BF"/>
          </w:tcPr>
          <w:p w14:paraId="1DB87F0E" w14:textId="137413C9" w:rsidR="0077279C" w:rsidRPr="0097148D" w:rsidRDefault="00324620" w:rsidP="00B37AE6">
            <w:pPr>
              <w:rPr>
                <w:b/>
                <w:sz w:val="22"/>
                <w:szCs w:val="22"/>
                <w:lang w:val="hr-HR"/>
              </w:rPr>
            </w:pPr>
            <w:r w:rsidRPr="0097148D">
              <w:rPr>
                <w:b/>
                <w:color w:val="FFFFFF" w:themeColor="background1"/>
                <w:sz w:val="22"/>
                <w:szCs w:val="22"/>
                <w:lang w:val="hr-HR"/>
              </w:rPr>
              <w:t xml:space="preserve">DATUM </w:t>
            </w:r>
            <w:r w:rsidR="0077279C" w:rsidRPr="0097148D">
              <w:rPr>
                <w:b/>
                <w:color w:val="FFFFFF" w:themeColor="background1"/>
                <w:sz w:val="22"/>
                <w:szCs w:val="22"/>
                <w:lang w:val="hr-HR"/>
              </w:rPr>
              <w:t>ODGOVOR</w:t>
            </w:r>
            <w:r w:rsidRPr="0097148D">
              <w:rPr>
                <w:b/>
                <w:color w:val="FFFFFF" w:themeColor="background1"/>
                <w:sz w:val="22"/>
                <w:szCs w:val="22"/>
                <w:lang w:val="hr-HR"/>
              </w:rPr>
              <w:t>A</w:t>
            </w:r>
            <w:r w:rsidR="0077279C" w:rsidRPr="0097148D">
              <w:rPr>
                <w:b/>
                <w:color w:val="FFFFFF" w:themeColor="background1"/>
                <w:sz w:val="22"/>
                <w:szCs w:val="22"/>
                <w:lang w:val="hr-HR"/>
              </w:rPr>
              <w:t xml:space="preserve"> NA PITANJE:</w:t>
            </w:r>
            <w:r w:rsidR="00B37AE6">
              <w:rPr>
                <w:b/>
                <w:color w:val="FFFFFF" w:themeColor="background1"/>
                <w:sz w:val="22"/>
                <w:szCs w:val="22"/>
                <w:lang w:val="hr-HR"/>
              </w:rPr>
              <w:t xml:space="preserve"> 10</w:t>
            </w:r>
            <w:r w:rsidR="001E2835" w:rsidRPr="0097148D">
              <w:rPr>
                <w:b/>
                <w:color w:val="FFFFFF" w:themeColor="background1"/>
                <w:sz w:val="22"/>
                <w:szCs w:val="22"/>
                <w:lang w:val="hr-HR"/>
              </w:rPr>
              <w:t xml:space="preserve">. </w:t>
            </w:r>
            <w:r w:rsidR="00B37AE6">
              <w:rPr>
                <w:b/>
                <w:color w:val="FFFFFF" w:themeColor="background1"/>
                <w:sz w:val="22"/>
                <w:szCs w:val="22"/>
                <w:lang w:val="hr-HR"/>
              </w:rPr>
              <w:t>ožujka</w:t>
            </w:r>
            <w:r w:rsidR="001E2835" w:rsidRPr="0097148D">
              <w:rPr>
                <w:b/>
                <w:color w:val="FFFFFF" w:themeColor="background1"/>
                <w:sz w:val="22"/>
                <w:szCs w:val="22"/>
                <w:lang w:val="hr-HR"/>
              </w:rPr>
              <w:t xml:space="preserve"> 2022.</w:t>
            </w:r>
          </w:p>
        </w:tc>
      </w:tr>
      <w:tr w:rsidR="00471101" w:rsidRPr="0097148D" w14:paraId="101B0B78" w14:textId="77777777" w:rsidTr="00324620">
        <w:trPr>
          <w:trHeight w:val="434"/>
        </w:trPr>
        <w:tc>
          <w:tcPr>
            <w:tcW w:w="567" w:type="dxa"/>
            <w:vAlign w:val="center"/>
          </w:tcPr>
          <w:p w14:paraId="79C8732C" w14:textId="01156401" w:rsidR="00471101" w:rsidRPr="00573224" w:rsidRDefault="00B03C81" w:rsidP="00471101">
            <w:pPr>
              <w:tabs>
                <w:tab w:val="left" w:pos="176"/>
              </w:tabs>
              <w:jc w:val="right"/>
              <w:rPr>
                <w:b/>
                <w:lang w:val="hr-HR"/>
              </w:rPr>
            </w:pPr>
            <w:r>
              <w:rPr>
                <w:b/>
                <w:lang w:val="hr-HR"/>
              </w:rPr>
              <w:t>2</w:t>
            </w:r>
            <w:r w:rsidR="0083743E">
              <w:rPr>
                <w:b/>
                <w:lang w:val="hr-HR"/>
              </w:rPr>
              <w:t>.</w:t>
            </w:r>
          </w:p>
        </w:tc>
        <w:tc>
          <w:tcPr>
            <w:tcW w:w="6095" w:type="dxa"/>
          </w:tcPr>
          <w:p w14:paraId="19F7608A" w14:textId="36AAE71D" w:rsidR="0083743E" w:rsidRPr="00DA49F5" w:rsidRDefault="00365447" w:rsidP="000F06F1">
            <w:pPr>
              <w:jc w:val="both"/>
              <w:rPr>
                <w:lang w:val="hr-HR"/>
              </w:rPr>
            </w:pPr>
            <w:r w:rsidRPr="00365447">
              <w:rPr>
                <w:lang w:val="hr-HR"/>
              </w:rPr>
              <w:t>Ulazi li u prihvatljive troškove vezano uz Grupu 2. (Upravljanje projektom i administracija) trošak Ugovora o djelu za obavljanje aktivnosti Grupe 2 (honorarni rad) za osobu koja je inače stalno zaposlena kod prijavitelja? Naime, prijavitelj bi za potrebe izrade i provedbe projekta s navedenom osobom sklopio Ugovor o djelu jer nema zaposlenu osobu kojoj bi navedeno potpalo pod opis posla, niti su takvi poslovi definirani internim pravilnicima prijavitelja.</w:t>
            </w:r>
          </w:p>
        </w:tc>
        <w:tc>
          <w:tcPr>
            <w:tcW w:w="6946" w:type="dxa"/>
          </w:tcPr>
          <w:p w14:paraId="100910A1" w14:textId="67091114" w:rsidR="00E43AB1" w:rsidRPr="00DA49F5" w:rsidRDefault="00C811B3" w:rsidP="005775B7">
            <w:pPr>
              <w:jc w:val="both"/>
              <w:rPr>
                <w:lang w:val="hr-HR"/>
              </w:rPr>
            </w:pPr>
            <w:r>
              <w:rPr>
                <w:lang w:val="hr-HR"/>
              </w:rPr>
              <w:t xml:space="preserve">Spomenuto ne ulazi u prihvatljive troškove. </w:t>
            </w:r>
            <w:r w:rsidRPr="00C811B3">
              <w:rPr>
                <w:lang w:val="hr-HR"/>
              </w:rPr>
              <w:t>Navedeno se odnosi na ugovaranje konzultantskih usluga.</w:t>
            </w:r>
          </w:p>
          <w:p w14:paraId="423F43DB" w14:textId="58C386A9" w:rsidR="0092471B" w:rsidRPr="00DA49F5" w:rsidRDefault="0092471B" w:rsidP="005775B7">
            <w:pPr>
              <w:jc w:val="both"/>
              <w:rPr>
                <w:lang w:val="hr-HR"/>
              </w:rPr>
            </w:pPr>
          </w:p>
        </w:tc>
      </w:tr>
      <w:tr w:rsidR="00471101" w:rsidRPr="0097148D" w14:paraId="5623D95C" w14:textId="77777777" w:rsidTr="000F06F1">
        <w:trPr>
          <w:trHeight w:val="295"/>
        </w:trPr>
        <w:tc>
          <w:tcPr>
            <w:tcW w:w="567" w:type="dxa"/>
            <w:vAlign w:val="center"/>
          </w:tcPr>
          <w:p w14:paraId="7893A513" w14:textId="1AFA46B4" w:rsidR="00471101" w:rsidRPr="00573224" w:rsidRDefault="00B03C81" w:rsidP="00471101">
            <w:pPr>
              <w:tabs>
                <w:tab w:val="left" w:pos="176"/>
              </w:tabs>
              <w:jc w:val="right"/>
              <w:rPr>
                <w:b/>
                <w:lang w:val="hr-HR"/>
              </w:rPr>
            </w:pPr>
            <w:r>
              <w:rPr>
                <w:b/>
                <w:lang w:val="hr-HR"/>
              </w:rPr>
              <w:t>3</w:t>
            </w:r>
            <w:r w:rsidR="005775B7" w:rsidRPr="00573224">
              <w:rPr>
                <w:b/>
                <w:lang w:val="hr-HR"/>
              </w:rPr>
              <w:t>.</w:t>
            </w:r>
          </w:p>
        </w:tc>
        <w:tc>
          <w:tcPr>
            <w:tcW w:w="6095" w:type="dxa"/>
          </w:tcPr>
          <w:p w14:paraId="5330C9BB" w14:textId="0CAD7A2E" w:rsidR="004F45A5" w:rsidRPr="00DA49F5" w:rsidRDefault="00365447" w:rsidP="00B37AE6">
            <w:pPr>
              <w:jc w:val="both"/>
              <w:rPr>
                <w:lang w:val="hr-HR"/>
              </w:rPr>
            </w:pPr>
            <w:r w:rsidRPr="00365447">
              <w:rPr>
                <w:lang w:val="hr-HR"/>
              </w:rPr>
              <w:t>Javna vatrogasna postrojba obveznik je PDV-a samo za dio u poslovanja u kojem obavlja gospodarsku aktivnost na tržištu, odnosno gospodarsku djelatnost. Shodno tome, pravo povrata PDV-a ostvaruje samo za nabavljena sredstva i opremu koji se koriste pri obavljanju gospodarske aktivnosti, ali ne i za navedeno koje se koristi pri obavljanju vatrogasne djelatnosti. U navedenom slučaju pretpostavljamo da su priznati ukupni troškovi (osnovica</w:t>
            </w:r>
            <w:r>
              <w:rPr>
                <w:lang w:val="hr-HR"/>
              </w:rPr>
              <w:t xml:space="preserve"> </w:t>
            </w:r>
            <w:r w:rsidRPr="00365447">
              <w:rPr>
                <w:lang w:val="hr-HR"/>
              </w:rPr>
              <w:t>+</w:t>
            </w:r>
            <w:r>
              <w:rPr>
                <w:lang w:val="hr-HR"/>
              </w:rPr>
              <w:t xml:space="preserve"> </w:t>
            </w:r>
            <w:r w:rsidRPr="00365447">
              <w:rPr>
                <w:lang w:val="hr-HR"/>
              </w:rPr>
              <w:t>PDV), međutim nije razvidno kako dokazati takav način oporezivanja, obzirom da Ministarstvo financija (Porezna uprava) ne izdaje potvrde takve vrste, odnosno postoji mišljenje kako je dovoljna izjava prijavitelja. Dakle, pitanje je koji je iznos priznat (s ili bez PDV-a) i kojim dokumentom dokazujemo navedeni način oporezivanja od strane RH prema proračunskim korisnicima, a koji uz službu, obavljaju i gospodarsku djelatnost?</w:t>
            </w:r>
          </w:p>
        </w:tc>
        <w:tc>
          <w:tcPr>
            <w:tcW w:w="6946" w:type="dxa"/>
          </w:tcPr>
          <w:p w14:paraId="11B7E048" w14:textId="5F9B4618" w:rsidR="0092471B" w:rsidRPr="00C811B3" w:rsidRDefault="00C811B3" w:rsidP="00A93F4C">
            <w:pPr>
              <w:jc w:val="both"/>
              <w:rPr>
                <w:lang w:val="hr-HR"/>
              </w:rPr>
            </w:pPr>
            <w:r>
              <w:rPr>
                <w:lang w:val="hr-HR"/>
              </w:rPr>
              <w:t xml:space="preserve">Obrascem 4. </w:t>
            </w:r>
            <w:r w:rsidRPr="00C811B3">
              <w:rPr>
                <w:i/>
                <w:lang w:val="hr-HR"/>
              </w:rPr>
              <w:t>Izjava prijavitelja o mogućnosti povrata poreza na dodanu vrijednost</w:t>
            </w:r>
            <w:r>
              <w:rPr>
                <w:i/>
                <w:lang w:val="hr-HR"/>
              </w:rPr>
              <w:t xml:space="preserve"> </w:t>
            </w:r>
            <w:r w:rsidR="00A93F4C">
              <w:rPr>
                <w:lang w:val="hr-HR"/>
              </w:rPr>
              <w:t>Prijavitelj dokazuje navedeni način oporezivanja od strane Republike Hrvatske. U istome je moguće specificirati u kojem postotku imaju pravo povrata poreza od obavljanja gospodarske i redovne djelatnosti.</w:t>
            </w:r>
          </w:p>
        </w:tc>
      </w:tr>
      <w:tr w:rsidR="00365447" w:rsidRPr="0097148D" w14:paraId="04BBD189" w14:textId="77777777" w:rsidTr="000F06F1">
        <w:trPr>
          <w:trHeight w:val="295"/>
        </w:trPr>
        <w:tc>
          <w:tcPr>
            <w:tcW w:w="567" w:type="dxa"/>
            <w:vAlign w:val="center"/>
          </w:tcPr>
          <w:p w14:paraId="32FB78CB" w14:textId="3591E058" w:rsidR="00365447" w:rsidRDefault="00365447" w:rsidP="00471101">
            <w:pPr>
              <w:tabs>
                <w:tab w:val="left" w:pos="176"/>
              </w:tabs>
              <w:jc w:val="right"/>
              <w:rPr>
                <w:b/>
              </w:rPr>
            </w:pPr>
            <w:r>
              <w:rPr>
                <w:b/>
              </w:rPr>
              <w:t>4.</w:t>
            </w:r>
          </w:p>
        </w:tc>
        <w:tc>
          <w:tcPr>
            <w:tcW w:w="6095" w:type="dxa"/>
          </w:tcPr>
          <w:p w14:paraId="7455BF9C" w14:textId="6FCC7F86" w:rsidR="00365447" w:rsidRPr="00365447" w:rsidRDefault="00365447" w:rsidP="00B37AE6">
            <w:pPr>
              <w:jc w:val="both"/>
              <w:rPr>
                <w:lang w:val="hr-HR"/>
              </w:rPr>
            </w:pPr>
            <w:r w:rsidRPr="00365447">
              <w:rPr>
                <w:lang w:val="hr-HR"/>
              </w:rPr>
              <w:t>Kojim dokumentom dokazujemo je li nabavljena oprema financirana iz vlastitih prihoda ili sredstava JLP(R)S, decentraliziranih sredstava ili iz nekog drugog izvora financiranja?</w:t>
            </w:r>
          </w:p>
        </w:tc>
        <w:tc>
          <w:tcPr>
            <w:tcW w:w="6946" w:type="dxa"/>
          </w:tcPr>
          <w:p w14:paraId="55EC2DB4" w14:textId="37D22AD0" w:rsidR="00EA3990" w:rsidRDefault="00A93F4C" w:rsidP="00EA3990">
            <w:pPr>
              <w:jc w:val="both"/>
              <w:rPr>
                <w:lang w:val="hr-HR"/>
              </w:rPr>
            </w:pPr>
            <w:r w:rsidRPr="00A93F4C">
              <w:rPr>
                <w:lang w:val="hr-HR"/>
              </w:rPr>
              <w:t xml:space="preserve">Prilikom podnošenja prijave, Prijavitelj je obvezan u </w:t>
            </w:r>
            <w:r w:rsidRPr="00A93F4C">
              <w:rPr>
                <w:i/>
                <w:lang w:val="hr-HR"/>
              </w:rPr>
              <w:t>Prijavnom obrascu 1.</w:t>
            </w:r>
            <w:r w:rsidRPr="00A93F4C">
              <w:rPr>
                <w:lang w:val="hr-HR"/>
              </w:rPr>
              <w:t xml:space="preserve"> </w:t>
            </w:r>
            <w:r w:rsidR="00CD7E19">
              <w:rPr>
                <w:lang w:val="hr-HR"/>
              </w:rPr>
              <w:t xml:space="preserve">prijaviti eventualno dvostruko financiranje. Također napominjemo kako Prijavitelj obrascem 2. </w:t>
            </w:r>
            <w:r w:rsidR="00CD7E19" w:rsidRPr="00CD7E19">
              <w:rPr>
                <w:i/>
                <w:lang w:val="hr-HR"/>
              </w:rPr>
              <w:t>Izjava prijavitelja</w:t>
            </w:r>
            <w:r w:rsidR="00CD7E19">
              <w:rPr>
                <w:lang w:val="hr-HR"/>
              </w:rPr>
              <w:t xml:space="preserve"> između ostalog jamči da</w:t>
            </w:r>
            <w:r w:rsidR="00EA3990">
              <w:rPr>
                <w:lang w:val="hr-HR"/>
              </w:rPr>
              <w:t xml:space="preserve"> </w:t>
            </w:r>
            <w:r w:rsidR="00EA3990" w:rsidRPr="00EA3990">
              <w:rPr>
                <w:lang w:val="hr-HR"/>
              </w:rPr>
              <w:t>predloženi prihvatljivi troškovi nisu prethodno (su)financirani bespovratnim sredstvima, niti da će isti troškovi, neovisno o okolnostima, biti dvaput financirani iz proračuna Unije. Navedeno znači i da trošak pri</w:t>
            </w:r>
            <w:r w:rsidR="00686A72">
              <w:rPr>
                <w:lang w:val="hr-HR"/>
              </w:rPr>
              <w:t xml:space="preserve">javljen u zahtjevu za nadoknadom </w:t>
            </w:r>
            <w:bookmarkStart w:id="0" w:name="_GoBack"/>
            <w:bookmarkEnd w:id="0"/>
            <w:r w:rsidR="00EA3990" w:rsidRPr="00EA3990">
              <w:rPr>
                <w:lang w:val="hr-HR"/>
              </w:rPr>
              <w:t xml:space="preserve">sredstava u okviru operacije koja se financira iz Fonda solidarnosti Europske unije (FSEU) nije prijavljen za potporu iz drugog fonda ili instrumenta Unije ili za potporu istog fonda u okviru drugog programa. Također, </w:t>
            </w:r>
            <w:r w:rsidR="00EA3990">
              <w:rPr>
                <w:lang w:val="hr-HR"/>
              </w:rPr>
              <w:t xml:space="preserve"> Prijavitelj prima na znanje činjenicu, razumije i potvrđuje kako</w:t>
            </w:r>
            <w:r w:rsidR="00EA3990" w:rsidRPr="00EA3990">
              <w:rPr>
                <w:lang w:val="hr-HR"/>
              </w:rPr>
              <w:t xml:space="preserve"> trošak koji je financiran iz nacionalnih javnih izvora ne može biti/nije financiran iz proračuna Unije i obrnuto.</w:t>
            </w:r>
            <w:r w:rsidR="00EA3990">
              <w:rPr>
                <w:lang w:val="hr-HR"/>
              </w:rPr>
              <w:t xml:space="preserve"> </w:t>
            </w:r>
          </w:p>
          <w:p w14:paraId="18A4C8E6" w14:textId="3B2EAB31" w:rsidR="00365447" w:rsidRPr="00A93F4C" w:rsidRDefault="00EA3990" w:rsidP="00EA3990">
            <w:pPr>
              <w:jc w:val="both"/>
              <w:rPr>
                <w:lang w:val="hr-HR"/>
              </w:rPr>
            </w:pPr>
            <w:r>
              <w:rPr>
                <w:lang w:val="hr-HR"/>
              </w:rPr>
              <w:t>Nakon eventualnog potpisa ugovora, u provedbi, dodatno će se provjeravati financiranja iz drugih izvora.</w:t>
            </w:r>
          </w:p>
        </w:tc>
      </w:tr>
    </w:tbl>
    <w:p w14:paraId="35F39FCB" w14:textId="17CD89AE" w:rsidR="001168D1" w:rsidRDefault="001168D1" w:rsidP="00002E6E">
      <w:pPr>
        <w:spacing w:after="0" w:line="240" w:lineRule="auto"/>
        <w:jc w:val="both"/>
        <w:rPr>
          <w:rFonts w:ascii="Times New Roman" w:hAnsi="Times New Roman" w:cs="Times New Roman"/>
          <w:sz w:val="24"/>
          <w:szCs w:val="24"/>
        </w:rPr>
      </w:pPr>
    </w:p>
    <w:p w14:paraId="4327932E" w14:textId="604623AD" w:rsidR="00B37AE6" w:rsidRDefault="00B37AE6" w:rsidP="00002E6E">
      <w:pPr>
        <w:spacing w:after="0" w:line="240" w:lineRule="auto"/>
        <w:jc w:val="both"/>
        <w:rPr>
          <w:rFonts w:ascii="Times New Roman" w:hAnsi="Times New Roman" w:cs="Times New Roman"/>
          <w:sz w:val="24"/>
          <w:szCs w:val="24"/>
        </w:rPr>
      </w:pPr>
    </w:p>
    <w:p w14:paraId="7DD38720" w14:textId="36F3CA51" w:rsidR="00B37AE6" w:rsidRDefault="00B37AE6" w:rsidP="00002E6E">
      <w:pPr>
        <w:spacing w:after="0" w:line="240" w:lineRule="auto"/>
        <w:jc w:val="both"/>
        <w:rPr>
          <w:rFonts w:ascii="Times New Roman" w:hAnsi="Times New Roman" w:cs="Times New Roman"/>
          <w:sz w:val="24"/>
          <w:szCs w:val="24"/>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B37AE6" w:rsidRPr="0097148D" w14:paraId="01B863D6" w14:textId="77777777" w:rsidTr="00E269D5">
        <w:trPr>
          <w:trHeight w:val="433"/>
        </w:trPr>
        <w:tc>
          <w:tcPr>
            <w:tcW w:w="567" w:type="dxa"/>
            <w:shd w:val="clear" w:color="auto" w:fill="C5E0B3" w:themeFill="accent6" w:themeFillTint="66"/>
          </w:tcPr>
          <w:p w14:paraId="3C76B178" w14:textId="77777777" w:rsidR="00B37AE6" w:rsidRPr="0097148D" w:rsidRDefault="00B37AE6" w:rsidP="00E269D5">
            <w:pPr>
              <w:jc w:val="center"/>
              <w:rPr>
                <w:b/>
                <w:lang w:val="hr-HR"/>
              </w:rPr>
            </w:pPr>
            <w:r w:rsidRPr="0097148D">
              <w:rPr>
                <w:sz w:val="24"/>
                <w:szCs w:val="24"/>
                <w:lang w:val="hr-HR"/>
              </w:rPr>
              <w:lastRenderedPageBreak/>
              <w:br w:type="page"/>
            </w:r>
          </w:p>
        </w:tc>
        <w:tc>
          <w:tcPr>
            <w:tcW w:w="6095" w:type="dxa"/>
            <w:shd w:val="clear" w:color="auto" w:fill="C5E0B3" w:themeFill="accent6" w:themeFillTint="66"/>
          </w:tcPr>
          <w:p w14:paraId="3083158C" w14:textId="77777777" w:rsidR="00B37AE6" w:rsidRPr="0097148D" w:rsidRDefault="00B37AE6" w:rsidP="00E269D5">
            <w:pPr>
              <w:jc w:val="right"/>
              <w:rPr>
                <w:b/>
                <w:lang w:val="hr-HR"/>
              </w:rPr>
            </w:pPr>
            <w:r w:rsidRPr="0097148D">
              <w:rPr>
                <w:b/>
                <w:lang w:val="hr-HR"/>
              </w:rPr>
              <w:t xml:space="preserve">VERZIJA: </w:t>
            </w:r>
          </w:p>
        </w:tc>
        <w:tc>
          <w:tcPr>
            <w:tcW w:w="6946" w:type="dxa"/>
            <w:shd w:val="clear" w:color="auto" w:fill="C5E0B3" w:themeFill="accent6" w:themeFillTint="66"/>
          </w:tcPr>
          <w:p w14:paraId="2FDE643E" w14:textId="77777777" w:rsidR="00B37AE6" w:rsidRPr="0097148D" w:rsidRDefault="00B37AE6" w:rsidP="00E269D5">
            <w:pPr>
              <w:rPr>
                <w:b/>
                <w:lang w:val="hr-HR"/>
              </w:rPr>
            </w:pPr>
            <w:r w:rsidRPr="0097148D">
              <w:rPr>
                <w:b/>
                <w:lang w:val="hr-HR"/>
              </w:rPr>
              <w:t>1.2</w:t>
            </w:r>
          </w:p>
        </w:tc>
      </w:tr>
      <w:tr w:rsidR="00B37AE6" w:rsidRPr="0097148D" w14:paraId="1DC7F2E5" w14:textId="77777777" w:rsidTr="00E269D5">
        <w:trPr>
          <w:trHeight w:val="433"/>
        </w:trPr>
        <w:tc>
          <w:tcPr>
            <w:tcW w:w="567" w:type="dxa"/>
            <w:shd w:val="clear" w:color="auto" w:fill="C5E0B3" w:themeFill="accent6" w:themeFillTint="66"/>
          </w:tcPr>
          <w:p w14:paraId="19DABCE5" w14:textId="77777777" w:rsidR="00B37AE6" w:rsidRPr="0097148D" w:rsidRDefault="00B37AE6" w:rsidP="00E269D5">
            <w:pPr>
              <w:jc w:val="center"/>
              <w:rPr>
                <w:b/>
                <w:lang w:val="hr-HR"/>
              </w:rPr>
            </w:pPr>
          </w:p>
        </w:tc>
        <w:tc>
          <w:tcPr>
            <w:tcW w:w="6095" w:type="dxa"/>
            <w:shd w:val="clear" w:color="auto" w:fill="C5E0B3" w:themeFill="accent6" w:themeFillTint="66"/>
          </w:tcPr>
          <w:p w14:paraId="778D60DA" w14:textId="77777777" w:rsidR="00B37AE6" w:rsidRPr="0097148D" w:rsidRDefault="00B37AE6" w:rsidP="00E269D5">
            <w:pPr>
              <w:jc w:val="right"/>
              <w:rPr>
                <w:b/>
                <w:lang w:val="hr-HR"/>
              </w:rPr>
            </w:pPr>
            <w:r w:rsidRPr="0097148D">
              <w:rPr>
                <w:b/>
                <w:lang w:val="hr-HR"/>
              </w:rPr>
              <w:t>OBJAVA SVIH PITANJA/ODGOVORA IZ VERZIJE 1.2:</w:t>
            </w:r>
          </w:p>
        </w:tc>
        <w:tc>
          <w:tcPr>
            <w:tcW w:w="6946" w:type="dxa"/>
            <w:shd w:val="clear" w:color="auto" w:fill="C5E0B3" w:themeFill="accent6" w:themeFillTint="66"/>
          </w:tcPr>
          <w:p w14:paraId="05C97CDE" w14:textId="754E74A6" w:rsidR="00B37AE6" w:rsidRPr="0097148D" w:rsidRDefault="004B0C74" w:rsidP="00E269D5">
            <w:pPr>
              <w:rPr>
                <w:b/>
                <w:color w:val="FF0000"/>
                <w:lang w:val="hr-HR"/>
              </w:rPr>
            </w:pPr>
            <w:r>
              <w:rPr>
                <w:b/>
                <w:lang w:val="hr-HR"/>
              </w:rPr>
              <w:t>6</w:t>
            </w:r>
            <w:r w:rsidR="00B37AE6">
              <w:rPr>
                <w:b/>
                <w:lang w:val="hr-HR"/>
              </w:rPr>
              <w:t>.</w:t>
            </w:r>
            <w:r w:rsidR="00B37AE6" w:rsidRPr="0097148D">
              <w:rPr>
                <w:b/>
                <w:lang w:val="hr-HR"/>
              </w:rPr>
              <w:t xml:space="preserve"> SET PITANJA I ODGOVORA</w:t>
            </w:r>
          </w:p>
        </w:tc>
      </w:tr>
      <w:tr w:rsidR="00B37AE6" w:rsidRPr="0097148D" w14:paraId="09C70DF5" w14:textId="77777777" w:rsidTr="00E269D5">
        <w:trPr>
          <w:trHeight w:val="433"/>
        </w:trPr>
        <w:tc>
          <w:tcPr>
            <w:tcW w:w="567" w:type="dxa"/>
            <w:shd w:val="clear" w:color="auto" w:fill="538135" w:themeFill="accent6" w:themeFillShade="BF"/>
          </w:tcPr>
          <w:p w14:paraId="1ABDEF0B" w14:textId="77777777" w:rsidR="00B37AE6" w:rsidRPr="0097148D" w:rsidRDefault="00B37AE6" w:rsidP="00E269D5">
            <w:pPr>
              <w:jc w:val="center"/>
              <w:rPr>
                <w:b/>
                <w:sz w:val="22"/>
                <w:szCs w:val="22"/>
                <w:lang w:val="hr-HR"/>
              </w:rPr>
            </w:pPr>
            <w:r w:rsidRPr="0097148D">
              <w:rPr>
                <w:b/>
                <w:color w:val="FFFFFF" w:themeColor="background1"/>
                <w:sz w:val="22"/>
                <w:szCs w:val="22"/>
                <w:lang w:val="hr-HR"/>
              </w:rPr>
              <w:t>RB</w:t>
            </w:r>
          </w:p>
        </w:tc>
        <w:tc>
          <w:tcPr>
            <w:tcW w:w="6095" w:type="dxa"/>
            <w:shd w:val="clear" w:color="auto" w:fill="538135" w:themeFill="accent6" w:themeFillShade="BF"/>
          </w:tcPr>
          <w:p w14:paraId="03884726" w14:textId="2921A2F5" w:rsidR="00B37AE6" w:rsidRPr="0097148D" w:rsidRDefault="00B37AE6" w:rsidP="00E269D5">
            <w:pPr>
              <w:rPr>
                <w:b/>
                <w:sz w:val="22"/>
                <w:szCs w:val="22"/>
                <w:lang w:val="hr-HR"/>
              </w:rPr>
            </w:pPr>
            <w:r w:rsidRPr="0097148D">
              <w:rPr>
                <w:b/>
                <w:color w:val="FFFFFF" w:themeColor="background1"/>
                <w:sz w:val="22"/>
                <w:szCs w:val="22"/>
                <w:lang w:val="hr-HR"/>
              </w:rPr>
              <w:t xml:space="preserve">DATUM ZAPRIMANJA PITANJA: </w:t>
            </w:r>
            <w:r>
              <w:rPr>
                <w:b/>
                <w:color w:val="FFFFFF" w:themeColor="background1"/>
                <w:sz w:val="22"/>
                <w:szCs w:val="22"/>
                <w:lang w:val="hr-HR"/>
              </w:rPr>
              <w:t xml:space="preserve"> 4. ožujka</w:t>
            </w:r>
            <w:r w:rsidRPr="0097148D">
              <w:rPr>
                <w:b/>
                <w:color w:val="FFFFFF" w:themeColor="background1"/>
                <w:sz w:val="22"/>
                <w:szCs w:val="22"/>
                <w:lang w:val="hr-HR"/>
              </w:rPr>
              <w:t xml:space="preserve"> 2022.</w:t>
            </w:r>
          </w:p>
        </w:tc>
        <w:tc>
          <w:tcPr>
            <w:tcW w:w="6946" w:type="dxa"/>
            <w:shd w:val="clear" w:color="auto" w:fill="538135" w:themeFill="accent6" w:themeFillShade="BF"/>
          </w:tcPr>
          <w:p w14:paraId="1E1E4197" w14:textId="77777777" w:rsidR="00B37AE6" w:rsidRPr="0097148D" w:rsidRDefault="00B37AE6" w:rsidP="00E269D5">
            <w:pPr>
              <w:rPr>
                <w:b/>
                <w:sz w:val="22"/>
                <w:szCs w:val="22"/>
                <w:lang w:val="hr-HR"/>
              </w:rPr>
            </w:pPr>
            <w:r w:rsidRPr="0097148D">
              <w:rPr>
                <w:b/>
                <w:color w:val="FFFFFF" w:themeColor="background1"/>
                <w:sz w:val="22"/>
                <w:szCs w:val="22"/>
                <w:lang w:val="hr-HR"/>
              </w:rPr>
              <w:t>DATUM ODGOVORA NA PITANJE:</w:t>
            </w:r>
            <w:r>
              <w:rPr>
                <w:b/>
                <w:color w:val="FFFFFF" w:themeColor="background1"/>
                <w:sz w:val="22"/>
                <w:szCs w:val="22"/>
                <w:lang w:val="hr-HR"/>
              </w:rPr>
              <w:t xml:space="preserve"> 10</w:t>
            </w:r>
            <w:r w:rsidRPr="0097148D">
              <w:rPr>
                <w:b/>
                <w:color w:val="FFFFFF" w:themeColor="background1"/>
                <w:sz w:val="22"/>
                <w:szCs w:val="22"/>
                <w:lang w:val="hr-HR"/>
              </w:rPr>
              <w:t xml:space="preserve">. </w:t>
            </w:r>
            <w:r>
              <w:rPr>
                <w:b/>
                <w:color w:val="FFFFFF" w:themeColor="background1"/>
                <w:sz w:val="22"/>
                <w:szCs w:val="22"/>
                <w:lang w:val="hr-HR"/>
              </w:rPr>
              <w:t>ožujka</w:t>
            </w:r>
            <w:r w:rsidRPr="0097148D">
              <w:rPr>
                <w:b/>
                <w:color w:val="FFFFFF" w:themeColor="background1"/>
                <w:sz w:val="22"/>
                <w:szCs w:val="22"/>
                <w:lang w:val="hr-HR"/>
              </w:rPr>
              <w:t xml:space="preserve"> 2022.</w:t>
            </w:r>
          </w:p>
        </w:tc>
      </w:tr>
      <w:tr w:rsidR="00B37AE6" w:rsidRPr="00DA49F5" w14:paraId="73DFF7C4" w14:textId="77777777" w:rsidTr="00E269D5">
        <w:trPr>
          <w:trHeight w:val="434"/>
        </w:trPr>
        <w:tc>
          <w:tcPr>
            <w:tcW w:w="567" w:type="dxa"/>
            <w:vAlign w:val="center"/>
          </w:tcPr>
          <w:p w14:paraId="076240CB" w14:textId="2CEF1B68" w:rsidR="00B37AE6" w:rsidRPr="00573224" w:rsidRDefault="00365447" w:rsidP="00E269D5">
            <w:pPr>
              <w:tabs>
                <w:tab w:val="left" w:pos="176"/>
              </w:tabs>
              <w:jc w:val="right"/>
              <w:rPr>
                <w:b/>
                <w:lang w:val="hr-HR"/>
              </w:rPr>
            </w:pPr>
            <w:r>
              <w:rPr>
                <w:b/>
                <w:lang w:val="hr-HR"/>
              </w:rPr>
              <w:t>5</w:t>
            </w:r>
            <w:r w:rsidR="00B37AE6">
              <w:rPr>
                <w:b/>
                <w:lang w:val="hr-HR"/>
              </w:rPr>
              <w:t>.</w:t>
            </w:r>
          </w:p>
        </w:tc>
        <w:tc>
          <w:tcPr>
            <w:tcW w:w="6095" w:type="dxa"/>
          </w:tcPr>
          <w:p w14:paraId="5F5C636B" w14:textId="76DEB21D" w:rsidR="00B37AE6" w:rsidRPr="00DA49F5" w:rsidRDefault="00EB22D8" w:rsidP="00E269D5">
            <w:pPr>
              <w:jc w:val="both"/>
              <w:rPr>
                <w:lang w:val="hr-HR"/>
              </w:rPr>
            </w:pPr>
            <w:r w:rsidRPr="00EB22D8">
              <w:rPr>
                <w:lang w:val="hr-HR"/>
              </w:rPr>
              <w:t>Da li je prihvatljivo partnerstvo u projektnoj prijavi? Ukoliko je prihvatljivo partnerstvo u projektu da li je moguć prijenos vlasništva nabavljene opreme/IT/IKT između partnera nakon završetka projekta?</w:t>
            </w:r>
          </w:p>
        </w:tc>
        <w:tc>
          <w:tcPr>
            <w:tcW w:w="6946" w:type="dxa"/>
          </w:tcPr>
          <w:p w14:paraId="2F968F82" w14:textId="2AD2030E" w:rsidR="00B37AE6" w:rsidRPr="00DA49F5" w:rsidRDefault="006C7CEE" w:rsidP="00E269D5">
            <w:pPr>
              <w:jc w:val="both"/>
              <w:rPr>
                <w:lang w:val="hr-HR"/>
              </w:rPr>
            </w:pPr>
            <w:r>
              <w:rPr>
                <w:lang w:val="hr-HR"/>
              </w:rPr>
              <w:t>Sukladno predmetnom pozivu, partnerstvo nije prihvatljivo.</w:t>
            </w:r>
          </w:p>
          <w:p w14:paraId="3E0C2B25" w14:textId="77777777" w:rsidR="00B37AE6" w:rsidRPr="00DA49F5" w:rsidRDefault="00B37AE6" w:rsidP="00E269D5">
            <w:pPr>
              <w:jc w:val="both"/>
              <w:rPr>
                <w:lang w:val="hr-HR"/>
              </w:rPr>
            </w:pPr>
          </w:p>
        </w:tc>
      </w:tr>
      <w:tr w:rsidR="00B37AE6" w:rsidRPr="00DA49F5" w14:paraId="58F9C10E" w14:textId="77777777" w:rsidTr="00E269D5">
        <w:trPr>
          <w:trHeight w:val="295"/>
        </w:trPr>
        <w:tc>
          <w:tcPr>
            <w:tcW w:w="567" w:type="dxa"/>
            <w:vAlign w:val="center"/>
          </w:tcPr>
          <w:p w14:paraId="7231056C" w14:textId="51C56E0A" w:rsidR="00B37AE6" w:rsidRPr="00573224" w:rsidRDefault="00EB22D8" w:rsidP="00E269D5">
            <w:pPr>
              <w:tabs>
                <w:tab w:val="left" w:pos="176"/>
              </w:tabs>
              <w:jc w:val="right"/>
              <w:rPr>
                <w:b/>
                <w:lang w:val="hr-HR"/>
              </w:rPr>
            </w:pPr>
            <w:r>
              <w:rPr>
                <w:b/>
                <w:lang w:val="hr-HR"/>
              </w:rPr>
              <w:t>6</w:t>
            </w:r>
            <w:r w:rsidR="00B37AE6" w:rsidRPr="00573224">
              <w:rPr>
                <w:b/>
                <w:lang w:val="hr-HR"/>
              </w:rPr>
              <w:t>.</w:t>
            </w:r>
          </w:p>
        </w:tc>
        <w:tc>
          <w:tcPr>
            <w:tcW w:w="6095" w:type="dxa"/>
          </w:tcPr>
          <w:p w14:paraId="5D781F17" w14:textId="23764D3E" w:rsidR="00B37AE6" w:rsidRPr="00DA49F5" w:rsidRDefault="00EB22D8" w:rsidP="00EB22D8">
            <w:pPr>
              <w:jc w:val="both"/>
              <w:rPr>
                <w:lang w:val="hr-HR"/>
              </w:rPr>
            </w:pPr>
            <w:r w:rsidRPr="00EB22D8">
              <w:rPr>
                <w:lang w:val="hr-HR"/>
              </w:rPr>
              <w:t>Da li je potrebno dostaviti dokumentaciju o provedenom postupku jednostavne ili javne nabave za troškove nastale nakon 28.12.2020. godine, odnosno za troškove nastale prije podnošenja projektne prijave?</w:t>
            </w:r>
          </w:p>
        </w:tc>
        <w:tc>
          <w:tcPr>
            <w:tcW w:w="6946" w:type="dxa"/>
          </w:tcPr>
          <w:p w14:paraId="0EB1E062" w14:textId="6EA4D969" w:rsidR="00B37AE6" w:rsidRPr="00DA49F5" w:rsidRDefault="006C7CEE" w:rsidP="00EB22D8">
            <w:pPr>
              <w:jc w:val="both"/>
              <w:rPr>
                <w:lang w:val="hr-HR"/>
              </w:rPr>
            </w:pPr>
            <w:r>
              <w:rPr>
                <w:lang w:val="hr-HR"/>
              </w:rPr>
              <w:t>Navedeno je potrebno dostaviti.</w:t>
            </w:r>
          </w:p>
        </w:tc>
      </w:tr>
      <w:tr w:rsidR="00EB22D8" w:rsidRPr="00DA49F5" w14:paraId="564A6152" w14:textId="77777777" w:rsidTr="00E269D5">
        <w:trPr>
          <w:trHeight w:val="295"/>
        </w:trPr>
        <w:tc>
          <w:tcPr>
            <w:tcW w:w="567" w:type="dxa"/>
            <w:vAlign w:val="center"/>
          </w:tcPr>
          <w:p w14:paraId="6AB0DAD7" w14:textId="391C9F69" w:rsidR="00EB22D8" w:rsidRDefault="00EB22D8" w:rsidP="00E269D5">
            <w:pPr>
              <w:tabs>
                <w:tab w:val="left" w:pos="176"/>
              </w:tabs>
              <w:jc w:val="right"/>
              <w:rPr>
                <w:b/>
              </w:rPr>
            </w:pPr>
            <w:r>
              <w:rPr>
                <w:b/>
              </w:rPr>
              <w:t>7.</w:t>
            </w:r>
          </w:p>
        </w:tc>
        <w:tc>
          <w:tcPr>
            <w:tcW w:w="6095" w:type="dxa"/>
          </w:tcPr>
          <w:p w14:paraId="1DC84871" w14:textId="076BE607" w:rsidR="00EB22D8" w:rsidRPr="006C7CEE" w:rsidRDefault="00EB22D8" w:rsidP="00EB22D8">
            <w:pPr>
              <w:jc w:val="both"/>
              <w:rPr>
                <w:lang w:val="hr-HR"/>
              </w:rPr>
            </w:pPr>
            <w:r w:rsidRPr="006C7CEE">
              <w:rPr>
                <w:lang w:val="hr-HR"/>
              </w:rPr>
              <w:t>Da li je moguće nabaviti novu opremu koja će se koristiti u slučaju novih intervencija uzrokovanih pojavom potresa ili se nova nabavljena oprema odmah po nabavi (kupnji) mora koristiti za uklanjanje posljedica potresa od 28.12.2020. na područjima gdje je još uvijek potrebno izvršiti uklanjanje eventualnih posljedice  potresa? Da li je potrebo zapisnikom/izvještajem opravdati izvanrednu i povećanju nabavu nove opreme?</w:t>
            </w:r>
          </w:p>
        </w:tc>
        <w:tc>
          <w:tcPr>
            <w:tcW w:w="6946" w:type="dxa"/>
          </w:tcPr>
          <w:p w14:paraId="76DA8A80" w14:textId="21D0E579" w:rsidR="00EB22D8" w:rsidRPr="006C7CEE" w:rsidRDefault="006C7CEE" w:rsidP="00EB22D8">
            <w:pPr>
              <w:jc w:val="both"/>
              <w:rPr>
                <w:lang w:val="hr-HR"/>
              </w:rPr>
            </w:pPr>
            <w:r w:rsidRPr="006C7CEE">
              <w:rPr>
                <w:lang w:val="hr-HR"/>
              </w:rPr>
              <w:t xml:space="preserve">Sukladno točki 2.9. </w:t>
            </w:r>
            <w:r w:rsidRPr="006C7CEE">
              <w:rPr>
                <w:i/>
                <w:lang w:val="hr-HR"/>
              </w:rPr>
              <w:t>Prihvatljivi troškovi</w:t>
            </w:r>
            <w:r w:rsidRPr="006C7CEE">
              <w:rPr>
                <w:lang w:val="hr-HR"/>
              </w:rPr>
              <w:t xml:space="preserve"> Uputa za prijavitelje nabava opreme definirana</w:t>
            </w:r>
            <w:r>
              <w:rPr>
                <w:lang w:val="hr-HR"/>
              </w:rPr>
              <w:t xml:space="preserve"> je kako glasi:</w:t>
            </w:r>
          </w:p>
          <w:p w14:paraId="19F10389" w14:textId="77777777" w:rsidR="006C7CEE" w:rsidRPr="006C7CEE" w:rsidRDefault="006C7CEE" w:rsidP="006C7CEE">
            <w:pPr>
              <w:numPr>
                <w:ilvl w:val="0"/>
                <w:numId w:val="28"/>
              </w:numPr>
              <w:ind w:left="320"/>
              <w:jc w:val="both"/>
              <w:rPr>
                <w:lang w:val="hr-HR"/>
              </w:rPr>
            </w:pPr>
            <w:r w:rsidRPr="00FB0A42">
              <w:rPr>
                <w:b/>
                <w:lang w:val="hr-HR"/>
              </w:rPr>
              <w:t>Izvanredna nabava opreme</w:t>
            </w:r>
            <w:r w:rsidRPr="006C7CEE">
              <w:rPr>
                <w:lang w:val="hr-HR"/>
              </w:rPr>
              <w:t xml:space="preserve"> za potrebe službi spašavanja vezane uz uklanjanje posljedica potresa:</w:t>
            </w:r>
          </w:p>
          <w:p w14:paraId="4E2158B0" w14:textId="77777777" w:rsidR="006C7CEE" w:rsidRPr="006C7CEE" w:rsidRDefault="006C7CEE" w:rsidP="006C7CEE">
            <w:pPr>
              <w:numPr>
                <w:ilvl w:val="0"/>
                <w:numId w:val="29"/>
              </w:numPr>
              <w:jc w:val="both"/>
              <w:rPr>
                <w:lang w:val="hr-HR"/>
              </w:rPr>
            </w:pPr>
            <w:r w:rsidRPr="006C7CEE">
              <w:rPr>
                <w:lang w:val="hr-HR"/>
              </w:rPr>
              <w:t>troškovi uklanjanja i otpremanja uništene i rashodovane opreme;</w:t>
            </w:r>
          </w:p>
          <w:p w14:paraId="7054416F" w14:textId="77777777" w:rsidR="006C7CEE" w:rsidRPr="006C7CEE" w:rsidRDefault="006C7CEE" w:rsidP="006C7CEE">
            <w:pPr>
              <w:numPr>
                <w:ilvl w:val="0"/>
                <w:numId w:val="29"/>
              </w:numPr>
              <w:jc w:val="both"/>
              <w:rPr>
                <w:lang w:val="hr-HR"/>
              </w:rPr>
            </w:pPr>
            <w:r w:rsidRPr="006C7CEE">
              <w:rPr>
                <w:lang w:val="hr-HR"/>
              </w:rPr>
              <w:t>troškovi nabave uništene, oštećene ili rashodovane opreme;</w:t>
            </w:r>
          </w:p>
          <w:p w14:paraId="6B5F35EF" w14:textId="77777777" w:rsidR="006C7CEE" w:rsidRPr="006C7CEE" w:rsidRDefault="006C7CEE" w:rsidP="006C7CEE">
            <w:pPr>
              <w:numPr>
                <w:ilvl w:val="0"/>
                <w:numId w:val="29"/>
              </w:numPr>
              <w:jc w:val="both"/>
              <w:rPr>
                <w:lang w:val="hr-HR"/>
              </w:rPr>
            </w:pPr>
            <w:r w:rsidRPr="006C7CEE">
              <w:rPr>
                <w:lang w:val="hr-HR"/>
              </w:rPr>
              <w:t xml:space="preserve">troškovi izvanredne i povećane nabave </w:t>
            </w:r>
            <w:r w:rsidRPr="006C7CEE">
              <w:rPr>
                <w:b/>
                <w:lang w:val="hr-HR"/>
              </w:rPr>
              <w:t>nove opreme</w:t>
            </w:r>
            <w:r w:rsidRPr="006C7CEE">
              <w:rPr>
                <w:lang w:val="hr-HR"/>
              </w:rPr>
              <w:t xml:space="preserve"> sukladno potrebama službi spašavanja vezane uz uklanjanje posljedica potresa;</w:t>
            </w:r>
          </w:p>
          <w:p w14:paraId="3EA50058" w14:textId="77777777" w:rsidR="006C7CEE" w:rsidRPr="006C7CEE" w:rsidRDefault="006C7CEE" w:rsidP="006C7CEE">
            <w:pPr>
              <w:numPr>
                <w:ilvl w:val="0"/>
                <w:numId w:val="29"/>
              </w:numPr>
              <w:jc w:val="both"/>
              <w:rPr>
                <w:lang w:val="hr-HR"/>
              </w:rPr>
            </w:pPr>
            <w:r w:rsidRPr="006C7CEE">
              <w:rPr>
                <w:lang w:val="hr-HR"/>
              </w:rPr>
              <w:t xml:space="preserve">nabava medicinske i higijenske opreme sukladno povećanim potrebama uslijed pandemije izazvane virusom Covid 19. </w:t>
            </w:r>
          </w:p>
          <w:p w14:paraId="037F0319" w14:textId="77777777" w:rsidR="00FB0A42" w:rsidRDefault="00FB0A42" w:rsidP="00EB22D8">
            <w:pPr>
              <w:jc w:val="both"/>
              <w:rPr>
                <w:lang w:val="hr-HR"/>
              </w:rPr>
            </w:pPr>
          </w:p>
          <w:p w14:paraId="2CF86AE0" w14:textId="77777777" w:rsidR="00FB0A42" w:rsidRDefault="00FB0A42" w:rsidP="00FB0A42">
            <w:pPr>
              <w:jc w:val="both"/>
              <w:rPr>
                <w:lang w:val="hr-HR"/>
              </w:rPr>
            </w:pPr>
            <w:r>
              <w:rPr>
                <w:lang w:val="hr-HR"/>
              </w:rPr>
              <w:t xml:space="preserve">Slijedom navedenog, u slučaju da službe spašavanja nisu posjedovale adekvatnu opremu </w:t>
            </w:r>
            <w:r w:rsidRPr="00FB0A42">
              <w:rPr>
                <w:lang w:val="hr-HR"/>
              </w:rPr>
              <w:t xml:space="preserve">za potrebe uklanjanja posljedica potresa, počevši od 28.12.2020., </w:t>
            </w:r>
            <w:r>
              <w:rPr>
                <w:lang w:val="hr-HR"/>
              </w:rPr>
              <w:t xml:space="preserve">istu je bilo moguće nabaviti samo u okviru izvanrednih nabava. </w:t>
            </w:r>
          </w:p>
          <w:p w14:paraId="278FE4D4" w14:textId="0BF354CA" w:rsidR="00FB0A42" w:rsidRPr="006C7CEE" w:rsidRDefault="00FB0A42" w:rsidP="00FB0A42">
            <w:pPr>
              <w:jc w:val="both"/>
              <w:rPr>
                <w:lang w:val="hr-HR"/>
              </w:rPr>
            </w:pPr>
            <w:r>
              <w:rPr>
                <w:lang w:val="hr-HR"/>
              </w:rPr>
              <w:t>Izvanrednu nabavu nove opreme potrebno je dokazati prikladnim izvještajima/ zapisnicima.</w:t>
            </w:r>
          </w:p>
        </w:tc>
      </w:tr>
      <w:tr w:rsidR="00EB22D8" w:rsidRPr="00DA49F5" w14:paraId="1DCBFAE8" w14:textId="77777777" w:rsidTr="00E269D5">
        <w:trPr>
          <w:trHeight w:val="295"/>
        </w:trPr>
        <w:tc>
          <w:tcPr>
            <w:tcW w:w="567" w:type="dxa"/>
            <w:vAlign w:val="center"/>
          </w:tcPr>
          <w:p w14:paraId="2D421F2D" w14:textId="0C7D4A1D" w:rsidR="00EB22D8" w:rsidRDefault="00EB22D8" w:rsidP="00E269D5">
            <w:pPr>
              <w:tabs>
                <w:tab w:val="left" w:pos="176"/>
              </w:tabs>
              <w:jc w:val="right"/>
              <w:rPr>
                <w:b/>
              </w:rPr>
            </w:pPr>
            <w:r>
              <w:rPr>
                <w:b/>
              </w:rPr>
              <w:t>8.</w:t>
            </w:r>
          </w:p>
        </w:tc>
        <w:tc>
          <w:tcPr>
            <w:tcW w:w="6095" w:type="dxa"/>
          </w:tcPr>
          <w:p w14:paraId="5CB2BABE" w14:textId="6A752894" w:rsidR="00EB22D8" w:rsidRPr="006C7CEE" w:rsidRDefault="00EB22D8" w:rsidP="00EB22D8">
            <w:pPr>
              <w:jc w:val="both"/>
              <w:rPr>
                <w:lang w:val="hr-HR"/>
              </w:rPr>
            </w:pPr>
            <w:r w:rsidRPr="006C7CEE">
              <w:rPr>
                <w:lang w:val="hr-HR"/>
              </w:rPr>
              <w:t>Da li je prihvatljiv prijavitelj Javna vatrogasna postrojba grada koji djeluje izvan području Grada Zagreba, Krapinsko-zagorske županije, Zagrebačke županije, Sisačko-moslavačke županije, Karlovačke županije, Varaždinske županije, Međimurske županije, Brodsko-posavske županije,  Koprivničko-križevačke županije i Bjelovarsko-bilogorske županije, a koja je sudjelovala u intervencijama za potrebe stanovništva nastalih kao posljedica serije potresa počevši od 28. prosinca 2020. godine na području Grada Zagreba, Krapinsko-zagorske županije, Zagrebačke županije, Sisačko-moslavačke županije, Karlovačke županije, Varaždinske županije, Međimurske županije, Brodsko-posavske županije,  Koprivničko-križevačke županije i Bjelovarsko-bilogorske županije?</w:t>
            </w:r>
          </w:p>
        </w:tc>
        <w:tc>
          <w:tcPr>
            <w:tcW w:w="6946" w:type="dxa"/>
          </w:tcPr>
          <w:p w14:paraId="4FB2EA1B" w14:textId="3A6F041C" w:rsidR="00EB22D8" w:rsidRPr="006C7CEE" w:rsidRDefault="006C7CEE" w:rsidP="00EB22D8">
            <w:pPr>
              <w:jc w:val="both"/>
              <w:rPr>
                <w:lang w:val="hr-HR"/>
              </w:rPr>
            </w:pPr>
            <w:r w:rsidRPr="006C7CEE">
              <w:rPr>
                <w:lang w:val="hr-HR"/>
              </w:rPr>
              <w:t>Navedeni prijavitelj je prihvatljiv. Napominjemo kako područje operacije mora biti na području Grada Zagreba, Krapinsko-zagorske županije, Zagrebačke županije, Sisačko-moslavačke županije, Karlovačke županije, Varaždinske županije, Međimurske županije, Brodsko-posavske županije, Koprivničko-križevačke županije i Bjelovarsko-bilogorske županije.</w:t>
            </w:r>
          </w:p>
        </w:tc>
      </w:tr>
    </w:tbl>
    <w:p w14:paraId="6C42C1C3" w14:textId="38658EC1" w:rsidR="00B37AE6" w:rsidRDefault="00B37AE6" w:rsidP="00002E6E">
      <w:pPr>
        <w:spacing w:after="0" w:line="240" w:lineRule="auto"/>
        <w:jc w:val="both"/>
        <w:rPr>
          <w:rFonts w:ascii="Times New Roman" w:hAnsi="Times New Roman" w:cs="Times New Roman"/>
          <w:sz w:val="24"/>
          <w:szCs w:val="24"/>
        </w:rPr>
      </w:pPr>
    </w:p>
    <w:p w14:paraId="2B226399" w14:textId="77777777" w:rsidR="00B37AE6" w:rsidRPr="00EC7F45" w:rsidRDefault="00B37AE6" w:rsidP="00002E6E">
      <w:pPr>
        <w:spacing w:after="0" w:line="240" w:lineRule="auto"/>
        <w:jc w:val="both"/>
        <w:rPr>
          <w:rFonts w:ascii="Times New Roman" w:hAnsi="Times New Roman" w:cs="Times New Roman"/>
          <w:sz w:val="24"/>
          <w:szCs w:val="24"/>
        </w:rPr>
      </w:pPr>
    </w:p>
    <w:sectPr w:rsidR="00B37AE6" w:rsidRPr="00EC7F45" w:rsidSect="004F45A5">
      <w:footerReference w:type="default" r:id="rId13"/>
      <w:pgSz w:w="16838" w:h="11906" w:orient="landscape"/>
      <w:pgMar w:top="567" w:right="1418" w:bottom="1134" w:left="1418"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27A39" w14:textId="77777777" w:rsidR="00D31C21" w:rsidRDefault="00D31C21" w:rsidP="00FC265C">
      <w:pPr>
        <w:spacing w:after="0" w:line="240" w:lineRule="auto"/>
      </w:pPr>
      <w:r>
        <w:separator/>
      </w:r>
    </w:p>
  </w:endnote>
  <w:endnote w:type="continuationSeparator" w:id="0">
    <w:p w14:paraId="799C5776" w14:textId="77777777" w:rsidR="00D31C21" w:rsidRDefault="00D31C21"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C1E" w14:textId="408865D3" w:rsidR="00FA1518" w:rsidRDefault="00FA1518" w:rsidP="004F45A5">
    <w:pPr>
      <w:pStyle w:val="Podnoje"/>
    </w:pPr>
  </w:p>
  <w:p w14:paraId="6214C1DF" w14:textId="72573642"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662F4" w14:textId="77777777" w:rsidR="00D31C21" w:rsidRDefault="00D31C21" w:rsidP="00FC265C">
      <w:pPr>
        <w:spacing w:after="0" w:line="240" w:lineRule="auto"/>
      </w:pPr>
      <w:r>
        <w:separator/>
      </w:r>
    </w:p>
  </w:footnote>
  <w:footnote w:type="continuationSeparator" w:id="0">
    <w:p w14:paraId="1491AA03" w14:textId="77777777" w:rsidR="00D31C21" w:rsidRDefault="00D31C21"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034A0"/>
    <w:multiLevelType w:val="hybridMultilevel"/>
    <w:tmpl w:val="880009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A92779"/>
    <w:multiLevelType w:val="hybridMultilevel"/>
    <w:tmpl w:val="24448E02"/>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E3793"/>
    <w:multiLevelType w:val="hybridMultilevel"/>
    <w:tmpl w:val="D9345F4C"/>
    <w:lvl w:ilvl="0" w:tplc="5186DC58">
      <w:start w:val="3"/>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F2E9C"/>
    <w:multiLevelType w:val="hybridMultilevel"/>
    <w:tmpl w:val="D988C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64A5F"/>
    <w:multiLevelType w:val="hybridMultilevel"/>
    <w:tmpl w:val="B2841C5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14925EE"/>
    <w:multiLevelType w:val="hybridMultilevel"/>
    <w:tmpl w:val="CCAA4E8E"/>
    <w:lvl w:ilvl="0" w:tplc="041A0001">
      <w:start w:val="1"/>
      <w:numFmt w:val="bullet"/>
      <w:lvlText w:val=""/>
      <w:lvlJc w:val="left"/>
      <w:pPr>
        <w:ind w:left="1014" w:hanging="360"/>
      </w:pPr>
      <w:rPr>
        <w:rFonts w:ascii="Symbol" w:hAnsi="Symbol" w:hint="default"/>
      </w:rPr>
    </w:lvl>
    <w:lvl w:ilvl="1" w:tplc="041A0003" w:tentative="1">
      <w:start w:val="1"/>
      <w:numFmt w:val="bullet"/>
      <w:lvlText w:val="o"/>
      <w:lvlJc w:val="left"/>
      <w:pPr>
        <w:ind w:left="1734" w:hanging="360"/>
      </w:pPr>
      <w:rPr>
        <w:rFonts w:ascii="Courier New" w:hAnsi="Courier New" w:cs="Courier New" w:hint="default"/>
      </w:rPr>
    </w:lvl>
    <w:lvl w:ilvl="2" w:tplc="041A0005" w:tentative="1">
      <w:start w:val="1"/>
      <w:numFmt w:val="bullet"/>
      <w:lvlText w:val=""/>
      <w:lvlJc w:val="left"/>
      <w:pPr>
        <w:ind w:left="2454" w:hanging="360"/>
      </w:pPr>
      <w:rPr>
        <w:rFonts w:ascii="Wingdings" w:hAnsi="Wingdings" w:hint="default"/>
      </w:rPr>
    </w:lvl>
    <w:lvl w:ilvl="3" w:tplc="041A0001" w:tentative="1">
      <w:start w:val="1"/>
      <w:numFmt w:val="bullet"/>
      <w:lvlText w:val=""/>
      <w:lvlJc w:val="left"/>
      <w:pPr>
        <w:ind w:left="3174" w:hanging="360"/>
      </w:pPr>
      <w:rPr>
        <w:rFonts w:ascii="Symbol" w:hAnsi="Symbol" w:hint="default"/>
      </w:rPr>
    </w:lvl>
    <w:lvl w:ilvl="4" w:tplc="041A0003" w:tentative="1">
      <w:start w:val="1"/>
      <w:numFmt w:val="bullet"/>
      <w:lvlText w:val="o"/>
      <w:lvlJc w:val="left"/>
      <w:pPr>
        <w:ind w:left="3894" w:hanging="360"/>
      </w:pPr>
      <w:rPr>
        <w:rFonts w:ascii="Courier New" w:hAnsi="Courier New" w:cs="Courier New" w:hint="default"/>
      </w:rPr>
    </w:lvl>
    <w:lvl w:ilvl="5" w:tplc="041A0005" w:tentative="1">
      <w:start w:val="1"/>
      <w:numFmt w:val="bullet"/>
      <w:lvlText w:val=""/>
      <w:lvlJc w:val="left"/>
      <w:pPr>
        <w:ind w:left="4614" w:hanging="360"/>
      </w:pPr>
      <w:rPr>
        <w:rFonts w:ascii="Wingdings" w:hAnsi="Wingdings" w:hint="default"/>
      </w:rPr>
    </w:lvl>
    <w:lvl w:ilvl="6" w:tplc="041A0001" w:tentative="1">
      <w:start w:val="1"/>
      <w:numFmt w:val="bullet"/>
      <w:lvlText w:val=""/>
      <w:lvlJc w:val="left"/>
      <w:pPr>
        <w:ind w:left="5334" w:hanging="360"/>
      </w:pPr>
      <w:rPr>
        <w:rFonts w:ascii="Symbol" w:hAnsi="Symbol" w:hint="default"/>
      </w:rPr>
    </w:lvl>
    <w:lvl w:ilvl="7" w:tplc="041A0003" w:tentative="1">
      <w:start w:val="1"/>
      <w:numFmt w:val="bullet"/>
      <w:lvlText w:val="o"/>
      <w:lvlJc w:val="left"/>
      <w:pPr>
        <w:ind w:left="6054" w:hanging="360"/>
      </w:pPr>
      <w:rPr>
        <w:rFonts w:ascii="Courier New" w:hAnsi="Courier New" w:cs="Courier New" w:hint="default"/>
      </w:rPr>
    </w:lvl>
    <w:lvl w:ilvl="8" w:tplc="041A0005" w:tentative="1">
      <w:start w:val="1"/>
      <w:numFmt w:val="bullet"/>
      <w:lvlText w:val=""/>
      <w:lvlJc w:val="left"/>
      <w:pPr>
        <w:ind w:left="6774" w:hanging="360"/>
      </w:pPr>
      <w:rPr>
        <w:rFonts w:ascii="Wingdings" w:hAnsi="Wingdings" w:hint="default"/>
      </w:rPr>
    </w:lvl>
  </w:abstractNum>
  <w:abstractNum w:abstractNumId="17"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8"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9"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146F57"/>
    <w:multiLevelType w:val="hybridMultilevel"/>
    <w:tmpl w:val="323EDFD6"/>
    <w:lvl w:ilvl="0" w:tplc="724411C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F44B12"/>
    <w:multiLevelType w:val="hybridMultilevel"/>
    <w:tmpl w:val="66B47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A03A35"/>
    <w:multiLevelType w:val="hybridMultilevel"/>
    <w:tmpl w:val="7E9A3C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8"/>
  </w:num>
  <w:num w:numId="2">
    <w:abstractNumId w:val="22"/>
  </w:num>
  <w:num w:numId="3">
    <w:abstractNumId w:val="2"/>
  </w:num>
  <w:num w:numId="4">
    <w:abstractNumId w:val="17"/>
  </w:num>
  <w:num w:numId="5">
    <w:abstractNumId w:val="10"/>
  </w:num>
  <w:num w:numId="6">
    <w:abstractNumId w:val="21"/>
  </w:num>
  <w:num w:numId="7">
    <w:abstractNumId w:val="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num>
  <w:num w:numId="11">
    <w:abstractNumId w:val="25"/>
  </w:num>
  <w:num w:numId="12">
    <w:abstractNumId w:val="14"/>
  </w:num>
  <w:num w:numId="13">
    <w:abstractNumId w:val="18"/>
  </w:num>
  <w:num w:numId="14">
    <w:abstractNumId w:val="24"/>
  </w:num>
  <w:num w:numId="15">
    <w:abstractNumId w:val="19"/>
  </w:num>
  <w:num w:numId="16">
    <w:abstractNumId w:val="27"/>
  </w:num>
  <w:num w:numId="17">
    <w:abstractNumId w:val="4"/>
  </w:num>
  <w:num w:numId="18">
    <w:abstractNumId w:val="0"/>
  </w:num>
  <w:num w:numId="19">
    <w:abstractNumId w:val="1"/>
  </w:num>
  <w:num w:numId="20">
    <w:abstractNumId w:val="3"/>
  </w:num>
  <w:num w:numId="21">
    <w:abstractNumId w:val="20"/>
  </w:num>
  <w:num w:numId="22">
    <w:abstractNumId w:val="6"/>
  </w:num>
  <w:num w:numId="23">
    <w:abstractNumId w:val="11"/>
  </w:num>
  <w:num w:numId="24">
    <w:abstractNumId w:val="9"/>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6"/>
  </w:num>
  <w:num w:numId="28">
    <w:abstractNumId w:val="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25010"/>
    <w:rsid w:val="00025179"/>
    <w:rsid w:val="00033557"/>
    <w:rsid w:val="00041DB1"/>
    <w:rsid w:val="00046626"/>
    <w:rsid w:val="00055FB3"/>
    <w:rsid w:val="00070B3D"/>
    <w:rsid w:val="000717B8"/>
    <w:rsid w:val="00075396"/>
    <w:rsid w:val="00087974"/>
    <w:rsid w:val="000C22AB"/>
    <w:rsid w:val="000C5E2D"/>
    <w:rsid w:val="000D2ECF"/>
    <w:rsid w:val="000D72E4"/>
    <w:rsid w:val="000E0026"/>
    <w:rsid w:val="000E048D"/>
    <w:rsid w:val="000E1FC3"/>
    <w:rsid w:val="000E3753"/>
    <w:rsid w:val="000F06F1"/>
    <w:rsid w:val="00102D7E"/>
    <w:rsid w:val="00105079"/>
    <w:rsid w:val="001064EB"/>
    <w:rsid w:val="001168D1"/>
    <w:rsid w:val="00126B47"/>
    <w:rsid w:val="00131AED"/>
    <w:rsid w:val="00133307"/>
    <w:rsid w:val="00135309"/>
    <w:rsid w:val="0013776A"/>
    <w:rsid w:val="001421EB"/>
    <w:rsid w:val="001449EF"/>
    <w:rsid w:val="00146565"/>
    <w:rsid w:val="001517D2"/>
    <w:rsid w:val="001521C3"/>
    <w:rsid w:val="001534AC"/>
    <w:rsid w:val="0015413A"/>
    <w:rsid w:val="0015587E"/>
    <w:rsid w:val="00157A85"/>
    <w:rsid w:val="00162062"/>
    <w:rsid w:val="0017031A"/>
    <w:rsid w:val="00185383"/>
    <w:rsid w:val="001934E9"/>
    <w:rsid w:val="0019596C"/>
    <w:rsid w:val="001974B9"/>
    <w:rsid w:val="001A0094"/>
    <w:rsid w:val="001A17C6"/>
    <w:rsid w:val="001A2939"/>
    <w:rsid w:val="001A3DC4"/>
    <w:rsid w:val="001B23B8"/>
    <w:rsid w:val="001B6C35"/>
    <w:rsid w:val="001B6E45"/>
    <w:rsid w:val="001B7D2D"/>
    <w:rsid w:val="001D5C15"/>
    <w:rsid w:val="001D72E3"/>
    <w:rsid w:val="001E2835"/>
    <w:rsid w:val="001E2BCC"/>
    <w:rsid w:val="001E32CC"/>
    <w:rsid w:val="001F23F6"/>
    <w:rsid w:val="0020207A"/>
    <w:rsid w:val="0020544A"/>
    <w:rsid w:val="0021201B"/>
    <w:rsid w:val="002123B8"/>
    <w:rsid w:val="0021460E"/>
    <w:rsid w:val="002200CD"/>
    <w:rsid w:val="00220385"/>
    <w:rsid w:val="0022540C"/>
    <w:rsid w:val="00231F3C"/>
    <w:rsid w:val="00241C38"/>
    <w:rsid w:val="00255256"/>
    <w:rsid w:val="00256C13"/>
    <w:rsid w:val="00256FC4"/>
    <w:rsid w:val="002632C2"/>
    <w:rsid w:val="0026517A"/>
    <w:rsid w:val="00265580"/>
    <w:rsid w:val="002720AE"/>
    <w:rsid w:val="0027480B"/>
    <w:rsid w:val="00275B1A"/>
    <w:rsid w:val="00277013"/>
    <w:rsid w:val="0028615F"/>
    <w:rsid w:val="0028621D"/>
    <w:rsid w:val="002A5212"/>
    <w:rsid w:val="002A5357"/>
    <w:rsid w:val="002B2324"/>
    <w:rsid w:val="002C0AB7"/>
    <w:rsid w:val="002C33CF"/>
    <w:rsid w:val="002C3C3C"/>
    <w:rsid w:val="002C5E0E"/>
    <w:rsid w:val="002C5F04"/>
    <w:rsid w:val="002C6F5D"/>
    <w:rsid w:val="002D6A56"/>
    <w:rsid w:val="002D6C75"/>
    <w:rsid w:val="002E5C6E"/>
    <w:rsid w:val="002E650B"/>
    <w:rsid w:val="003042A2"/>
    <w:rsid w:val="0031107B"/>
    <w:rsid w:val="00313710"/>
    <w:rsid w:val="00313FE4"/>
    <w:rsid w:val="00320A93"/>
    <w:rsid w:val="00324620"/>
    <w:rsid w:val="003262BD"/>
    <w:rsid w:val="0033705B"/>
    <w:rsid w:val="00344DE8"/>
    <w:rsid w:val="00345819"/>
    <w:rsid w:val="003512C9"/>
    <w:rsid w:val="00354EFC"/>
    <w:rsid w:val="00365447"/>
    <w:rsid w:val="00366959"/>
    <w:rsid w:val="00376A59"/>
    <w:rsid w:val="0037735B"/>
    <w:rsid w:val="0037749C"/>
    <w:rsid w:val="00377D87"/>
    <w:rsid w:val="00384BE7"/>
    <w:rsid w:val="00384E6B"/>
    <w:rsid w:val="00386638"/>
    <w:rsid w:val="00390E92"/>
    <w:rsid w:val="00393243"/>
    <w:rsid w:val="00393E2C"/>
    <w:rsid w:val="003A50E9"/>
    <w:rsid w:val="003B1151"/>
    <w:rsid w:val="003B147E"/>
    <w:rsid w:val="003C532A"/>
    <w:rsid w:val="003C7A71"/>
    <w:rsid w:val="003D0C1B"/>
    <w:rsid w:val="003D2E8D"/>
    <w:rsid w:val="003D5CC5"/>
    <w:rsid w:val="003D724F"/>
    <w:rsid w:val="003E505E"/>
    <w:rsid w:val="003E7C3A"/>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553B1"/>
    <w:rsid w:val="00461F02"/>
    <w:rsid w:val="00465397"/>
    <w:rsid w:val="0046775D"/>
    <w:rsid w:val="00471101"/>
    <w:rsid w:val="004716CB"/>
    <w:rsid w:val="00473BB8"/>
    <w:rsid w:val="00477D04"/>
    <w:rsid w:val="00483932"/>
    <w:rsid w:val="004912B2"/>
    <w:rsid w:val="004961FF"/>
    <w:rsid w:val="004A1CC9"/>
    <w:rsid w:val="004A615D"/>
    <w:rsid w:val="004B0A8E"/>
    <w:rsid w:val="004B0C74"/>
    <w:rsid w:val="004B2E15"/>
    <w:rsid w:val="004B402A"/>
    <w:rsid w:val="004B4117"/>
    <w:rsid w:val="004B722E"/>
    <w:rsid w:val="004B7E0D"/>
    <w:rsid w:val="004C20C9"/>
    <w:rsid w:val="004C2773"/>
    <w:rsid w:val="004C7C74"/>
    <w:rsid w:val="004D3124"/>
    <w:rsid w:val="004D5761"/>
    <w:rsid w:val="004E29AB"/>
    <w:rsid w:val="004F45A5"/>
    <w:rsid w:val="004F7ACD"/>
    <w:rsid w:val="0050224E"/>
    <w:rsid w:val="00510A63"/>
    <w:rsid w:val="00511D99"/>
    <w:rsid w:val="0051414C"/>
    <w:rsid w:val="00544D17"/>
    <w:rsid w:val="0054576C"/>
    <w:rsid w:val="00563E70"/>
    <w:rsid w:val="00565EEF"/>
    <w:rsid w:val="00570C0F"/>
    <w:rsid w:val="00571959"/>
    <w:rsid w:val="00573224"/>
    <w:rsid w:val="005775B7"/>
    <w:rsid w:val="005813DD"/>
    <w:rsid w:val="005824F7"/>
    <w:rsid w:val="005849F9"/>
    <w:rsid w:val="00584E2A"/>
    <w:rsid w:val="0058653A"/>
    <w:rsid w:val="005873BB"/>
    <w:rsid w:val="00587DFF"/>
    <w:rsid w:val="00592ADF"/>
    <w:rsid w:val="00593C7C"/>
    <w:rsid w:val="005A47E8"/>
    <w:rsid w:val="005A668A"/>
    <w:rsid w:val="005C3F7D"/>
    <w:rsid w:val="005C5082"/>
    <w:rsid w:val="005D165D"/>
    <w:rsid w:val="005D44D1"/>
    <w:rsid w:val="005D4B64"/>
    <w:rsid w:val="005D681B"/>
    <w:rsid w:val="005E0D89"/>
    <w:rsid w:val="005E2728"/>
    <w:rsid w:val="005E2BEC"/>
    <w:rsid w:val="00601BE1"/>
    <w:rsid w:val="00614A18"/>
    <w:rsid w:val="00616078"/>
    <w:rsid w:val="00632AE9"/>
    <w:rsid w:val="00634D45"/>
    <w:rsid w:val="006532BB"/>
    <w:rsid w:val="00653729"/>
    <w:rsid w:val="00654E3C"/>
    <w:rsid w:val="00660AFA"/>
    <w:rsid w:val="00662D19"/>
    <w:rsid w:val="0066530D"/>
    <w:rsid w:val="0068593C"/>
    <w:rsid w:val="00686582"/>
    <w:rsid w:val="00686A72"/>
    <w:rsid w:val="006878F5"/>
    <w:rsid w:val="00687B38"/>
    <w:rsid w:val="00690177"/>
    <w:rsid w:val="00694412"/>
    <w:rsid w:val="0069614B"/>
    <w:rsid w:val="006A3966"/>
    <w:rsid w:val="006C16EA"/>
    <w:rsid w:val="006C2D2A"/>
    <w:rsid w:val="006C2E43"/>
    <w:rsid w:val="006C414B"/>
    <w:rsid w:val="006C7AE0"/>
    <w:rsid w:val="006C7CEE"/>
    <w:rsid w:val="006D2170"/>
    <w:rsid w:val="006D7D73"/>
    <w:rsid w:val="006E49CF"/>
    <w:rsid w:val="006E58C6"/>
    <w:rsid w:val="006F02B4"/>
    <w:rsid w:val="006F5631"/>
    <w:rsid w:val="006F61F0"/>
    <w:rsid w:val="006F64EE"/>
    <w:rsid w:val="006F716F"/>
    <w:rsid w:val="006F7A36"/>
    <w:rsid w:val="00701958"/>
    <w:rsid w:val="0071752A"/>
    <w:rsid w:val="007205DE"/>
    <w:rsid w:val="007247DD"/>
    <w:rsid w:val="00726557"/>
    <w:rsid w:val="00726D6C"/>
    <w:rsid w:val="00732F8E"/>
    <w:rsid w:val="00734037"/>
    <w:rsid w:val="00734F2D"/>
    <w:rsid w:val="007361D2"/>
    <w:rsid w:val="00742B44"/>
    <w:rsid w:val="007519B8"/>
    <w:rsid w:val="0075438A"/>
    <w:rsid w:val="007571D3"/>
    <w:rsid w:val="00764819"/>
    <w:rsid w:val="00767F01"/>
    <w:rsid w:val="0077278A"/>
    <w:rsid w:val="0077279C"/>
    <w:rsid w:val="0077431E"/>
    <w:rsid w:val="00776618"/>
    <w:rsid w:val="00777960"/>
    <w:rsid w:val="0078017A"/>
    <w:rsid w:val="007806CB"/>
    <w:rsid w:val="0078157A"/>
    <w:rsid w:val="00781612"/>
    <w:rsid w:val="0078427A"/>
    <w:rsid w:val="007924B0"/>
    <w:rsid w:val="007A0C51"/>
    <w:rsid w:val="007A16D0"/>
    <w:rsid w:val="007B432C"/>
    <w:rsid w:val="007C563B"/>
    <w:rsid w:val="007E0476"/>
    <w:rsid w:val="007E716A"/>
    <w:rsid w:val="00800EBC"/>
    <w:rsid w:val="0080768F"/>
    <w:rsid w:val="0081394B"/>
    <w:rsid w:val="008143AD"/>
    <w:rsid w:val="00826E16"/>
    <w:rsid w:val="0083279E"/>
    <w:rsid w:val="0083743E"/>
    <w:rsid w:val="008401B2"/>
    <w:rsid w:val="008467B9"/>
    <w:rsid w:val="008541A2"/>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B696A"/>
    <w:rsid w:val="008C2A42"/>
    <w:rsid w:val="008D053B"/>
    <w:rsid w:val="008D5073"/>
    <w:rsid w:val="008E518D"/>
    <w:rsid w:val="008E71E4"/>
    <w:rsid w:val="008F1C41"/>
    <w:rsid w:val="008F4888"/>
    <w:rsid w:val="0090012B"/>
    <w:rsid w:val="00903622"/>
    <w:rsid w:val="00903DB0"/>
    <w:rsid w:val="00904FA2"/>
    <w:rsid w:val="00911198"/>
    <w:rsid w:val="009115C5"/>
    <w:rsid w:val="00913041"/>
    <w:rsid w:val="00915A31"/>
    <w:rsid w:val="009169C2"/>
    <w:rsid w:val="00920F1C"/>
    <w:rsid w:val="009238C2"/>
    <w:rsid w:val="0092471B"/>
    <w:rsid w:val="00925989"/>
    <w:rsid w:val="00926CFE"/>
    <w:rsid w:val="009360A4"/>
    <w:rsid w:val="0093744E"/>
    <w:rsid w:val="0094505A"/>
    <w:rsid w:val="009622CB"/>
    <w:rsid w:val="0097148D"/>
    <w:rsid w:val="00971E56"/>
    <w:rsid w:val="0098396A"/>
    <w:rsid w:val="00984845"/>
    <w:rsid w:val="00996300"/>
    <w:rsid w:val="00996FE8"/>
    <w:rsid w:val="009A0A4C"/>
    <w:rsid w:val="009A21CF"/>
    <w:rsid w:val="009A59DD"/>
    <w:rsid w:val="009B026D"/>
    <w:rsid w:val="009C6EDE"/>
    <w:rsid w:val="009D17A7"/>
    <w:rsid w:val="009E06F7"/>
    <w:rsid w:val="009E45B2"/>
    <w:rsid w:val="009E4B14"/>
    <w:rsid w:val="009F08AB"/>
    <w:rsid w:val="009F1F0C"/>
    <w:rsid w:val="009F490E"/>
    <w:rsid w:val="00A019E1"/>
    <w:rsid w:val="00A166B4"/>
    <w:rsid w:val="00A22696"/>
    <w:rsid w:val="00A24F6F"/>
    <w:rsid w:val="00A3084B"/>
    <w:rsid w:val="00A415B4"/>
    <w:rsid w:val="00A4448A"/>
    <w:rsid w:val="00A47FC8"/>
    <w:rsid w:val="00A50770"/>
    <w:rsid w:val="00A600DE"/>
    <w:rsid w:val="00A645BC"/>
    <w:rsid w:val="00A7020B"/>
    <w:rsid w:val="00A71EE6"/>
    <w:rsid w:val="00A7352C"/>
    <w:rsid w:val="00A766C2"/>
    <w:rsid w:val="00A81C96"/>
    <w:rsid w:val="00A84628"/>
    <w:rsid w:val="00A87842"/>
    <w:rsid w:val="00A93F4C"/>
    <w:rsid w:val="00A97B60"/>
    <w:rsid w:val="00AA28A3"/>
    <w:rsid w:val="00AB45DB"/>
    <w:rsid w:val="00AC1967"/>
    <w:rsid w:val="00AC2E10"/>
    <w:rsid w:val="00AD383A"/>
    <w:rsid w:val="00AD43D0"/>
    <w:rsid w:val="00AD4C9B"/>
    <w:rsid w:val="00AE318F"/>
    <w:rsid w:val="00AE6DA4"/>
    <w:rsid w:val="00AE6FA1"/>
    <w:rsid w:val="00AF1DD1"/>
    <w:rsid w:val="00AF37E2"/>
    <w:rsid w:val="00AF63A3"/>
    <w:rsid w:val="00AF71D4"/>
    <w:rsid w:val="00B016FF"/>
    <w:rsid w:val="00B03C81"/>
    <w:rsid w:val="00B072D0"/>
    <w:rsid w:val="00B178B5"/>
    <w:rsid w:val="00B20CFE"/>
    <w:rsid w:val="00B21B8C"/>
    <w:rsid w:val="00B37AE6"/>
    <w:rsid w:val="00B37EAB"/>
    <w:rsid w:val="00B40421"/>
    <w:rsid w:val="00B45804"/>
    <w:rsid w:val="00B53970"/>
    <w:rsid w:val="00B5423E"/>
    <w:rsid w:val="00B60EAE"/>
    <w:rsid w:val="00B6105D"/>
    <w:rsid w:val="00B7526C"/>
    <w:rsid w:val="00B80913"/>
    <w:rsid w:val="00B91902"/>
    <w:rsid w:val="00B94381"/>
    <w:rsid w:val="00B95C1B"/>
    <w:rsid w:val="00B96CCD"/>
    <w:rsid w:val="00BA0BB7"/>
    <w:rsid w:val="00BA50AB"/>
    <w:rsid w:val="00BA68EF"/>
    <w:rsid w:val="00BB6591"/>
    <w:rsid w:val="00BC1E84"/>
    <w:rsid w:val="00BC2912"/>
    <w:rsid w:val="00BC3421"/>
    <w:rsid w:val="00BC3C57"/>
    <w:rsid w:val="00BC755E"/>
    <w:rsid w:val="00BE107C"/>
    <w:rsid w:val="00BE466E"/>
    <w:rsid w:val="00BF0436"/>
    <w:rsid w:val="00BF30C3"/>
    <w:rsid w:val="00BF3462"/>
    <w:rsid w:val="00C04ABE"/>
    <w:rsid w:val="00C07D04"/>
    <w:rsid w:val="00C10092"/>
    <w:rsid w:val="00C151F3"/>
    <w:rsid w:val="00C219F1"/>
    <w:rsid w:val="00C24021"/>
    <w:rsid w:val="00C5369B"/>
    <w:rsid w:val="00C647E4"/>
    <w:rsid w:val="00C661D3"/>
    <w:rsid w:val="00C71E74"/>
    <w:rsid w:val="00C71FFB"/>
    <w:rsid w:val="00C75344"/>
    <w:rsid w:val="00C811B3"/>
    <w:rsid w:val="00C81675"/>
    <w:rsid w:val="00C93C99"/>
    <w:rsid w:val="00CC284D"/>
    <w:rsid w:val="00CC77FF"/>
    <w:rsid w:val="00CD3103"/>
    <w:rsid w:val="00CD3292"/>
    <w:rsid w:val="00CD7911"/>
    <w:rsid w:val="00CD7E19"/>
    <w:rsid w:val="00CE5CCB"/>
    <w:rsid w:val="00CE6837"/>
    <w:rsid w:val="00CE7CF7"/>
    <w:rsid w:val="00CE7DFF"/>
    <w:rsid w:val="00CF1168"/>
    <w:rsid w:val="00CF127F"/>
    <w:rsid w:val="00CF2A48"/>
    <w:rsid w:val="00CF689F"/>
    <w:rsid w:val="00D12C16"/>
    <w:rsid w:val="00D12E9C"/>
    <w:rsid w:val="00D166C8"/>
    <w:rsid w:val="00D17E78"/>
    <w:rsid w:val="00D21A82"/>
    <w:rsid w:val="00D25CC7"/>
    <w:rsid w:val="00D31C21"/>
    <w:rsid w:val="00D33DBD"/>
    <w:rsid w:val="00D360C0"/>
    <w:rsid w:val="00D42A58"/>
    <w:rsid w:val="00D4758C"/>
    <w:rsid w:val="00D50190"/>
    <w:rsid w:val="00D64CE6"/>
    <w:rsid w:val="00D73041"/>
    <w:rsid w:val="00D82761"/>
    <w:rsid w:val="00D82E32"/>
    <w:rsid w:val="00D86066"/>
    <w:rsid w:val="00D946CC"/>
    <w:rsid w:val="00D956F1"/>
    <w:rsid w:val="00D96048"/>
    <w:rsid w:val="00DA23CA"/>
    <w:rsid w:val="00DA49F5"/>
    <w:rsid w:val="00DB03E0"/>
    <w:rsid w:val="00DB6455"/>
    <w:rsid w:val="00DC02A0"/>
    <w:rsid w:val="00DC0B8E"/>
    <w:rsid w:val="00DD2AAC"/>
    <w:rsid w:val="00DD78D8"/>
    <w:rsid w:val="00DE3E16"/>
    <w:rsid w:val="00DE67F3"/>
    <w:rsid w:val="00DF53ED"/>
    <w:rsid w:val="00DF6922"/>
    <w:rsid w:val="00E053F8"/>
    <w:rsid w:val="00E06670"/>
    <w:rsid w:val="00E1073F"/>
    <w:rsid w:val="00E10ED4"/>
    <w:rsid w:val="00E156A0"/>
    <w:rsid w:val="00E15B8C"/>
    <w:rsid w:val="00E322AD"/>
    <w:rsid w:val="00E34584"/>
    <w:rsid w:val="00E43AB1"/>
    <w:rsid w:val="00E50633"/>
    <w:rsid w:val="00E61823"/>
    <w:rsid w:val="00E63528"/>
    <w:rsid w:val="00E82939"/>
    <w:rsid w:val="00E858BA"/>
    <w:rsid w:val="00E85E7B"/>
    <w:rsid w:val="00E94D1C"/>
    <w:rsid w:val="00E9610A"/>
    <w:rsid w:val="00E97254"/>
    <w:rsid w:val="00EA08DE"/>
    <w:rsid w:val="00EA0F18"/>
    <w:rsid w:val="00EA3990"/>
    <w:rsid w:val="00EA6D9F"/>
    <w:rsid w:val="00EB22D8"/>
    <w:rsid w:val="00EB3D93"/>
    <w:rsid w:val="00EC3847"/>
    <w:rsid w:val="00EC7F45"/>
    <w:rsid w:val="00ED47F9"/>
    <w:rsid w:val="00ED7769"/>
    <w:rsid w:val="00EE19A2"/>
    <w:rsid w:val="00EE211A"/>
    <w:rsid w:val="00EE3476"/>
    <w:rsid w:val="00EE4823"/>
    <w:rsid w:val="00EF35F3"/>
    <w:rsid w:val="00F04E7D"/>
    <w:rsid w:val="00F050C4"/>
    <w:rsid w:val="00F11CAD"/>
    <w:rsid w:val="00F14137"/>
    <w:rsid w:val="00F14D0C"/>
    <w:rsid w:val="00F20EFA"/>
    <w:rsid w:val="00F23668"/>
    <w:rsid w:val="00F313D0"/>
    <w:rsid w:val="00F335D0"/>
    <w:rsid w:val="00F35A49"/>
    <w:rsid w:val="00F3729E"/>
    <w:rsid w:val="00F40E90"/>
    <w:rsid w:val="00F41132"/>
    <w:rsid w:val="00F50537"/>
    <w:rsid w:val="00F51C3B"/>
    <w:rsid w:val="00F522CF"/>
    <w:rsid w:val="00F52F2A"/>
    <w:rsid w:val="00F539F0"/>
    <w:rsid w:val="00F57973"/>
    <w:rsid w:val="00F62191"/>
    <w:rsid w:val="00F67B89"/>
    <w:rsid w:val="00F7009F"/>
    <w:rsid w:val="00F7211E"/>
    <w:rsid w:val="00F730AC"/>
    <w:rsid w:val="00F73512"/>
    <w:rsid w:val="00FA12BA"/>
    <w:rsid w:val="00FA1518"/>
    <w:rsid w:val="00FA7BFE"/>
    <w:rsid w:val="00FB09B1"/>
    <w:rsid w:val="00FB0A42"/>
    <w:rsid w:val="00FB2D63"/>
    <w:rsid w:val="00FC149F"/>
    <w:rsid w:val="00FC1C86"/>
    <w:rsid w:val="00FC265C"/>
    <w:rsid w:val="00FD7D9C"/>
    <w:rsid w:val="00FD7EAE"/>
    <w:rsid w:val="00FE47CB"/>
    <w:rsid w:val="00FE71B3"/>
    <w:rsid w:val="00FF2B00"/>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AE6"/>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C71E74"/>
    <w:rPr>
      <w:color w:val="954F72" w:themeColor="followedHyperlink"/>
      <w:u w:val="single"/>
    </w:rPr>
  </w:style>
  <w:style w:type="paragraph" w:customStyle="1" w:styleId="gmail-msolistparagraph">
    <w:name w:val="gmail-msolistparagraph"/>
    <w:basedOn w:val="Normal"/>
    <w:rsid w:val="00C04ABE"/>
    <w:pPr>
      <w:spacing w:before="100" w:beforeAutospacing="1" w:after="100" w:afterAutospacing="1" w:line="240" w:lineRule="auto"/>
    </w:pPr>
    <w:rPr>
      <w:rFonts w:ascii="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646980766">
      <w:bodyDiv w:val="1"/>
      <w:marLeft w:val="0"/>
      <w:marRight w:val="0"/>
      <w:marTop w:val="0"/>
      <w:marBottom w:val="0"/>
      <w:divBdr>
        <w:top w:val="none" w:sz="0" w:space="0" w:color="auto"/>
        <w:left w:val="none" w:sz="0" w:space="0" w:color="auto"/>
        <w:bottom w:val="none" w:sz="0" w:space="0" w:color="auto"/>
        <w:right w:val="none" w:sz="0" w:space="0" w:color="auto"/>
      </w:divBdr>
    </w:div>
    <w:div w:id="792096250">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534612661">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19823567">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74304084">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up.gov.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3.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ED730C9-0C51-4976-977C-C14264A6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1269</Words>
  <Characters>7234</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MUP</cp:lastModifiedBy>
  <cp:revision>15</cp:revision>
  <cp:lastPrinted>2022-02-24T13:06:00Z</cp:lastPrinted>
  <dcterms:created xsi:type="dcterms:W3CDTF">2022-02-11T14:52:00Z</dcterms:created>
  <dcterms:modified xsi:type="dcterms:W3CDTF">2022-03-10T09:55:00Z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