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32" w:rsidRPr="003167D0" w:rsidRDefault="00312E32" w:rsidP="00312E32">
      <w:pPr>
        <w:rPr>
          <w:rFonts w:ascii="Times New Roman" w:hAnsi="Times New Roman" w:cs="Times New Roman"/>
          <w:sz w:val="24"/>
          <w:szCs w:val="24"/>
        </w:rPr>
      </w:pPr>
    </w:p>
    <w:p w:rsidR="00312E32" w:rsidRDefault="007B3532" w:rsidP="00312E32">
      <w:pPr>
        <w:tabs>
          <w:tab w:val="left" w:pos="116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3658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EFA5030" wp14:editId="43E319A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528570" cy="6191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528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E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</w:t>
      </w:r>
      <w:r w:rsidR="00312E3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hr-HR"/>
        </w:rPr>
        <w:drawing>
          <wp:inline distT="0" distB="0" distL="0" distR="0" wp14:anchorId="7A5B074F" wp14:editId="11344907">
            <wp:extent cx="620153" cy="438140"/>
            <wp:effectExtent l="0" t="0" r="889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3" cy="43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E32" w:rsidRPr="00461020" w:rsidRDefault="00312E32" w:rsidP="00312E32">
      <w:pPr>
        <w:tabs>
          <w:tab w:val="left" w:pos="116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461020">
        <w:rPr>
          <w:rFonts w:ascii="Times New Roman" w:hAnsi="Times New Roman" w:cs="Times New Roman"/>
          <w:b/>
          <w:sz w:val="16"/>
          <w:szCs w:val="16"/>
        </w:rPr>
        <w:t>Europska unija</w:t>
      </w:r>
    </w:p>
    <w:p w:rsidR="00312E32" w:rsidRPr="00461020" w:rsidRDefault="00312E32" w:rsidP="00312E32">
      <w:pPr>
        <w:tabs>
          <w:tab w:val="left" w:pos="116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Pr="00461020"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r w:rsidRPr="00461020">
        <w:rPr>
          <w:rFonts w:ascii="Times New Roman" w:hAnsi="Times New Roman" w:cs="Times New Roman"/>
          <w:b/>
          <w:sz w:val="16"/>
          <w:szCs w:val="16"/>
        </w:rPr>
        <w:t xml:space="preserve">  Fond solidarnosti Europske unije</w:t>
      </w:r>
    </w:p>
    <w:p w:rsidR="00312E32" w:rsidRDefault="00312E32" w:rsidP="00312E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2E32" w:rsidRDefault="00312E32" w:rsidP="00312E32">
      <w:pPr>
        <w:shd w:val="clear" w:color="auto" w:fill="FFFFFF"/>
        <w:spacing w:after="0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191919"/>
          <w:kern w:val="36"/>
          <w:lang w:eastAsia="hr-HR"/>
        </w:rPr>
      </w:pPr>
    </w:p>
    <w:p w:rsidR="003B47DC" w:rsidRPr="003167D0" w:rsidRDefault="003B47DC" w:rsidP="003B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D0">
        <w:rPr>
          <w:rFonts w:ascii="Times New Roman" w:hAnsi="Times New Roman" w:cs="Times New Roman"/>
          <w:b/>
          <w:sz w:val="24"/>
          <w:szCs w:val="24"/>
        </w:rPr>
        <w:t>Poziv na dodjelu bespovratnih financijskih sredstava</w:t>
      </w:r>
    </w:p>
    <w:p w:rsidR="003B47DC" w:rsidRPr="003167D0" w:rsidRDefault="003B47DC" w:rsidP="003B47DC">
      <w:pPr>
        <w:spacing w:after="0" w:line="240" w:lineRule="auto"/>
        <w:jc w:val="center"/>
        <w:rPr>
          <w:rStyle w:val="Bodytext285pt"/>
          <w:rFonts w:eastAsiaTheme="minorHAnsi"/>
          <w:b/>
          <w:sz w:val="24"/>
          <w:szCs w:val="24"/>
        </w:rPr>
      </w:pP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Provedba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mjera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zaštite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kulturne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bašti</w:t>
      </w:r>
      <w:r>
        <w:rPr>
          <w:rStyle w:val="Bodytext285pt"/>
          <w:rFonts w:eastAsiaTheme="minorHAnsi"/>
          <w:b/>
          <w:sz w:val="24"/>
          <w:szCs w:val="24"/>
        </w:rPr>
        <w:t>ne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oštećene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potresu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28. </w:t>
      </w:r>
      <w:proofErr w:type="gramStart"/>
      <w:r>
        <w:rPr>
          <w:rStyle w:val="Bodytext285pt"/>
          <w:rFonts w:eastAsiaTheme="minorHAnsi"/>
          <w:b/>
          <w:sz w:val="24"/>
          <w:szCs w:val="24"/>
        </w:rPr>
        <w:t>i</w:t>
      </w:r>
      <w:proofErr w:type="gramEnd"/>
      <w:r>
        <w:rPr>
          <w:rStyle w:val="Bodytext285pt"/>
          <w:rFonts w:eastAsiaTheme="minorHAnsi"/>
          <w:b/>
          <w:sz w:val="24"/>
          <w:szCs w:val="24"/>
        </w:rPr>
        <w:t xml:space="preserve"> 29. </w:t>
      </w:r>
      <w:proofErr w:type="spellStart"/>
      <w:proofErr w:type="gramStart"/>
      <w:r>
        <w:rPr>
          <w:rStyle w:val="Bodytext285pt"/>
          <w:rFonts w:eastAsiaTheme="minorHAnsi"/>
          <w:b/>
          <w:sz w:val="24"/>
          <w:szCs w:val="24"/>
        </w:rPr>
        <w:t>prosinca</w:t>
      </w:r>
      <w:proofErr w:type="spellEnd"/>
      <w:proofErr w:type="gram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2020. </w:t>
      </w:r>
      <w:proofErr w:type="spellStart"/>
      <w:proofErr w:type="gramStart"/>
      <w:r w:rsidRPr="003167D0">
        <w:rPr>
          <w:rStyle w:val="Bodytext285pt"/>
          <w:rFonts w:eastAsiaTheme="minorHAnsi"/>
          <w:b/>
          <w:sz w:val="24"/>
          <w:szCs w:val="24"/>
        </w:rPr>
        <w:t>godine</w:t>
      </w:r>
      <w:proofErr w:type="spellEnd"/>
      <w:proofErr w:type="gram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Gra</w:t>
      </w:r>
      <w:r>
        <w:rPr>
          <w:rStyle w:val="Bodytext285pt"/>
          <w:rFonts w:eastAsiaTheme="minorHAnsi"/>
          <w:b/>
          <w:sz w:val="24"/>
          <w:szCs w:val="24"/>
        </w:rPr>
        <w:t>da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Zagreba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,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Krapinsko-zagorske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>,</w:t>
      </w:r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Zagrebačke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županije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, </w:t>
      </w:r>
    </w:p>
    <w:p w:rsidR="003B47DC" w:rsidRDefault="003B47DC" w:rsidP="003B47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772">
        <w:rPr>
          <w:rFonts w:ascii="Times New Roman" w:eastAsia="Times New Roman" w:hAnsi="Times New Roman" w:cs="Times New Roman"/>
          <w:b/>
          <w:sz w:val="24"/>
          <w:szCs w:val="24"/>
        </w:rPr>
        <w:t>Sisačko-moslavačke županije, Karlovačke županije, Varaždinske županije, Međimurske županije, Brodsko-posavske županije</w:t>
      </w:r>
      <w:r w:rsidR="009307C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307C7" w:rsidRPr="009307C7">
        <w:t xml:space="preserve"> </w:t>
      </w:r>
      <w:r w:rsidR="009307C7" w:rsidRPr="009307C7">
        <w:rPr>
          <w:rFonts w:ascii="Times New Roman" w:eastAsia="Times New Roman" w:hAnsi="Times New Roman" w:cs="Times New Roman"/>
          <w:b/>
          <w:sz w:val="24"/>
          <w:szCs w:val="24"/>
        </w:rPr>
        <w:t>Koprivničko-križevačke županije</w:t>
      </w:r>
      <w:r w:rsidR="009307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1772">
        <w:rPr>
          <w:rFonts w:ascii="Times New Roman" w:eastAsia="Times New Roman" w:hAnsi="Times New Roman" w:cs="Times New Roman"/>
          <w:b/>
          <w:sz w:val="24"/>
          <w:szCs w:val="24"/>
        </w:rPr>
        <w:t xml:space="preserve"> i Bjelovarsko-bilogorske.</w:t>
      </w:r>
    </w:p>
    <w:p w:rsidR="003B47DC" w:rsidRDefault="003B47DC" w:rsidP="003B47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2</w:t>
      </w:r>
    </w:p>
    <w:p w:rsidR="003B47DC" w:rsidRDefault="003B47DC" w:rsidP="003B47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:rsidR="003B47DC" w:rsidRPr="0014602E" w:rsidRDefault="003B47DC" w:rsidP="003B47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7C7" w:rsidRDefault="003B47DC" w:rsidP="003B47D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ime/naziv, adresa, OIB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&gt;, dolje potpisani, kao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Prijavitelj ili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osoba ovlaštena za zastupanje Prijavitelja, osobno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>osobno i u ime Prijavitelja &lt;</w:t>
      </w:r>
      <w:r w:rsidRPr="00370339">
        <w:rPr>
          <w:rFonts w:ascii="Times New Roman" w:eastAsia="Times New Roman" w:hAnsi="Times New Roman" w:cs="Times New Roman"/>
          <w:i/>
          <w:sz w:val="24"/>
          <w:szCs w:val="24"/>
        </w:rPr>
        <w:t xml:space="preserve"> umetnuti ime/naziv, adresa, OIB</w:t>
      </w:r>
      <w:r w:rsidRPr="003703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>dalje u tekstu: Prijavitelj&gt; potvrđujem da su podaci sadržani u dokumentaciji</w:t>
      </w:r>
      <w:r w:rsidRPr="00370339">
        <w:rPr>
          <w:rFonts w:ascii="Times New Roman" w:hAnsi="Times New Roman" w:cs="Times New Roman"/>
          <w:sz w:val="24"/>
          <w:szCs w:val="24"/>
        </w:rPr>
        <w:t xml:space="preserve"> 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projektnog prijedloga &lt; </w:t>
      </w:r>
      <w:r w:rsidRPr="00370339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70339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>&gt; u postupku dodjele bespovratnih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sredstava za provedbu mjera zaštite kulturne bašti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oštećene u </w:t>
      </w:r>
      <w:r w:rsidR="009307C7">
        <w:rPr>
          <w:rFonts w:ascii="Times New Roman" w:eastAsia="Times New Roman" w:hAnsi="Times New Roman" w:cs="Times New Roman"/>
          <w:sz w:val="24"/>
          <w:szCs w:val="24"/>
        </w:rPr>
        <w:t xml:space="preserve">seriji </w:t>
      </w:r>
      <w:r>
        <w:rPr>
          <w:rFonts w:ascii="Times New Roman" w:eastAsia="Times New Roman" w:hAnsi="Times New Roman" w:cs="Times New Roman"/>
          <w:sz w:val="24"/>
          <w:szCs w:val="24"/>
        </w:rPr>
        <w:t>potres</w:t>
      </w:r>
      <w:r w:rsidR="009307C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28. i 29. prosinca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2020. godine na području Grada </w:t>
      </w:r>
      <w:r>
        <w:rPr>
          <w:rFonts w:ascii="Times New Roman" w:eastAsia="Times New Roman" w:hAnsi="Times New Roman" w:cs="Times New Roman"/>
          <w:sz w:val="24"/>
          <w:szCs w:val="24"/>
        </w:rPr>
        <w:t>Zagreba, Krapinsko-zagorske,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Zagrebačke županije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1772">
        <w:rPr>
          <w:rFonts w:ascii="Times New Roman" w:eastAsia="Times New Roman" w:hAnsi="Times New Roman" w:cs="Times New Roman"/>
          <w:sz w:val="24"/>
          <w:szCs w:val="24"/>
        </w:rPr>
        <w:t>Sisačko-moslavačke županije, Karlovačke županije, Varaždinske županije, Međimurske županije, Brodsko-posavske žu</w:t>
      </w:r>
      <w:r>
        <w:rPr>
          <w:rFonts w:ascii="Times New Roman" w:eastAsia="Times New Roman" w:hAnsi="Times New Roman" w:cs="Times New Roman"/>
          <w:sz w:val="24"/>
          <w:szCs w:val="24"/>
        </w:rPr>
        <w:t>panije</w:t>
      </w:r>
      <w:r w:rsidR="00930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07C7" w:rsidRPr="009307C7">
        <w:rPr>
          <w:rFonts w:ascii="Times New Roman" w:eastAsia="Times New Roman" w:hAnsi="Times New Roman" w:cs="Times New Roman"/>
          <w:sz w:val="24"/>
          <w:szCs w:val="24"/>
        </w:rPr>
        <w:t>Koprivničko-križevačke županije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Bjelovarsko-bilogorske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Ministarstva kulturne i medija</w:t>
      </w:r>
    </w:p>
    <w:p w:rsidR="003B47DC" w:rsidRPr="00370339" w:rsidRDefault="003B47DC" w:rsidP="003B47D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0339">
        <w:rPr>
          <w:rFonts w:ascii="Times New Roman" w:eastAsia="Times New Roman" w:hAnsi="Times New Roman" w:cs="Times New Roman"/>
          <w:b/>
          <w:sz w:val="24"/>
          <w:szCs w:val="24"/>
        </w:rPr>
        <w:t>istiniti i točni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47DC" w:rsidRPr="0014602E" w:rsidRDefault="003B47DC" w:rsidP="003B47D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370339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, osobno/osobno i u ime Prijavitelja potvrđujem da predloženi prihvatljivi troškovi nisu prethodno (su)financirani bespovratnim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financijskim 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sredstvima, niti da će isti troškovi, neovisno o okolnostima, biti dvaput financirani iz proračuna Unije. Navedeno znači i da trošak prijavljen u zahtjevu za nadoknadu sredstava u okviru operacije koja se financira iz Fonda solidarnosti Europske unije (FSEU) nije prijavljen za potporu iz drugog fonda ili instrumenta Unije ili za potporu istog fonda u okviru drugog programa. Također,  primam na znanje činjenicu, razumijem i potvrđujem da trošak koji </w:t>
      </w:r>
      <w:r w:rsidRPr="002C0F83">
        <w:rPr>
          <w:rFonts w:ascii="Times New Roman" w:eastAsia="Times New Roman" w:hAnsi="Times New Roman" w:cs="Times New Roman"/>
          <w:sz w:val="24"/>
          <w:szCs w:val="24"/>
        </w:rPr>
        <w:t>je financiran iz nacionalnih javnih izvora ne može biti</w:t>
      </w:r>
      <w:r>
        <w:rPr>
          <w:rFonts w:ascii="Times New Roman" w:eastAsia="Times New Roman" w:hAnsi="Times New Roman" w:cs="Times New Roman"/>
          <w:sz w:val="24"/>
          <w:szCs w:val="24"/>
        </w:rPr>
        <w:t>/nije</w:t>
      </w:r>
      <w:r w:rsidRPr="002C0F83">
        <w:rPr>
          <w:rFonts w:ascii="Times New Roman" w:eastAsia="Times New Roman" w:hAnsi="Times New Roman" w:cs="Times New Roman"/>
          <w:sz w:val="24"/>
          <w:szCs w:val="24"/>
        </w:rPr>
        <w:t xml:space="preserve"> financiran iz proračuna Unije i obrnuto.</w:t>
      </w:r>
    </w:p>
    <w:p w:rsidR="003B47DC" w:rsidRPr="005066A0" w:rsidRDefault="003B47DC" w:rsidP="003B47D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Izjave osobno</w:t>
      </w:r>
      <w:r>
        <w:rPr>
          <w:rFonts w:ascii="Times New Roman" w:eastAsia="Times New Roman" w:hAnsi="Times New Roman" w:cs="Times New Roman"/>
          <w:sz w:val="24"/>
          <w:szCs w:val="24"/>
        </w:rPr>
        <w:t>/osobno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Prijavitelja  potvrđujem da su na strani Prijavitelja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ispunjeni preduvjeti za sudjelovanje u postupku dodjele bespovratnih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financijskih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sredstava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odnosno da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kao prijavitelj/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</w:t>
      </w:r>
      <w:r>
        <w:rPr>
          <w:rFonts w:ascii="Times New Roman" w:eastAsia="Times New Roman" w:hAnsi="Times New Roman" w:cs="Times New Roman"/>
          <w:sz w:val="24"/>
          <w:szCs w:val="24"/>
        </w:rPr>
        <w:t>, kao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niti dolje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navedene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osobe </w:t>
      </w:r>
      <w:r w:rsidRPr="005B3683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Pr="005B36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47DC" w:rsidRPr="00AE3FB4" w:rsidRDefault="003B47DC" w:rsidP="003B47DC">
      <w:pPr>
        <w:pStyle w:val="NoSpacing"/>
        <w:numPr>
          <w:ilvl w:val="0"/>
          <w:numId w:val="4"/>
        </w:num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da je nad Prijaviteljem otvoren stečajni postupak, da je nesposoban za plaćanje ili prezadužen, ili u postupku likvidacije, ako njegovom imovinom upravlja stečajni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upravitelj ili sud, ako je u nagodbi s vjerovnicima, ako je obustavio poslovne aktivnosti ili je u bilo kakvoj istovrsnoj situaciji koja proizlazi iz sličnog postupka prema nacionalnim zakonima i propisima, ili koji se nalazi u postupku koji su, prema propisima države njegova sjedišta ili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prava, slični svim prethodno navedenim postupcima</w:t>
      </w:r>
    </w:p>
    <w:p w:rsidR="003B47DC" w:rsidRPr="000A0258" w:rsidRDefault="003B47DC" w:rsidP="003B47DC">
      <w:pPr>
        <w:pStyle w:val="ListParagraph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B47DC" w:rsidRPr="005066A0" w:rsidRDefault="003B47DC" w:rsidP="003B47D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DC" w:rsidRPr="002F140F" w:rsidRDefault="003B47DC" w:rsidP="003B47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nastan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 i koja je državljanin Republike Hrvatske izrečena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:rsidR="003B47DC" w:rsidRPr="00342013" w:rsidRDefault="003B47DC" w:rsidP="003B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B47DC" w:rsidRPr="00CB1BA8" w:rsidRDefault="003B47DC" w:rsidP="003B47D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iz Kaznenog 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0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B47DC" w:rsidRPr="00CB1BA8" w:rsidRDefault="003B47DC" w:rsidP="003B47D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47DC" w:rsidRPr="00CB1BA8" w:rsidRDefault="003B47DC" w:rsidP="003B47D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članka 101.a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169.a (javno poticanje na terorizam) i članka 169.b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B47DC" w:rsidRPr="00027229" w:rsidRDefault="003B47DC" w:rsidP="003B47DC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47DC" w:rsidRPr="00CB1BA8" w:rsidRDefault="003B47DC" w:rsidP="003B47D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56/2015, 61/2015, 101/2017, 118/2018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B47DC" w:rsidRPr="00027229" w:rsidRDefault="003B47DC" w:rsidP="003B47DC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47DC" w:rsidRPr="00CB1BA8" w:rsidRDefault="003B47DC" w:rsidP="003B47D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B47DC" w:rsidRPr="00027229" w:rsidRDefault="003B47DC" w:rsidP="003B47DC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47DC" w:rsidRPr="00CB1BA8" w:rsidRDefault="003B47DC" w:rsidP="003B47D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B47DC" w:rsidRPr="00CB1BA8" w:rsidRDefault="003B47DC" w:rsidP="003B47D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47DC" w:rsidRPr="00CB1BA8" w:rsidRDefault="003B47DC" w:rsidP="003B47D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B47DC" w:rsidRPr="00CB1BA8" w:rsidRDefault="003B47DC" w:rsidP="003B47DC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47DC" w:rsidRPr="002F140F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je protiv Prijavitelja </w:t>
      </w:r>
      <w:r w:rsidRPr="002F140F">
        <w:rPr>
          <w:rFonts w:ascii="Times New Roman" w:hAnsi="Times New Roman" w:cs="Times New Roman"/>
          <w:sz w:val="24"/>
          <w:szCs w:val="24"/>
        </w:rPr>
        <w:t xml:space="preserve">koji nema poslovni </w:t>
      </w:r>
      <w:proofErr w:type="spellStart"/>
      <w:r w:rsidRPr="002F140F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2F140F">
        <w:rPr>
          <w:rFonts w:ascii="Times New Roman" w:hAnsi="Times New Roman" w:cs="Times New Roman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2F140F">
        <w:rPr>
          <w:rFonts w:ascii="Times New Roman" w:hAnsi="Times New Roman" w:cs="Times New Roman"/>
          <w:b/>
          <w:sz w:val="24"/>
          <w:szCs w:val="24"/>
        </w:rPr>
        <w:t>pravomoćna sudska presuda</w:t>
      </w:r>
      <w:r w:rsidRPr="002F140F">
        <w:rPr>
          <w:rFonts w:ascii="Times New Roman" w:hAnsi="Times New Roman" w:cs="Times New Roman"/>
          <w:sz w:val="24"/>
          <w:szCs w:val="24"/>
        </w:rPr>
        <w:t xml:space="preserve"> kojom je osuđen za kaznena djela iz ove Izjave i/ili za odgovarajuća kaznena djela, prema nacionalnim propisima države poslovnog </w:t>
      </w:r>
      <w:proofErr w:type="spellStart"/>
      <w:r w:rsidRPr="002F140F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2F140F">
        <w:rPr>
          <w:rFonts w:ascii="Times New Roman" w:hAnsi="Times New Roman" w:cs="Times New Roman"/>
          <w:sz w:val="24"/>
          <w:szCs w:val="24"/>
        </w:rPr>
        <w:t xml:space="preserve"> gospodarskog subjekta ili države čiji je državljanin osoba koja je član upravnog, upravljačkog ili nadzornog tijela ili ima ovlasti zastupanja, donošenja odluka ili nadzora toga gospodarskog subjekta</w:t>
      </w:r>
    </w:p>
    <w:p w:rsidR="003B47DC" w:rsidRPr="00F532A7" w:rsidRDefault="003B47DC" w:rsidP="003B4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B47DC" w:rsidRPr="002F140F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da je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Prijavitelj/osoba ovlaštena po zakonu za zastupanje Prijavitelja proglašen(a) krivim zbog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:rsidR="003B47DC" w:rsidRPr="0014602E" w:rsidRDefault="003B47DC" w:rsidP="003B4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2F140F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 i u kojoj će se provoditi ugovor o dodjeli bespovratnih financijskih sredstava i u skladu s propisima države poslovnog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Prijavitelja (ako oni nemaju poslovni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Prijavitelj nije udovoljio spomenutim obvezama, ako mu, </w:t>
      </w:r>
      <w:r w:rsidRPr="002F140F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</w:p>
    <w:p w:rsidR="003B47DC" w:rsidRPr="0014602E" w:rsidRDefault="003B47DC" w:rsidP="003B4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2F140F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je Prijavitelju utvrđeno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Pr="000870D2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ugovora o dodjeli bespovratnih financijskih sredstva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sredstava postupka (su)financiranog sredstvima Unije</w:t>
      </w:r>
    </w:p>
    <w:p w:rsidR="003B47DC" w:rsidRPr="0014602E" w:rsidRDefault="003B47DC" w:rsidP="003B4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2F140F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je prijavitelj u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4"/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financijskih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sredstava</w:t>
      </w:r>
    </w:p>
    <w:p w:rsidR="003B47DC" w:rsidRPr="0014602E" w:rsidRDefault="003B47DC" w:rsidP="003B4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2F140F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da prijavitelj nije izvršio povrat sredstava prema odluci nadležnog tijela odgovornog za provedbu FSEU</w:t>
      </w:r>
    </w:p>
    <w:p w:rsidR="003B47DC" w:rsidRPr="00C4348F" w:rsidRDefault="003B47DC" w:rsidP="003B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2F140F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da je prijavitelj u postupku prisilnog povrata sredstava</w:t>
      </w:r>
    </w:p>
    <w:p w:rsidR="003B47DC" w:rsidRPr="00C4348F" w:rsidRDefault="003B47DC" w:rsidP="003B47DC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502442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>da prijavitelj ne udovoljava obvezama u skladu s odobrenom obročnom otplatom duga</w:t>
      </w:r>
    </w:p>
    <w:p w:rsidR="003B47DC" w:rsidRDefault="003B47DC" w:rsidP="003B47D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>prijavitelj podliježe neizvršenom nalogu za povrat sredstava na temelju prethodne odluke Komisije kojom se potpora što ju je dodijelila država članica ocjenjuje nezakonitom i nespojivom s unutarnjim tržištem, u skladu s odredbom članka 1.točke 4. (a) Uredbe (EU) br. 651/2014</w:t>
      </w:r>
    </w:p>
    <w:p w:rsidR="003B47DC" w:rsidRPr="00943B9D" w:rsidRDefault="003B47DC" w:rsidP="003B47D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502442" w:rsidRDefault="003B47DC" w:rsidP="003B4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je </w:t>
      </w:r>
      <w:r w:rsidRPr="003167D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prijavitelj u teškoćama kako je definirano u članku 2. točki 18. Uredbe (EU)  br. 651/2014</w:t>
      </w:r>
    </w:p>
    <w:p w:rsidR="003B47DC" w:rsidRPr="00A36323" w:rsidRDefault="003B47DC" w:rsidP="003B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502442" w:rsidRDefault="003B47DC" w:rsidP="003B47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sve prethodno navedeno, neovisno o tome o kojem financijskom razdoblju jer riječ (financijsko razdoblje 2007-2013. ili financijsko razdoblje 2014.-2020.), i o kojem izvoru je riječ (kada se radi o javnim sredstvima).</w:t>
      </w:r>
    </w:p>
    <w:p w:rsidR="003B47DC" w:rsidRPr="00EE5A6E" w:rsidRDefault="003B47DC" w:rsidP="003B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Default="003B47DC" w:rsidP="003B47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3BC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5C13BC">
        <w:rPr>
          <w:rFonts w:ascii="Times New Roman" w:eastAsia="Times New Roman" w:hAnsi="Times New Roman" w:cs="Times New Roman"/>
          <w:i/>
          <w:sz w:val="24"/>
          <w:szCs w:val="24"/>
        </w:rPr>
        <w:t>ako je primjenjivo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Pr="005C13BC">
        <w:t xml:space="preserve">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Ako se Prijavitelj nalazi u nekoj od situacija koja se odnose na pitanje povrata sredstava, mogućnost sudjelovanja u postupku dodjele bespovratnih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 sredstava uvjetuje se obvezom da Prijavitelj za sebe uz ovu Izjavu priloži dodatno pojašnjenje o namjeri i načinu povrata dugovanog iznosa i svim drugim razlozima koji idu u korist jamčenom povratu. Pri tome, ne može se sklopiti ugovor o dodjeli bespovratnih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 sredstava, ako do tog trenutka nije izvršen povrat cjelokupnog dugovanog iznosa s kamatama. Odluka podnošenja projektnog prijedloga, iako postoji jedna od situacija opisanih u ovoj Izjavi isključiva je odgovornost Prijavitelja, pri čemu se odriče bilo koja vrsta odgovornosti tijela koja sudjeluju u tom postupku ili tijela u sustavu upravljanja i kontrole EU fondovima.</w:t>
      </w:r>
      <w:r w:rsidRPr="005C13BC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5"/>
      </w:r>
      <w:commentRangeStart w:id="1"/>
      <w:commentRangeEnd w:id="1"/>
    </w:p>
    <w:p w:rsidR="009307C7" w:rsidRDefault="009307C7" w:rsidP="003B47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7C7">
        <w:rPr>
          <w:rFonts w:ascii="Times New Roman" w:eastAsia="Times New Roman" w:hAnsi="Times New Roman" w:cs="Times New Roman"/>
          <w:sz w:val="24"/>
          <w:szCs w:val="24"/>
        </w:rPr>
        <w:t>Prijavitelj postupa u skladu s načelima ekonomičnosti, učinkovitosti i djelotvornosti. Prijavitelj mora imati stabilne i dostatne izvore financ</w:t>
      </w:r>
      <w:r>
        <w:rPr>
          <w:rFonts w:ascii="Times New Roman" w:eastAsia="Times New Roman" w:hAnsi="Times New Roman" w:cs="Times New Roman"/>
          <w:sz w:val="24"/>
          <w:szCs w:val="24"/>
        </w:rPr>
        <w:t>iranja.</w:t>
      </w:r>
      <w:bookmarkStart w:id="2" w:name="_GoBack"/>
      <w:bookmarkEnd w:id="2"/>
    </w:p>
    <w:p w:rsidR="003B47DC" w:rsidRDefault="003B47DC" w:rsidP="003B47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14602E" w:rsidRDefault="003B47DC" w:rsidP="003B47D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 svoje ime</w:t>
      </w:r>
      <w:r>
        <w:rPr>
          <w:rFonts w:ascii="Times New Roman" w:eastAsia="Times New Roman" w:hAnsi="Times New Roman" w:cs="Times New Roman"/>
          <w:sz w:val="24"/>
          <w:szCs w:val="24"/>
        </w:rPr>
        <w:t>/ u svoje ime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Prijavitelja potvrđujem da sam kao Prijavitelj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odnosno kao </w:t>
      </w:r>
      <w:r w:rsidRPr="00631F5D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po zakonu ovlaštena za zastupanje </w:t>
      </w:r>
      <w:r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svjestan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prihvaćam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 će se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u slučaju davanja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neistinitih, netočnih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lažn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izjav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primijeniti </w:t>
      </w:r>
      <w:r>
        <w:rPr>
          <w:rFonts w:ascii="Times New Roman" w:eastAsia="Times New Roman" w:hAnsi="Times New Roman" w:cs="Times New Roman"/>
          <w:sz w:val="24"/>
          <w:szCs w:val="24"/>
        </w:rPr>
        <w:t>odgovarajuće mjere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47DC" w:rsidRPr="0014602E" w:rsidRDefault="003B47DC" w:rsidP="003B47D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14602E" w:rsidRDefault="003B47DC" w:rsidP="003B47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DC" w:rsidRPr="0014602E" w:rsidRDefault="003B47DC" w:rsidP="003B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mjesto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&gt;,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:rsidR="003B47DC" w:rsidRPr="0014602E" w:rsidRDefault="003B47DC" w:rsidP="003B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umetnuti, ako je primjenjivo - osoba po zakonu ovlaštena za zastupanje Prijavitelja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3B47DC" w:rsidRPr="0014602E" w:rsidRDefault="003B47DC" w:rsidP="003B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:rsidR="003B47DC" w:rsidRPr="0014602E" w:rsidRDefault="003B47DC" w:rsidP="003B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5B3683">
        <w:rPr>
          <w:rFonts w:ascii="Times New Roman" w:eastAsia="Times New Roman" w:hAnsi="Times New Roman" w:cs="Times New Roman"/>
          <w:sz w:val="24"/>
          <w:szCs w:val="24"/>
        </w:rPr>
        <w:t>&gt;  i pečat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 &lt; umetnuti  &gt;</w:t>
      </w:r>
    </w:p>
    <w:p w:rsidR="00312E32" w:rsidRDefault="00312E32" w:rsidP="00312E32">
      <w:pPr>
        <w:shd w:val="clear" w:color="auto" w:fill="FFFFFF"/>
        <w:spacing w:after="0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191919"/>
          <w:kern w:val="36"/>
          <w:lang w:eastAsia="hr-HR"/>
        </w:rPr>
      </w:pPr>
    </w:p>
    <w:sectPr w:rsidR="0031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D0D" w:rsidRDefault="00151D0D" w:rsidP="003B47DC">
      <w:pPr>
        <w:spacing w:after="0" w:line="240" w:lineRule="auto"/>
      </w:pPr>
      <w:r>
        <w:separator/>
      </w:r>
    </w:p>
  </w:endnote>
  <w:endnote w:type="continuationSeparator" w:id="0">
    <w:p w:rsidR="00151D0D" w:rsidRDefault="00151D0D" w:rsidP="003B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D0D" w:rsidRDefault="00151D0D" w:rsidP="003B47DC">
      <w:pPr>
        <w:spacing w:after="0" w:line="240" w:lineRule="auto"/>
      </w:pPr>
      <w:r>
        <w:separator/>
      </w:r>
    </w:p>
  </w:footnote>
  <w:footnote w:type="continuationSeparator" w:id="0">
    <w:p w:rsidR="00151D0D" w:rsidRDefault="00151D0D" w:rsidP="003B47DC">
      <w:pPr>
        <w:spacing w:after="0" w:line="240" w:lineRule="auto"/>
      </w:pPr>
      <w:r>
        <w:continuationSeparator/>
      </w:r>
    </w:p>
  </w:footnote>
  <w:footnote w:id="1">
    <w:p w:rsidR="003B47DC" w:rsidRPr="00555D8E" w:rsidRDefault="003B47DC" w:rsidP="003B47D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55D8E">
        <w:rPr>
          <w:rStyle w:val="FootnoteReference"/>
          <w:rFonts w:ascii="Times New Roman" w:hAnsi="Times New Roman"/>
        </w:rPr>
        <w:footnoteRef/>
      </w:r>
      <w:r w:rsidRPr="00555D8E">
        <w:rPr>
          <w:rStyle w:val="FootnoteReference"/>
          <w:rFonts w:ascii="Times New Roman" w:hAnsi="Times New Roman"/>
        </w:rPr>
        <w:t xml:space="preserve"> Prijavitelj, kao potencijalni korisnik u postupku dodjele, potpisuju Izjavu prilikom podnošenja projektnog prijedloga. </w:t>
      </w:r>
    </w:p>
  </w:footnote>
  <w:footnote w:id="2">
    <w:p w:rsidR="003B47DC" w:rsidRDefault="003B47DC" w:rsidP="003B47D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predstavlja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3">
    <w:p w:rsidR="003B47DC" w:rsidRPr="00502442" w:rsidRDefault="003B47DC" w:rsidP="003B47DC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/>
          <w:b/>
          <w:bCs/>
          <w:i/>
          <w:iCs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9B53CE">
        <w:rPr>
          <w:rFonts w:ascii="Times New Roman" w:hAnsi="Times New Roman" w:cs="Times New Roman"/>
          <w:sz w:val="16"/>
          <w:szCs w:val="16"/>
        </w:rPr>
        <w:t xml:space="preserve">Teško kršenje ugovora je kršenje ugovora u pogledu kojeg je nadležno tijelo izvršilo jednostrani raskid sukladno </w:t>
      </w:r>
      <w:r>
        <w:rPr>
          <w:rFonts w:ascii="Times New Roman" w:hAnsi="Times New Roman" w:cs="Times New Roman"/>
          <w:sz w:val="16"/>
          <w:szCs w:val="16"/>
        </w:rPr>
        <w:t>ugovoru o dodjeli bespovratnih financijskih sredstava</w:t>
      </w:r>
      <w:r w:rsidRPr="009B53CE">
        <w:rPr>
          <w:rFonts w:ascii="Times New Roman" w:hAnsi="Times New Roman" w:cs="Times New Roman"/>
          <w:sz w:val="16"/>
          <w:szCs w:val="16"/>
        </w:rPr>
        <w:t>, te je zatražen povrat cjelokupnog iznosa dodijeljenih sredstava, a radi se o sredstvima čiji povrat je po navedenoj osnovi zatražen u odnosu na bilo koji postupak dodjele bespovratnih sredstava iz bilo kojeg fonda EU.</w:t>
      </w:r>
    </w:p>
  </w:footnote>
  <w:footnote w:id="4">
    <w:p w:rsidR="003B47DC" w:rsidRPr="00656D3E" w:rsidRDefault="003B47DC" w:rsidP="003B47DC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se dolazi u priliku svojom odlukom ili drugim djelovanjem pogodovati sebi ili sebi bliskim osobama, društvenim skupinama i organizacijama. </w:t>
      </w:r>
      <w:r>
        <w:rPr>
          <w:rFonts w:ascii="Times New Roman" w:hAnsi="Times New Roman" w:cs="Times New Roman"/>
          <w:sz w:val="16"/>
          <w:szCs w:val="16"/>
        </w:rPr>
        <w:t>Sukob interesa razmatra se i kroz</w:t>
      </w:r>
      <w:r w:rsidRPr="00FD149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članak</w:t>
      </w:r>
      <w:r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:rsidR="003B47DC" w:rsidRDefault="003B47DC" w:rsidP="003B47DC">
      <w:pPr>
        <w:pStyle w:val="FootnoteText"/>
      </w:pPr>
    </w:p>
  </w:footnote>
  <w:footnote w:id="5">
    <w:p w:rsidR="003B47DC" w:rsidRDefault="003B47DC" w:rsidP="003B47DC">
      <w:pPr>
        <w:tabs>
          <w:tab w:val="left" w:pos="820"/>
        </w:tabs>
        <w:spacing w:after="0" w:line="240" w:lineRule="auto"/>
        <w:ind w:right="79"/>
        <w:jc w:val="both"/>
      </w:pPr>
      <w:r w:rsidRPr="005B3683">
        <w:rPr>
          <w:rStyle w:val="FootnoteReference"/>
          <w:rFonts w:ascii="Times New Roman" w:hAnsi="Times New Roman"/>
        </w:rPr>
        <w:footnoteRef/>
      </w:r>
      <w:r w:rsidRPr="005B3683">
        <w:rPr>
          <w:rStyle w:val="FootnoteReference"/>
          <w:rFonts w:ascii="Times New Roman" w:hAnsi="Times New Roman"/>
        </w:rPr>
        <w:t xml:space="preserve"> Samo ako će se pozivom takva mogućnost dopustiti. Potrebno prilagoditi. Primjenjivo je iznimno, te se ta mogućnost utvrđuje s Upravljačkim tijelom.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E5A77"/>
    <w:multiLevelType w:val="multilevel"/>
    <w:tmpl w:val="801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A7B73"/>
    <w:multiLevelType w:val="hybridMultilevel"/>
    <w:tmpl w:val="7A4E8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32"/>
    <w:rsid w:val="00151D0D"/>
    <w:rsid w:val="00312E32"/>
    <w:rsid w:val="003B47DC"/>
    <w:rsid w:val="00676D79"/>
    <w:rsid w:val="007B3532"/>
    <w:rsid w:val="009307C7"/>
    <w:rsid w:val="009877AD"/>
    <w:rsid w:val="009A1725"/>
    <w:rsid w:val="00E236EB"/>
    <w:rsid w:val="00E35B8E"/>
    <w:rsid w:val="00F5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933A1-C57A-48A3-B32C-763C4261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4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7DC"/>
    <w:pPr>
      <w:spacing w:after="200" w:line="240" w:lineRule="auto"/>
    </w:pPr>
    <w:rPr>
      <w:rFonts w:eastAsiaTheme="minorEastAsia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7DC"/>
    <w:rPr>
      <w:rFonts w:eastAsiaTheme="minorEastAsia"/>
      <w:sz w:val="20"/>
      <w:szCs w:val="20"/>
      <w:lang w:eastAsia="hr-HR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3B47D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B47DC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3B47DC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3B47DC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3B47DC"/>
    <w:pPr>
      <w:spacing w:line="240" w:lineRule="exact"/>
    </w:pPr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B47DC"/>
    <w:pPr>
      <w:spacing w:after="200" w:line="276" w:lineRule="auto"/>
      <w:ind w:left="720"/>
      <w:contextualSpacing/>
    </w:pPr>
  </w:style>
  <w:style w:type="paragraph" w:styleId="NoSpacing">
    <w:name w:val="No Spacing"/>
    <w:basedOn w:val="Normal"/>
    <w:uiPriority w:val="1"/>
    <w:qFormat/>
    <w:rsid w:val="003B47DC"/>
    <w:pPr>
      <w:spacing w:after="0" w:line="240" w:lineRule="auto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3B47DC"/>
  </w:style>
  <w:style w:type="character" w:customStyle="1" w:styleId="Bodytext285pt">
    <w:name w:val="Body text (2) + 8;5 pt"/>
    <w:basedOn w:val="DefaultParagraphFont"/>
    <w:rsid w:val="003B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 Magaš Mesić</dc:creator>
  <cp:keywords/>
  <dc:description/>
  <cp:lastModifiedBy>Anastazija Magaš Mesić</cp:lastModifiedBy>
  <cp:revision>2</cp:revision>
  <dcterms:created xsi:type="dcterms:W3CDTF">2022-01-05T07:23:00Z</dcterms:created>
  <dcterms:modified xsi:type="dcterms:W3CDTF">2022-01-05T07:23:00Z</dcterms:modified>
</cp:coreProperties>
</file>