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BD085D"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23946C4F"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 xml:space="preserve">): </w:t>
      </w:r>
      <w:r w:rsidR="00142868">
        <w:rPr>
          <w:rFonts w:ascii="Times New Roman" w:hAnsi="Times New Roman" w:cs="Times New Roman"/>
          <w:b/>
          <w:sz w:val="18"/>
          <w:szCs w:val="18"/>
        </w:rPr>
        <w:t>09</w:t>
      </w:r>
      <w:r w:rsidR="00E16DCC">
        <w:rPr>
          <w:rFonts w:ascii="Times New Roman" w:hAnsi="Times New Roman" w:cs="Times New Roman"/>
          <w:b/>
          <w:sz w:val="18"/>
          <w:szCs w:val="18"/>
        </w:rPr>
        <w:t>.0</w:t>
      </w:r>
      <w:r w:rsidR="00142868">
        <w:rPr>
          <w:rFonts w:ascii="Times New Roman" w:hAnsi="Times New Roman" w:cs="Times New Roman"/>
          <w:b/>
          <w:sz w:val="18"/>
          <w:szCs w:val="18"/>
        </w:rPr>
        <w:t>2</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74448466" w:rsidR="001421EB" w:rsidRPr="00EC7F45" w:rsidRDefault="00324620" w:rsidP="00142868">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142868">
              <w:rPr>
                <w:b/>
                <w:color w:val="FFFFFF" w:themeColor="background1"/>
                <w:sz w:val="22"/>
                <w:szCs w:val="22"/>
                <w:lang w:val="hr-HR"/>
              </w:rPr>
              <w:t>31</w:t>
            </w:r>
            <w:r w:rsidR="004810D7">
              <w:rPr>
                <w:b/>
                <w:color w:val="FFFFFF" w:themeColor="background1"/>
                <w:sz w:val="22"/>
                <w:szCs w:val="22"/>
                <w:lang w:val="hr-HR"/>
              </w:rPr>
              <w:t>.01.2022. godine</w:t>
            </w:r>
          </w:p>
        </w:tc>
        <w:tc>
          <w:tcPr>
            <w:tcW w:w="6946" w:type="dxa"/>
            <w:shd w:val="clear" w:color="auto" w:fill="538135" w:themeFill="accent6" w:themeFillShade="BF"/>
          </w:tcPr>
          <w:p w14:paraId="7B6817FD" w14:textId="58708B0C" w:rsidR="001421EB" w:rsidRPr="00EC7F45" w:rsidRDefault="00324620" w:rsidP="006D19BF">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142868">
              <w:rPr>
                <w:b/>
                <w:color w:val="FFFFFF" w:themeColor="background1"/>
                <w:sz w:val="22"/>
                <w:szCs w:val="22"/>
                <w:lang w:val="hr-HR"/>
              </w:rPr>
              <w:t>0</w:t>
            </w:r>
            <w:r w:rsidR="006D19BF">
              <w:rPr>
                <w:b/>
                <w:color w:val="FFFFFF" w:themeColor="background1"/>
                <w:sz w:val="22"/>
                <w:szCs w:val="22"/>
                <w:lang w:val="hr-HR"/>
              </w:rPr>
              <w:t>3</w:t>
            </w:r>
            <w:bookmarkStart w:id="0" w:name="_GoBack"/>
            <w:bookmarkEnd w:id="0"/>
            <w:r w:rsidR="004810D7">
              <w:rPr>
                <w:b/>
                <w:color w:val="FFFFFF" w:themeColor="background1"/>
                <w:sz w:val="22"/>
                <w:szCs w:val="22"/>
                <w:lang w:val="hr-HR"/>
              </w:rPr>
              <w:t>.0</w:t>
            </w:r>
            <w:r w:rsidR="00142868">
              <w:rPr>
                <w:b/>
                <w:color w:val="FFFFFF" w:themeColor="background1"/>
                <w:sz w:val="22"/>
                <w:szCs w:val="22"/>
                <w:lang w:val="hr-HR"/>
              </w:rPr>
              <w:t>2</w:t>
            </w:r>
            <w:r w:rsidR="004810D7">
              <w:rPr>
                <w:b/>
                <w:color w:val="FFFFFF" w:themeColor="background1"/>
                <w:sz w:val="22"/>
                <w:szCs w:val="22"/>
                <w:lang w:val="hr-HR"/>
              </w:rPr>
              <w:t>.2022.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6814D14B" w14:textId="5C057BF6" w:rsidR="001421EB" w:rsidRPr="00EC7F45" w:rsidRDefault="00142868" w:rsidP="00FC1B0B">
            <w:pPr>
              <w:jc w:val="both"/>
              <w:rPr>
                <w:sz w:val="22"/>
                <w:szCs w:val="22"/>
                <w:lang w:val="hr-HR"/>
              </w:rPr>
            </w:pPr>
            <w:r w:rsidRPr="00142868">
              <w:rPr>
                <w:sz w:val="22"/>
                <w:szCs w:val="22"/>
                <w:lang w:val="hr-HR"/>
              </w:rPr>
              <w:t>Da li je za aktivnosti Grupe 1 (Hitne mjere situacije) koje su već provedene potrebno dostaviti Obrazac 5 te Dokaz da je građevina oštećena u potresu? Naime, zbog hitnosti nakon potresa, a u svrhu normaliziranja situacije  odmah se krenulo sa sanacijom građevina u ovom slučaju prometnica te su prometnice hitno sanirane prema uobičajenoj proceduri sanacije prometnica, za što su bili izrađeni troškovnici.</w:t>
            </w:r>
          </w:p>
        </w:tc>
        <w:tc>
          <w:tcPr>
            <w:tcW w:w="6946" w:type="dxa"/>
          </w:tcPr>
          <w:p w14:paraId="01AE1061" w14:textId="6B8813A1" w:rsidR="001421EB" w:rsidRPr="00EC7F45" w:rsidRDefault="00142868" w:rsidP="00FC1B0B">
            <w:pPr>
              <w:jc w:val="both"/>
              <w:rPr>
                <w:sz w:val="22"/>
                <w:szCs w:val="22"/>
                <w:lang w:val="hr-HR"/>
              </w:rPr>
            </w:pPr>
            <w:r>
              <w:rPr>
                <w:sz w:val="22"/>
                <w:szCs w:val="22"/>
                <w:lang w:val="hr-HR"/>
              </w:rPr>
              <w:t>Za sve aktivnosti koje se prijavljuje nužno je dostaviti dokaze da je građevina oštećena u potresima nakon 28. prosinca 2020. godine te je isto tako nužno dostaviti i Obrazac 5.</w:t>
            </w:r>
          </w:p>
        </w:tc>
      </w:tr>
      <w:tr w:rsidR="001421EB" w:rsidRPr="00EC7F45" w14:paraId="335DBE76" w14:textId="77777777" w:rsidTr="002C5F04">
        <w:trPr>
          <w:trHeight w:val="272"/>
        </w:trPr>
        <w:tc>
          <w:tcPr>
            <w:tcW w:w="567" w:type="dxa"/>
            <w:vAlign w:val="center"/>
          </w:tcPr>
          <w:p w14:paraId="3FFFD638" w14:textId="77777777" w:rsidR="001421EB" w:rsidRPr="00EC7F45" w:rsidRDefault="001421EB" w:rsidP="00911198">
            <w:pPr>
              <w:pStyle w:val="ListParagraph"/>
              <w:numPr>
                <w:ilvl w:val="0"/>
                <w:numId w:val="4"/>
              </w:numPr>
              <w:ind w:hanging="549"/>
              <w:jc w:val="right"/>
              <w:rPr>
                <w:b/>
                <w:sz w:val="22"/>
                <w:szCs w:val="22"/>
                <w:lang w:val="hr-HR"/>
              </w:rPr>
            </w:pPr>
          </w:p>
        </w:tc>
        <w:tc>
          <w:tcPr>
            <w:tcW w:w="6095" w:type="dxa"/>
          </w:tcPr>
          <w:p w14:paraId="54C9F849" w14:textId="7C0549D9" w:rsidR="001421EB" w:rsidRPr="00EC7F45" w:rsidRDefault="00142868" w:rsidP="00393536">
            <w:pPr>
              <w:jc w:val="both"/>
              <w:rPr>
                <w:sz w:val="22"/>
                <w:szCs w:val="22"/>
                <w:lang w:val="hr-HR"/>
              </w:rPr>
            </w:pPr>
            <w:r w:rsidRPr="00142868">
              <w:rPr>
                <w:sz w:val="22"/>
                <w:szCs w:val="22"/>
                <w:lang w:val="hr-HR"/>
              </w:rPr>
              <w:t>Da li se u sklopu projektne prijave dostavlja jedan Obrazac 5 sa svim aktivnostima ili se za svaku aktivnost dostavlja zaseban Obrazac 5.</w:t>
            </w:r>
          </w:p>
        </w:tc>
        <w:tc>
          <w:tcPr>
            <w:tcW w:w="6946" w:type="dxa"/>
          </w:tcPr>
          <w:p w14:paraId="21B5FA67" w14:textId="77777777" w:rsidR="007973E2" w:rsidRDefault="00142868" w:rsidP="00142868">
            <w:pPr>
              <w:jc w:val="both"/>
              <w:rPr>
                <w:sz w:val="22"/>
                <w:szCs w:val="22"/>
                <w:lang w:val="hr-HR"/>
              </w:rPr>
            </w:pPr>
            <w:r>
              <w:rPr>
                <w:sz w:val="22"/>
                <w:szCs w:val="22"/>
                <w:lang w:val="hr-HR"/>
              </w:rPr>
              <w:t xml:space="preserve">Prijavitelj može dostaviti samo jedan Obrazac 5 sa jasno definiranim aktivnostima i jasno definiranim </w:t>
            </w:r>
            <w:proofErr w:type="spellStart"/>
            <w:r>
              <w:rPr>
                <w:sz w:val="22"/>
                <w:szCs w:val="22"/>
                <w:lang w:val="hr-HR"/>
              </w:rPr>
              <w:t>aktovima</w:t>
            </w:r>
            <w:proofErr w:type="spellEnd"/>
            <w:r>
              <w:rPr>
                <w:sz w:val="22"/>
                <w:szCs w:val="22"/>
                <w:lang w:val="hr-HR"/>
              </w:rPr>
              <w:t xml:space="preserve"> koje je potrebno ishoditi za svaku aktivnost.</w:t>
            </w:r>
          </w:p>
          <w:p w14:paraId="6346EF78" w14:textId="2FF9F7F4" w:rsidR="00142868" w:rsidRPr="00EC7F45" w:rsidRDefault="00142868" w:rsidP="00142868">
            <w:pPr>
              <w:jc w:val="both"/>
              <w:rPr>
                <w:sz w:val="22"/>
                <w:szCs w:val="22"/>
                <w:lang w:val="hr-HR"/>
              </w:rPr>
            </w:pPr>
            <w:r>
              <w:rPr>
                <w:sz w:val="22"/>
                <w:szCs w:val="22"/>
                <w:lang w:val="hr-HR"/>
              </w:rPr>
              <w:t>No isto tako prijavitelj može dostaviti i više Obrazaca 5 ako je Prijavitelj odlučio grupirati pojedine aktivnosti ili je to nužno zbog drugih razloga.</w:t>
            </w:r>
          </w:p>
        </w:tc>
      </w:tr>
      <w:tr w:rsidR="00142868" w:rsidRPr="00EC7F45" w14:paraId="262C18DF" w14:textId="77777777" w:rsidTr="002C5F04">
        <w:trPr>
          <w:trHeight w:val="272"/>
        </w:trPr>
        <w:tc>
          <w:tcPr>
            <w:tcW w:w="567" w:type="dxa"/>
            <w:vAlign w:val="center"/>
          </w:tcPr>
          <w:p w14:paraId="2ED4B951" w14:textId="77777777" w:rsidR="00142868" w:rsidRPr="00EC7F45" w:rsidRDefault="00142868" w:rsidP="00911198">
            <w:pPr>
              <w:pStyle w:val="ListParagraph"/>
              <w:numPr>
                <w:ilvl w:val="0"/>
                <w:numId w:val="4"/>
              </w:numPr>
              <w:ind w:hanging="549"/>
              <w:jc w:val="right"/>
              <w:rPr>
                <w:b/>
              </w:rPr>
            </w:pPr>
          </w:p>
        </w:tc>
        <w:tc>
          <w:tcPr>
            <w:tcW w:w="6095" w:type="dxa"/>
          </w:tcPr>
          <w:p w14:paraId="31D62AFF" w14:textId="0D4702C1" w:rsidR="00142868" w:rsidRPr="001C33B7" w:rsidRDefault="00142868" w:rsidP="00393536">
            <w:pPr>
              <w:jc w:val="both"/>
              <w:rPr>
                <w:lang w:val="hr-HR"/>
              </w:rPr>
            </w:pPr>
            <w:r w:rsidRPr="001C33B7">
              <w:rPr>
                <w:sz w:val="22"/>
                <w:szCs w:val="22"/>
                <w:lang w:val="hr-HR"/>
              </w:rPr>
              <w:t>Molimo pojašnjenje vezano za detaljno razrađen troškovnik za svaku aktivnost operacije. Da li je propisano tko i s kakvim ovlaštenjima treba izraditi troškovnik? Konkretno, treba li troškovnik izraditi ovlašteni stručnjak (projektant/arhitekt) upisan u komoru ili je prihvatljiv troškovnik koje su izradili stručni suradnici/službenici zaposleni u uredu Prijavitelja, a kojima su takvi poslovi u opisu radnog mjesta?</w:t>
            </w:r>
          </w:p>
        </w:tc>
        <w:tc>
          <w:tcPr>
            <w:tcW w:w="6946" w:type="dxa"/>
          </w:tcPr>
          <w:p w14:paraId="59564B3D" w14:textId="617E153E" w:rsidR="00142868" w:rsidRPr="001C33B7" w:rsidRDefault="00142868" w:rsidP="00142868">
            <w:pPr>
              <w:jc w:val="both"/>
              <w:rPr>
                <w:sz w:val="22"/>
                <w:szCs w:val="22"/>
                <w:lang w:val="hr-HR"/>
              </w:rPr>
            </w:pPr>
            <w:r w:rsidRPr="001C33B7">
              <w:rPr>
                <w:sz w:val="22"/>
                <w:szCs w:val="22"/>
                <w:lang w:val="hr-HR"/>
              </w:rPr>
              <w:t>Detaljno razrađeni troškovnik mora biti potpisan</w:t>
            </w:r>
            <w:r w:rsidR="002215D5" w:rsidRPr="001C33B7">
              <w:rPr>
                <w:sz w:val="22"/>
                <w:szCs w:val="22"/>
                <w:lang w:val="hr-HR"/>
              </w:rPr>
              <w:t xml:space="preserve"> i ovjeren</w:t>
            </w:r>
            <w:r w:rsidRPr="001C33B7">
              <w:rPr>
                <w:sz w:val="22"/>
                <w:szCs w:val="22"/>
                <w:lang w:val="hr-HR"/>
              </w:rPr>
              <w:t xml:space="preserve"> od osobe ovlaštene temeljem zakon</w:t>
            </w:r>
            <w:r w:rsidR="002215D5" w:rsidRPr="001C33B7">
              <w:rPr>
                <w:sz w:val="22"/>
                <w:szCs w:val="22"/>
                <w:lang w:val="hr-HR"/>
              </w:rPr>
              <w:t>a</w:t>
            </w:r>
            <w:r w:rsidRPr="001C33B7">
              <w:rPr>
                <w:sz w:val="22"/>
                <w:szCs w:val="22"/>
                <w:lang w:val="hr-HR"/>
              </w:rPr>
              <w:t xml:space="preserve"> o gradnji (NN br. 153/13, 20/17, 39/19, i 125/19)</w:t>
            </w:r>
            <w:r w:rsidR="002215D5" w:rsidRPr="001C33B7">
              <w:rPr>
                <w:sz w:val="22"/>
                <w:szCs w:val="22"/>
                <w:lang w:val="hr-HR"/>
              </w:rPr>
              <w:t xml:space="preserve"> u kojem je</w:t>
            </w:r>
            <w:r w:rsidRPr="001C33B7">
              <w:rPr>
                <w:sz w:val="22"/>
                <w:szCs w:val="22"/>
                <w:lang w:val="hr-HR"/>
              </w:rPr>
              <w:t xml:space="preserve"> navedeno da je Projektant fizička osoba koja prema posebnom zakonu ima pravo uporabe strukovnog naziva ovlašteni arhitekt ili ovlašteni inženjer.</w:t>
            </w:r>
          </w:p>
          <w:p w14:paraId="003C58EC" w14:textId="0326156F" w:rsidR="00142868" w:rsidRPr="001C33B7" w:rsidRDefault="00142868" w:rsidP="002215D5">
            <w:pPr>
              <w:jc w:val="both"/>
              <w:rPr>
                <w:lang w:val="hr-HR"/>
              </w:rPr>
            </w:pPr>
            <w:r w:rsidRPr="001C33B7">
              <w:rPr>
                <w:sz w:val="22"/>
                <w:szCs w:val="22"/>
                <w:lang w:val="hr-HR"/>
              </w:rPr>
              <w:t xml:space="preserve">Ako zaposlenici prijavitelja imaju pravo uporabe strukovnog naziva ovlašteni arhitekt ili ovlašteni inženjer, onda isti imaju pravo </w:t>
            </w:r>
            <w:r w:rsidR="002215D5" w:rsidRPr="001C33B7">
              <w:rPr>
                <w:sz w:val="22"/>
                <w:szCs w:val="22"/>
                <w:lang w:val="hr-HR"/>
              </w:rPr>
              <w:t>izraditi i troškovnik.</w:t>
            </w:r>
          </w:p>
        </w:tc>
      </w:tr>
      <w:tr w:rsidR="00142868" w:rsidRPr="00EC7F45" w14:paraId="393EF43E" w14:textId="77777777" w:rsidTr="002C5F04">
        <w:trPr>
          <w:trHeight w:val="272"/>
        </w:trPr>
        <w:tc>
          <w:tcPr>
            <w:tcW w:w="567" w:type="dxa"/>
            <w:vAlign w:val="center"/>
          </w:tcPr>
          <w:p w14:paraId="2961485A" w14:textId="77777777" w:rsidR="00142868" w:rsidRPr="00EC7F45" w:rsidRDefault="00142868" w:rsidP="00911198">
            <w:pPr>
              <w:pStyle w:val="ListParagraph"/>
              <w:numPr>
                <w:ilvl w:val="0"/>
                <w:numId w:val="4"/>
              </w:numPr>
              <w:ind w:hanging="549"/>
              <w:jc w:val="right"/>
              <w:rPr>
                <w:b/>
              </w:rPr>
            </w:pPr>
          </w:p>
        </w:tc>
        <w:tc>
          <w:tcPr>
            <w:tcW w:w="6095" w:type="dxa"/>
          </w:tcPr>
          <w:p w14:paraId="1421680F" w14:textId="0A696CF9" w:rsidR="00142868" w:rsidRPr="001C33B7" w:rsidRDefault="00142868" w:rsidP="00393536">
            <w:pPr>
              <w:jc w:val="both"/>
              <w:rPr>
                <w:lang w:val="hr-HR"/>
              </w:rPr>
            </w:pPr>
            <w:r w:rsidRPr="001C33B7">
              <w:rPr>
                <w:sz w:val="22"/>
                <w:szCs w:val="22"/>
                <w:lang w:val="hr-HR"/>
              </w:rPr>
              <w:t>Je li potrebno predvidjeti izradu elaborata ocjene postojećeg stanja i projektno-tehničku dokumentacije za sanaciju prometnica ili samo za dijelove prometnica za koje su potrebni veći radovi i multidisciplinaran pristup, npr. za sanaciju mostova?</w:t>
            </w:r>
          </w:p>
        </w:tc>
        <w:tc>
          <w:tcPr>
            <w:tcW w:w="6946" w:type="dxa"/>
          </w:tcPr>
          <w:p w14:paraId="5DD187B1" w14:textId="688896DE" w:rsidR="00142868" w:rsidRDefault="008A6E1E" w:rsidP="007973E2">
            <w:pPr>
              <w:jc w:val="both"/>
              <w:rPr>
                <w:sz w:val="22"/>
                <w:szCs w:val="22"/>
                <w:lang w:val="hr-HR"/>
              </w:rPr>
            </w:pPr>
            <w:r w:rsidRPr="00111D84">
              <w:rPr>
                <w:sz w:val="22"/>
                <w:szCs w:val="22"/>
                <w:lang w:val="hr-HR"/>
              </w:rPr>
              <w:t xml:space="preserve">Dokumentacija koju je potrebno dostaviti uz prijavu navedena je u točki 3.1. Projektni prijedlog u Uputama za prijavitelje. </w:t>
            </w:r>
          </w:p>
          <w:p w14:paraId="5B10BD28" w14:textId="77777777" w:rsidR="00185A33" w:rsidRPr="00111D84" w:rsidRDefault="00185A33" w:rsidP="007973E2">
            <w:pPr>
              <w:jc w:val="both"/>
              <w:rPr>
                <w:sz w:val="22"/>
                <w:szCs w:val="22"/>
                <w:lang w:val="hr-HR"/>
              </w:rPr>
            </w:pPr>
          </w:p>
          <w:p w14:paraId="29DB4BD1" w14:textId="4C71CF09" w:rsidR="008A6E1E" w:rsidRPr="00111D84" w:rsidRDefault="00111D84" w:rsidP="008A6E1E">
            <w:pPr>
              <w:jc w:val="both"/>
              <w:rPr>
                <w:sz w:val="22"/>
                <w:szCs w:val="22"/>
                <w:lang w:val="hr-HR"/>
              </w:rPr>
            </w:pPr>
            <w:r w:rsidRPr="00111D84">
              <w:rPr>
                <w:sz w:val="22"/>
                <w:szCs w:val="22"/>
                <w:lang w:val="hr-HR"/>
              </w:rPr>
              <w:t xml:space="preserve">Elaborat ocjene postojećeg stanja </w:t>
            </w:r>
            <w:r w:rsidR="00185A33">
              <w:rPr>
                <w:sz w:val="22"/>
                <w:szCs w:val="22"/>
                <w:lang w:val="hr-HR"/>
              </w:rPr>
              <w:t>je potrebno izraditi</w:t>
            </w:r>
            <w:r w:rsidR="005F2B48">
              <w:rPr>
                <w:sz w:val="22"/>
                <w:szCs w:val="22"/>
                <w:lang w:val="hr-HR"/>
              </w:rPr>
              <w:t xml:space="preserve"> prije prijave</w:t>
            </w:r>
            <w:r w:rsidR="00185A33">
              <w:rPr>
                <w:sz w:val="22"/>
                <w:szCs w:val="22"/>
                <w:lang w:val="hr-HR"/>
              </w:rPr>
              <w:t xml:space="preserve"> te ga dostaviti uz Obrazac 5. Izjava stručnjaka.</w:t>
            </w:r>
          </w:p>
          <w:p w14:paraId="5BCCCCE1" w14:textId="77777777" w:rsidR="00185A33" w:rsidRDefault="00185A33" w:rsidP="00EF268E">
            <w:pPr>
              <w:jc w:val="both"/>
              <w:rPr>
                <w:sz w:val="22"/>
                <w:szCs w:val="22"/>
                <w:lang w:val="hr-HR"/>
              </w:rPr>
            </w:pPr>
          </w:p>
          <w:p w14:paraId="60A1C63D" w14:textId="533BE538" w:rsidR="00110DAD" w:rsidRPr="00650A9B" w:rsidRDefault="00461005" w:rsidP="00650A9B">
            <w:pPr>
              <w:jc w:val="both"/>
              <w:rPr>
                <w:sz w:val="22"/>
                <w:szCs w:val="22"/>
                <w:lang w:val="hr-HR"/>
              </w:rPr>
            </w:pPr>
            <w:r>
              <w:rPr>
                <w:sz w:val="22"/>
                <w:szCs w:val="22"/>
                <w:lang w:val="hr-HR"/>
              </w:rPr>
              <w:t>Ovlašteni projektant</w:t>
            </w:r>
            <w:r w:rsidR="001E5326">
              <w:rPr>
                <w:sz w:val="22"/>
                <w:szCs w:val="22"/>
                <w:lang w:val="hr-HR"/>
              </w:rPr>
              <w:t xml:space="preserve"> kao stručna osoba</w:t>
            </w:r>
            <w:r>
              <w:rPr>
                <w:sz w:val="22"/>
                <w:szCs w:val="22"/>
                <w:lang w:val="hr-HR"/>
              </w:rPr>
              <w:t xml:space="preserve"> odlučuje o</w:t>
            </w:r>
            <w:r w:rsidR="00111D84" w:rsidRPr="00111D84">
              <w:rPr>
                <w:sz w:val="22"/>
                <w:szCs w:val="22"/>
                <w:lang w:val="hr-HR"/>
              </w:rPr>
              <w:t xml:space="preserve"> potrebi izrade</w:t>
            </w:r>
            <w:r w:rsidR="001E5326">
              <w:rPr>
                <w:sz w:val="22"/>
                <w:szCs w:val="22"/>
                <w:lang w:val="hr-HR"/>
              </w:rPr>
              <w:t xml:space="preserve"> i opsegu</w:t>
            </w:r>
            <w:r w:rsidR="00111D84" w:rsidRPr="00111D84">
              <w:rPr>
                <w:sz w:val="22"/>
                <w:szCs w:val="22"/>
                <w:lang w:val="hr-HR"/>
              </w:rPr>
              <w:t xml:space="preserve"> </w:t>
            </w:r>
            <w:r w:rsidR="001E5326">
              <w:rPr>
                <w:sz w:val="22"/>
                <w:szCs w:val="22"/>
                <w:lang w:val="hr-HR"/>
              </w:rPr>
              <w:t>projektno-tehničke dokumentacije temeljem podataka o aktivnosti</w:t>
            </w:r>
            <w:r w:rsidR="004D07AE">
              <w:rPr>
                <w:sz w:val="22"/>
                <w:szCs w:val="22"/>
                <w:lang w:val="hr-HR"/>
              </w:rPr>
              <w:t>ma</w:t>
            </w:r>
            <w:r w:rsidR="001E5326">
              <w:rPr>
                <w:sz w:val="22"/>
                <w:szCs w:val="22"/>
                <w:lang w:val="hr-HR"/>
              </w:rPr>
              <w:t xml:space="preserve"> projekta</w:t>
            </w:r>
            <w:r w:rsidR="002A34AA">
              <w:rPr>
                <w:sz w:val="22"/>
                <w:szCs w:val="22"/>
                <w:lang w:val="hr-HR"/>
              </w:rPr>
              <w:t xml:space="preserve"> i zatečenog stanja projekta.</w:t>
            </w:r>
          </w:p>
        </w:tc>
      </w:tr>
      <w:tr w:rsidR="006D19BF" w:rsidRPr="00EC7F45" w14:paraId="7405220B" w14:textId="77777777" w:rsidTr="00E42177">
        <w:trPr>
          <w:trHeight w:val="433"/>
        </w:trPr>
        <w:tc>
          <w:tcPr>
            <w:tcW w:w="567" w:type="dxa"/>
            <w:shd w:val="clear" w:color="auto" w:fill="538135" w:themeFill="accent6" w:themeFillShade="BF"/>
          </w:tcPr>
          <w:p w14:paraId="6D74B5E7" w14:textId="77777777" w:rsidR="006D19BF" w:rsidRPr="00EC7F45" w:rsidRDefault="006D19BF" w:rsidP="00E4217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31734F63" w14:textId="07D89D98" w:rsidR="006D19BF" w:rsidRPr="00EC7F45" w:rsidRDefault="006D19BF" w:rsidP="006D19BF">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1.0</w:t>
            </w:r>
            <w:r>
              <w:rPr>
                <w:b/>
                <w:color w:val="FFFFFF" w:themeColor="background1"/>
                <w:sz w:val="22"/>
                <w:szCs w:val="22"/>
                <w:lang w:val="hr-HR"/>
              </w:rPr>
              <w:t>2</w:t>
            </w:r>
            <w:r>
              <w:rPr>
                <w:b/>
                <w:color w:val="FFFFFF" w:themeColor="background1"/>
                <w:sz w:val="22"/>
                <w:szCs w:val="22"/>
                <w:lang w:val="hr-HR"/>
              </w:rPr>
              <w:t>.2022. godine</w:t>
            </w:r>
          </w:p>
        </w:tc>
        <w:tc>
          <w:tcPr>
            <w:tcW w:w="6946" w:type="dxa"/>
            <w:shd w:val="clear" w:color="auto" w:fill="538135" w:themeFill="accent6" w:themeFillShade="BF"/>
          </w:tcPr>
          <w:p w14:paraId="2FB9552B" w14:textId="3C10D6EA" w:rsidR="006D19BF" w:rsidRPr="00EC7F45" w:rsidRDefault="006D19BF" w:rsidP="006D19BF">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0</w:t>
            </w:r>
            <w:r>
              <w:rPr>
                <w:b/>
                <w:color w:val="FFFFFF" w:themeColor="background1"/>
                <w:sz w:val="22"/>
                <w:szCs w:val="22"/>
                <w:lang w:val="hr-HR"/>
              </w:rPr>
              <w:t>3</w:t>
            </w:r>
            <w:r>
              <w:rPr>
                <w:b/>
                <w:color w:val="FFFFFF" w:themeColor="background1"/>
                <w:sz w:val="22"/>
                <w:szCs w:val="22"/>
                <w:lang w:val="hr-HR"/>
              </w:rPr>
              <w:t>.02.2022. godine</w:t>
            </w:r>
          </w:p>
        </w:tc>
      </w:tr>
      <w:tr w:rsidR="006D19BF" w:rsidRPr="00EC7F45" w14:paraId="50B9FB25" w14:textId="77777777" w:rsidTr="002C5F04">
        <w:trPr>
          <w:trHeight w:val="272"/>
        </w:trPr>
        <w:tc>
          <w:tcPr>
            <w:tcW w:w="567" w:type="dxa"/>
            <w:vAlign w:val="center"/>
          </w:tcPr>
          <w:p w14:paraId="323931C2" w14:textId="77777777" w:rsidR="006D19BF" w:rsidRPr="00EC7F45" w:rsidRDefault="006D19BF" w:rsidP="00911198">
            <w:pPr>
              <w:pStyle w:val="ListParagraph"/>
              <w:numPr>
                <w:ilvl w:val="0"/>
                <w:numId w:val="4"/>
              </w:numPr>
              <w:ind w:hanging="549"/>
              <w:jc w:val="right"/>
              <w:rPr>
                <w:b/>
              </w:rPr>
            </w:pPr>
          </w:p>
        </w:tc>
        <w:tc>
          <w:tcPr>
            <w:tcW w:w="6095" w:type="dxa"/>
          </w:tcPr>
          <w:p w14:paraId="34BBC326" w14:textId="77777777" w:rsidR="006D19BF" w:rsidRPr="006D19BF" w:rsidRDefault="006D19BF" w:rsidP="006D19BF">
            <w:pPr>
              <w:jc w:val="both"/>
              <w:rPr>
                <w:sz w:val="22"/>
                <w:szCs w:val="22"/>
                <w:lang w:val="hr-HR"/>
              </w:rPr>
            </w:pPr>
            <w:r w:rsidRPr="006D19BF">
              <w:rPr>
                <w:sz w:val="22"/>
                <w:szCs w:val="22"/>
                <w:lang w:val="hr-HR"/>
              </w:rPr>
              <w:t>Temeljem vašeg odgovora na postavljeno zaprimljeno pitanje br. 2, od 11.01.2021.  molimo pojašnjenje upita kako je niže navedeno.</w:t>
            </w:r>
          </w:p>
          <w:p w14:paraId="223A5C47" w14:textId="77777777" w:rsidR="006D19BF" w:rsidRPr="006D19BF" w:rsidRDefault="006D19BF" w:rsidP="006D19BF">
            <w:pPr>
              <w:jc w:val="both"/>
              <w:rPr>
                <w:sz w:val="22"/>
                <w:szCs w:val="22"/>
                <w:lang w:val="hr-HR"/>
              </w:rPr>
            </w:pPr>
            <w:r w:rsidRPr="006D19BF">
              <w:rPr>
                <w:sz w:val="22"/>
                <w:szCs w:val="22"/>
                <w:lang w:val="hr-HR"/>
              </w:rPr>
              <w:t xml:space="preserve"> </w:t>
            </w:r>
          </w:p>
          <w:p w14:paraId="33F2D09B" w14:textId="77777777" w:rsidR="006D19BF" w:rsidRPr="006D19BF" w:rsidRDefault="006D19BF" w:rsidP="006D19BF">
            <w:pPr>
              <w:jc w:val="both"/>
              <w:rPr>
                <w:sz w:val="22"/>
                <w:szCs w:val="22"/>
                <w:lang w:val="hr-HR"/>
              </w:rPr>
            </w:pPr>
            <w:r w:rsidRPr="006D19BF">
              <w:rPr>
                <w:sz w:val="22"/>
                <w:szCs w:val="22"/>
                <w:lang w:val="hr-HR"/>
              </w:rPr>
              <w:t>Vaš odgovor: Javni naručitelji u kontekstu ovog Poziva primjenjuju Zakon o javnoj nabavi (NN 120/16), dok se primjena Pravilnika o provedbi nabave roba, usluga i radova za postupke obnove (NN 126/2021) treba razmotriti u svakom pojedinačnom slučaju, uzevši u obzir prirodu zgrade koja se obnavlja i vrijednost obnove. Pri tome je potrebno uzeti u obzir odredbe Zakona o obnovi zgrada oštećenih potresom na području Grada Zagreba, Krapinsko-zagorske županije, Zagrebačke županije, Sisačko-moslavačke županije i Karlovačke županije (NN 102/20, 10/21, 117/21) koje definiraju primjenu Zakona (a samim time i primjenjivost Pravilnika), posebice članak 3. stavak 17.:</w:t>
            </w:r>
          </w:p>
          <w:p w14:paraId="0539A8B9" w14:textId="77777777" w:rsidR="006D19BF" w:rsidRPr="006D19BF" w:rsidRDefault="006D19BF" w:rsidP="006D19BF">
            <w:pPr>
              <w:jc w:val="both"/>
              <w:rPr>
                <w:sz w:val="22"/>
                <w:szCs w:val="22"/>
                <w:lang w:val="hr-HR"/>
              </w:rPr>
            </w:pPr>
            <w:r w:rsidRPr="006D19BF">
              <w:rPr>
                <w:sz w:val="22"/>
                <w:szCs w:val="22"/>
                <w:lang w:val="hr-HR"/>
              </w:rPr>
              <w:t xml:space="preserve"> </w:t>
            </w:r>
          </w:p>
          <w:p w14:paraId="100A6F97" w14:textId="77777777" w:rsidR="006D19BF" w:rsidRPr="006D19BF" w:rsidRDefault="006D19BF" w:rsidP="006D19BF">
            <w:pPr>
              <w:jc w:val="both"/>
              <w:rPr>
                <w:sz w:val="22"/>
                <w:szCs w:val="22"/>
                <w:lang w:val="hr-HR"/>
              </w:rPr>
            </w:pPr>
            <w:r w:rsidRPr="006D19BF">
              <w:rPr>
                <w:sz w:val="22"/>
                <w:szCs w:val="22"/>
                <w:lang w:val="hr-HR"/>
              </w:rPr>
              <w:t xml:space="preserve">„17. zgrada je zatvorena i/ili natkrivena građevina namijenjena boravku ljudi odnosno smještaju životinja, biljaka i stvari koja je oštećena ili uništena potresom iz članka 1. stavka 1. ovoga Zakona, </w:t>
            </w:r>
            <w:r w:rsidRPr="006D19BF">
              <w:rPr>
                <w:sz w:val="22"/>
                <w:szCs w:val="22"/>
                <w:lang w:val="hr-HR"/>
              </w:rPr>
              <w:lastRenderedPageBreak/>
              <w:t>pri čemu se zgradom ne smatra pojedinačna građevina unutar sustava infrastrukturne građevine.“.</w:t>
            </w:r>
          </w:p>
          <w:p w14:paraId="7B67B809" w14:textId="77777777" w:rsidR="006D19BF" w:rsidRPr="006D19BF" w:rsidRDefault="006D19BF" w:rsidP="006D19BF">
            <w:pPr>
              <w:jc w:val="both"/>
              <w:rPr>
                <w:sz w:val="22"/>
                <w:szCs w:val="22"/>
                <w:lang w:val="hr-HR"/>
              </w:rPr>
            </w:pPr>
            <w:r w:rsidRPr="006D19BF">
              <w:rPr>
                <w:sz w:val="22"/>
                <w:szCs w:val="22"/>
                <w:lang w:val="hr-HR"/>
              </w:rPr>
              <w:t xml:space="preserve"> </w:t>
            </w:r>
          </w:p>
          <w:p w14:paraId="550C3CB6" w14:textId="77777777" w:rsidR="006D19BF" w:rsidRPr="006D19BF" w:rsidRDefault="006D19BF" w:rsidP="006D19BF">
            <w:pPr>
              <w:jc w:val="both"/>
              <w:rPr>
                <w:sz w:val="22"/>
                <w:szCs w:val="22"/>
                <w:lang w:val="hr-HR"/>
              </w:rPr>
            </w:pPr>
            <w:r w:rsidRPr="006D19BF">
              <w:rPr>
                <w:sz w:val="22"/>
                <w:szCs w:val="22"/>
                <w:lang w:val="hr-HR"/>
              </w:rPr>
              <w:t xml:space="preserve">Pitanje: </w:t>
            </w:r>
          </w:p>
          <w:p w14:paraId="5181ED4E" w14:textId="77777777" w:rsidR="006D19BF" w:rsidRPr="006D19BF" w:rsidRDefault="006D19BF" w:rsidP="006D19BF">
            <w:pPr>
              <w:jc w:val="both"/>
              <w:rPr>
                <w:sz w:val="22"/>
                <w:szCs w:val="22"/>
                <w:lang w:val="hr-HR"/>
              </w:rPr>
            </w:pPr>
            <w:r w:rsidRPr="006D19BF">
              <w:rPr>
                <w:sz w:val="22"/>
                <w:szCs w:val="22"/>
                <w:lang w:val="hr-HR"/>
              </w:rPr>
              <w:t>Temeljem članka 15. stavak 1.  Zakona o obnovi zgrada oštećenih potresom na području Grada Zagreba, Krapinsko-zagorske županije, Zagrebačke županije, Sisačko-moslavačke županije i Karlovačke županije (NN 102/20, 10/21, 117/21) koji definira primjenu predmetnog zakona obnavljanja postojeće oštećene zgrade, i to 1.) zgrade javne namjene, te u skladu s  člankom 3. stavak 16.:</w:t>
            </w:r>
          </w:p>
          <w:p w14:paraId="0079A55A" w14:textId="77777777" w:rsidR="006D19BF" w:rsidRPr="006D19BF" w:rsidRDefault="006D19BF" w:rsidP="006D19BF">
            <w:pPr>
              <w:jc w:val="both"/>
              <w:rPr>
                <w:sz w:val="22"/>
                <w:szCs w:val="22"/>
                <w:lang w:val="hr-HR"/>
              </w:rPr>
            </w:pPr>
            <w:r w:rsidRPr="006D19BF">
              <w:rPr>
                <w:sz w:val="22"/>
                <w:szCs w:val="22"/>
                <w:lang w:val="hr-HR"/>
              </w:rPr>
              <w:t xml:space="preserve"> </w:t>
            </w:r>
          </w:p>
          <w:p w14:paraId="55C92345" w14:textId="77777777" w:rsidR="006D19BF" w:rsidRPr="006D19BF" w:rsidRDefault="006D19BF" w:rsidP="006D19BF">
            <w:pPr>
              <w:jc w:val="both"/>
              <w:rPr>
                <w:sz w:val="22"/>
                <w:szCs w:val="22"/>
                <w:lang w:val="hr-HR"/>
              </w:rPr>
            </w:pPr>
            <w:r w:rsidRPr="006D19BF">
              <w:rPr>
                <w:sz w:val="22"/>
                <w:szCs w:val="22"/>
                <w:lang w:val="hr-HR"/>
              </w:rPr>
              <w:t>16. zgrada javne namjene je zgrada namijenjena obavljanju djelatnosti u području odgoja, obrazovanja, prosvjete, znanosti, kulture, sporta, zdravstva i socijalne skrbi, radu tijela državne uprave i drugih državnih tijela, tijela jedinica lokalne i područne (regionalne) samouprave, pravnih osoba čiji je osnivač Republika Hrvatska i jedinica lokalne i područne (regionalne) samouprave te rezidencijalni objekti u vlasništvu Republike Hrvatske i zgrade vjerskih zajednica namijenjene obavljanju vjerskih obreda kojima prisustvuje više ljudi,</w:t>
            </w:r>
          </w:p>
          <w:p w14:paraId="205AE30A" w14:textId="77777777" w:rsidR="006D19BF" w:rsidRPr="006D19BF" w:rsidRDefault="006D19BF" w:rsidP="006D19BF">
            <w:pPr>
              <w:jc w:val="both"/>
              <w:rPr>
                <w:sz w:val="22"/>
                <w:szCs w:val="22"/>
                <w:lang w:val="hr-HR"/>
              </w:rPr>
            </w:pPr>
            <w:r w:rsidRPr="006D19BF">
              <w:rPr>
                <w:sz w:val="22"/>
                <w:szCs w:val="22"/>
                <w:lang w:val="hr-HR"/>
              </w:rPr>
              <w:t xml:space="preserve"> </w:t>
            </w:r>
          </w:p>
          <w:p w14:paraId="57369D71" w14:textId="59C4B4D2" w:rsidR="006D19BF" w:rsidRPr="006D19BF" w:rsidRDefault="006D19BF" w:rsidP="006D19BF">
            <w:pPr>
              <w:jc w:val="both"/>
              <w:rPr>
                <w:sz w:val="22"/>
                <w:szCs w:val="22"/>
                <w:lang w:val="hr-HR"/>
              </w:rPr>
            </w:pPr>
            <w:r w:rsidRPr="006D19BF">
              <w:rPr>
                <w:sz w:val="22"/>
                <w:szCs w:val="22"/>
                <w:lang w:val="hr-HR"/>
              </w:rPr>
              <w:t>molimo definirajte da li trgovačka društva čiji je osnivač Republika Hrvatska i/ili jedinica lokalne i područne (regionalne) samouprave provode postupke nabave obnova zgrade primjenjujući odredbe Zakona o javnoj nabavi (Narodne novine, br. 120/16) ili primjenjuju pragove i pravila postupaka prema Pravilniku o provedbi postupaka nabave roba, usluga i radova za postupke obnove.</w:t>
            </w:r>
          </w:p>
        </w:tc>
        <w:tc>
          <w:tcPr>
            <w:tcW w:w="6946" w:type="dxa"/>
          </w:tcPr>
          <w:p w14:paraId="6542DA34" w14:textId="1624C9B7" w:rsidR="006D19BF" w:rsidRPr="006D19BF" w:rsidRDefault="006D19BF" w:rsidP="007973E2">
            <w:pPr>
              <w:jc w:val="both"/>
              <w:rPr>
                <w:lang w:val="hr-HR"/>
              </w:rPr>
            </w:pPr>
            <w:r w:rsidRPr="006D19BF">
              <w:rPr>
                <w:sz w:val="22"/>
                <w:szCs w:val="22"/>
                <w:lang w:val="hr-HR"/>
              </w:rPr>
              <w:lastRenderedPageBreak/>
              <w:t>Primjena Zakona o javnoj nabavi (NN 120/16) ili Pravilnika o provedbi nabave roba, usluga i radova za postupke obnove (NN 126/2021) ovisi o predmetu nabave i o procijenjenoj vrijednosti iste. Moguće je da vi kao obveznik javne nabave primjenjujete ili jedan ili drugi propis, ovisno o svakom pojedinačnom slučaju (obzir prirodu zgrade koja se obnavlja i vrijednost obnove).</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2680" w14:textId="77777777" w:rsidR="00BD085D" w:rsidRDefault="00BD085D" w:rsidP="00FC265C">
      <w:pPr>
        <w:spacing w:after="0" w:line="240" w:lineRule="auto"/>
      </w:pPr>
      <w:r>
        <w:separator/>
      </w:r>
    </w:p>
  </w:endnote>
  <w:endnote w:type="continuationSeparator" w:id="0">
    <w:p w14:paraId="0755C4BC" w14:textId="77777777" w:rsidR="00BD085D" w:rsidRDefault="00BD085D"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Footer"/>
      <w:jc w:val="center"/>
    </w:pP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43265" w14:textId="77777777" w:rsidR="00BD085D" w:rsidRDefault="00BD085D" w:rsidP="00FC265C">
      <w:pPr>
        <w:spacing w:after="0" w:line="240" w:lineRule="auto"/>
      </w:pPr>
      <w:r>
        <w:separator/>
      </w:r>
    </w:p>
  </w:footnote>
  <w:footnote w:type="continuationSeparator" w:id="0">
    <w:p w14:paraId="4DAB1807" w14:textId="77777777" w:rsidR="00BD085D" w:rsidRDefault="00BD085D"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C22AB"/>
    <w:rsid w:val="000C5E2D"/>
    <w:rsid w:val="000D2ECF"/>
    <w:rsid w:val="000D72E4"/>
    <w:rsid w:val="000E0026"/>
    <w:rsid w:val="000E048D"/>
    <w:rsid w:val="000E3753"/>
    <w:rsid w:val="00102D7E"/>
    <w:rsid w:val="00105079"/>
    <w:rsid w:val="00110DAD"/>
    <w:rsid w:val="00111D84"/>
    <w:rsid w:val="00126B47"/>
    <w:rsid w:val="00131AED"/>
    <w:rsid w:val="00133307"/>
    <w:rsid w:val="00135309"/>
    <w:rsid w:val="0013776A"/>
    <w:rsid w:val="001421EB"/>
    <w:rsid w:val="00142868"/>
    <w:rsid w:val="001449EF"/>
    <w:rsid w:val="001521C3"/>
    <w:rsid w:val="001534AC"/>
    <w:rsid w:val="0015413A"/>
    <w:rsid w:val="0015587E"/>
    <w:rsid w:val="00162062"/>
    <w:rsid w:val="00165309"/>
    <w:rsid w:val="0017031A"/>
    <w:rsid w:val="00185383"/>
    <w:rsid w:val="00185A33"/>
    <w:rsid w:val="0019596C"/>
    <w:rsid w:val="001974B9"/>
    <w:rsid w:val="001A0094"/>
    <w:rsid w:val="001A17C6"/>
    <w:rsid w:val="001A2939"/>
    <w:rsid w:val="001A3DC4"/>
    <w:rsid w:val="001B23B8"/>
    <w:rsid w:val="001B6C35"/>
    <w:rsid w:val="001B6E45"/>
    <w:rsid w:val="001B7D2D"/>
    <w:rsid w:val="001C33B7"/>
    <w:rsid w:val="001D5C15"/>
    <w:rsid w:val="001D72E3"/>
    <w:rsid w:val="001E2BCC"/>
    <w:rsid w:val="001E32CC"/>
    <w:rsid w:val="001E5326"/>
    <w:rsid w:val="001F23F6"/>
    <w:rsid w:val="0020544A"/>
    <w:rsid w:val="00210E07"/>
    <w:rsid w:val="002123B8"/>
    <w:rsid w:val="0021460E"/>
    <w:rsid w:val="002200CD"/>
    <w:rsid w:val="00220385"/>
    <w:rsid w:val="0022115D"/>
    <w:rsid w:val="002215D5"/>
    <w:rsid w:val="002219A8"/>
    <w:rsid w:val="0022540C"/>
    <w:rsid w:val="00241C38"/>
    <w:rsid w:val="002505F1"/>
    <w:rsid w:val="00254AC0"/>
    <w:rsid w:val="00256C13"/>
    <w:rsid w:val="00256FC4"/>
    <w:rsid w:val="002632C2"/>
    <w:rsid w:val="00265580"/>
    <w:rsid w:val="002720AE"/>
    <w:rsid w:val="00275B1A"/>
    <w:rsid w:val="00277013"/>
    <w:rsid w:val="0028615F"/>
    <w:rsid w:val="0028621D"/>
    <w:rsid w:val="002A34AA"/>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7749C"/>
    <w:rsid w:val="00377D87"/>
    <w:rsid w:val="00384BE7"/>
    <w:rsid w:val="00386638"/>
    <w:rsid w:val="00393243"/>
    <w:rsid w:val="00393536"/>
    <w:rsid w:val="00393E2C"/>
    <w:rsid w:val="003B1151"/>
    <w:rsid w:val="003B147E"/>
    <w:rsid w:val="003C419C"/>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005"/>
    <w:rsid w:val="00461F02"/>
    <w:rsid w:val="00465397"/>
    <w:rsid w:val="0046775D"/>
    <w:rsid w:val="004716CB"/>
    <w:rsid w:val="00473BB8"/>
    <w:rsid w:val="004810D7"/>
    <w:rsid w:val="00483932"/>
    <w:rsid w:val="004912B2"/>
    <w:rsid w:val="004961FF"/>
    <w:rsid w:val="004A1CC9"/>
    <w:rsid w:val="004A615D"/>
    <w:rsid w:val="004B0A8E"/>
    <w:rsid w:val="004B2E15"/>
    <w:rsid w:val="004B4117"/>
    <w:rsid w:val="004B722E"/>
    <w:rsid w:val="004B7E0D"/>
    <w:rsid w:val="004C20C9"/>
    <w:rsid w:val="004C2773"/>
    <w:rsid w:val="004C7C74"/>
    <w:rsid w:val="004D07AE"/>
    <w:rsid w:val="004D5761"/>
    <w:rsid w:val="004E29AB"/>
    <w:rsid w:val="004F7ACD"/>
    <w:rsid w:val="0050224E"/>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5F2B48"/>
    <w:rsid w:val="00601BE1"/>
    <w:rsid w:val="00606980"/>
    <w:rsid w:val="00614A18"/>
    <w:rsid w:val="00616078"/>
    <w:rsid w:val="00632AE9"/>
    <w:rsid w:val="00634D45"/>
    <w:rsid w:val="00650A9B"/>
    <w:rsid w:val="006532BB"/>
    <w:rsid w:val="00654E3C"/>
    <w:rsid w:val="00660AFA"/>
    <w:rsid w:val="00662D19"/>
    <w:rsid w:val="0066530D"/>
    <w:rsid w:val="0068593C"/>
    <w:rsid w:val="00686582"/>
    <w:rsid w:val="00687B38"/>
    <w:rsid w:val="00690177"/>
    <w:rsid w:val="00694412"/>
    <w:rsid w:val="0069614B"/>
    <w:rsid w:val="0069635C"/>
    <w:rsid w:val="006A3966"/>
    <w:rsid w:val="006C16EA"/>
    <w:rsid w:val="006C2D2A"/>
    <w:rsid w:val="006C414B"/>
    <w:rsid w:val="006C7AE0"/>
    <w:rsid w:val="006D19BF"/>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A6E1E"/>
    <w:rsid w:val="008B696A"/>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1D95"/>
    <w:rsid w:val="009360A4"/>
    <w:rsid w:val="0093744E"/>
    <w:rsid w:val="009622CB"/>
    <w:rsid w:val="00971E56"/>
    <w:rsid w:val="0098396A"/>
    <w:rsid w:val="00984845"/>
    <w:rsid w:val="009873D4"/>
    <w:rsid w:val="00996300"/>
    <w:rsid w:val="00996FE8"/>
    <w:rsid w:val="009A0A4C"/>
    <w:rsid w:val="009A21CF"/>
    <w:rsid w:val="009A334A"/>
    <w:rsid w:val="009A59DD"/>
    <w:rsid w:val="009C6EDE"/>
    <w:rsid w:val="009D17A7"/>
    <w:rsid w:val="009E06F7"/>
    <w:rsid w:val="009E45B2"/>
    <w:rsid w:val="009E4B14"/>
    <w:rsid w:val="009F1F0C"/>
    <w:rsid w:val="009F490E"/>
    <w:rsid w:val="00A019E1"/>
    <w:rsid w:val="00A116A9"/>
    <w:rsid w:val="00A166B4"/>
    <w:rsid w:val="00A22696"/>
    <w:rsid w:val="00A24F6F"/>
    <w:rsid w:val="00A3084B"/>
    <w:rsid w:val="00A415B4"/>
    <w:rsid w:val="00A43091"/>
    <w:rsid w:val="00A4448A"/>
    <w:rsid w:val="00A47FC8"/>
    <w:rsid w:val="00A50770"/>
    <w:rsid w:val="00A600DE"/>
    <w:rsid w:val="00A645BC"/>
    <w:rsid w:val="00A7020B"/>
    <w:rsid w:val="00A71EE6"/>
    <w:rsid w:val="00A7352C"/>
    <w:rsid w:val="00A766C2"/>
    <w:rsid w:val="00A81C96"/>
    <w:rsid w:val="00A84628"/>
    <w:rsid w:val="00A876A7"/>
    <w:rsid w:val="00A87842"/>
    <w:rsid w:val="00A97B60"/>
    <w:rsid w:val="00AA28A3"/>
    <w:rsid w:val="00AB45DB"/>
    <w:rsid w:val="00AC1967"/>
    <w:rsid w:val="00AC2E10"/>
    <w:rsid w:val="00AC6EF4"/>
    <w:rsid w:val="00AD383A"/>
    <w:rsid w:val="00AD4C9B"/>
    <w:rsid w:val="00AE318F"/>
    <w:rsid w:val="00AE6DA4"/>
    <w:rsid w:val="00AE6FA1"/>
    <w:rsid w:val="00AF1DD1"/>
    <w:rsid w:val="00AF37E2"/>
    <w:rsid w:val="00AF63A3"/>
    <w:rsid w:val="00AF71D4"/>
    <w:rsid w:val="00B016FF"/>
    <w:rsid w:val="00B072D0"/>
    <w:rsid w:val="00B206FD"/>
    <w:rsid w:val="00B20CFE"/>
    <w:rsid w:val="00B21B8C"/>
    <w:rsid w:val="00B37EAB"/>
    <w:rsid w:val="00B40421"/>
    <w:rsid w:val="00B45804"/>
    <w:rsid w:val="00B51E9C"/>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55E"/>
    <w:rsid w:val="00BD085D"/>
    <w:rsid w:val="00BE0BB3"/>
    <w:rsid w:val="00BE466E"/>
    <w:rsid w:val="00BF0436"/>
    <w:rsid w:val="00BF3462"/>
    <w:rsid w:val="00C07D04"/>
    <w:rsid w:val="00C10092"/>
    <w:rsid w:val="00C151F3"/>
    <w:rsid w:val="00C5369B"/>
    <w:rsid w:val="00C561D8"/>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56A0"/>
    <w:rsid w:val="00E15B8C"/>
    <w:rsid w:val="00E16DC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268E"/>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60D7"/>
    <w:rsid w:val="00FE71B3"/>
    <w:rsid w:val="00FE78E2"/>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7B5325-6F3D-48DD-A14C-2EC4B015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1</cp:lastModifiedBy>
  <cp:revision>2</cp:revision>
  <cp:lastPrinted>2017-01-31T14:23:00Z</cp:lastPrinted>
  <dcterms:created xsi:type="dcterms:W3CDTF">2022-02-03T07:36:00Z</dcterms:created>
  <dcterms:modified xsi:type="dcterms:W3CDTF">2022-02-03T07:36:00Z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