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5631" w:type="pct"/>
        <w:tblInd w:w="-572" w:type="dxa"/>
        <w:tblLook w:val="04A0" w:firstRow="1" w:lastRow="0" w:firstColumn="1" w:lastColumn="0" w:noHBand="0" w:noVBand="1"/>
      </w:tblPr>
      <w:tblGrid>
        <w:gridCol w:w="4460"/>
        <w:gridCol w:w="5746"/>
      </w:tblGrid>
      <w:tr w:rsidR="009F39C0" w:rsidRPr="00670A9A" w14:paraId="744E1978" w14:textId="77777777" w:rsidTr="009431C1">
        <w:tc>
          <w:tcPr>
            <w:tcW w:w="5000" w:type="pct"/>
            <w:gridSpan w:val="2"/>
          </w:tcPr>
          <w:p w14:paraId="5B9EC08F" w14:textId="77777777"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9431C1">
        <w:tc>
          <w:tcPr>
            <w:tcW w:w="2185" w:type="pct"/>
          </w:tcPr>
          <w:p w14:paraId="73340388" w14:textId="13CD028D" w:rsidR="00392810" w:rsidRPr="00C601E6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2D786AD3" w14:textId="51D3CD8C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9431C1">
        <w:tc>
          <w:tcPr>
            <w:tcW w:w="2185" w:type="pct"/>
          </w:tcPr>
          <w:p w14:paraId="40412F59" w14:textId="0AC14A66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1FC23B61" w14:textId="1F2D9BC8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670A9A" w14:paraId="211F3B1E" w14:textId="77777777" w:rsidTr="009431C1">
        <w:tc>
          <w:tcPr>
            <w:tcW w:w="2185" w:type="pct"/>
          </w:tcPr>
          <w:p w14:paraId="5E2BC1CA" w14:textId="77777777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15" w:type="pct"/>
          </w:tcPr>
          <w:p w14:paraId="4FB65672" w14:textId="3E7ABEFF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9431C1">
        <w:tc>
          <w:tcPr>
            <w:tcW w:w="2185" w:type="pct"/>
          </w:tcPr>
          <w:p w14:paraId="462BB05C" w14:textId="77777777" w:rsidR="00F01D1D" w:rsidRPr="00C601E6" w:rsidRDefault="007A4167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1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9431C1">
        <w:tc>
          <w:tcPr>
            <w:tcW w:w="2185" w:type="pct"/>
          </w:tcPr>
          <w:p w14:paraId="6CFFFCC7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15" w:type="pct"/>
          </w:tcPr>
          <w:p w14:paraId="33913DD4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9431C1">
        <w:tc>
          <w:tcPr>
            <w:tcW w:w="2185" w:type="pct"/>
          </w:tcPr>
          <w:p w14:paraId="51930921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15" w:type="pct"/>
          </w:tcPr>
          <w:p w14:paraId="10D21D91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9431C1">
        <w:tc>
          <w:tcPr>
            <w:tcW w:w="2185" w:type="pct"/>
          </w:tcPr>
          <w:p w14:paraId="0E1E98BE" w14:textId="77777777" w:rsidR="00B32C26" w:rsidRPr="009B172D" w:rsidRDefault="00EA6519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15" w:type="pct"/>
          </w:tcPr>
          <w:p w14:paraId="46D67236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9431C1">
        <w:tc>
          <w:tcPr>
            <w:tcW w:w="2185" w:type="pct"/>
          </w:tcPr>
          <w:p w14:paraId="3A943E01" w14:textId="7336F478" w:rsidR="00EA6519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15" w:type="pct"/>
          </w:tcPr>
          <w:p w14:paraId="641B720B" w14:textId="77777777" w:rsidR="00EA6519" w:rsidRPr="009B172D" w:rsidRDefault="00A501EC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9431C1">
        <w:tc>
          <w:tcPr>
            <w:tcW w:w="2185" w:type="pct"/>
          </w:tcPr>
          <w:p w14:paraId="480AEBF7" w14:textId="36A21B9C" w:rsidR="00CF6628" w:rsidRPr="009B172D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15" w:type="pct"/>
          </w:tcPr>
          <w:p w14:paraId="660B4E1A" w14:textId="6F6ACF9E" w:rsidR="00CF6628" w:rsidRPr="009B172D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9431C1">
        <w:tc>
          <w:tcPr>
            <w:tcW w:w="2185" w:type="pct"/>
          </w:tcPr>
          <w:p w14:paraId="22517666" w14:textId="42B79662" w:rsidR="008C3970" w:rsidRPr="00CF6628" w:rsidRDefault="008C397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15" w:type="pct"/>
          </w:tcPr>
          <w:p w14:paraId="2A37DDC1" w14:textId="261D0A76" w:rsidR="008C3970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0AF0D6A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4ABD7F8" w:rsidR="003C6908" w:rsidRDefault="003C6908" w:rsidP="003C690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9431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7837460E" w:rsidR="003C6908" w:rsidRDefault="003C6908" w:rsidP="003C690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C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FC6A" w14:textId="77777777" w:rsidR="009C6F20" w:rsidRDefault="009C6F20" w:rsidP="009B470B">
      <w:pPr>
        <w:spacing w:after="0" w:line="240" w:lineRule="auto"/>
      </w:pPr>
      <w:r>
        <w:separator/>
      </w:r>
    </w:p>
  </w:endnote>
  <w:endnote w:type="continuationSeparator" w:id="0">
    <w:p w14:paraId="5A0C1F52" w14:textId="77777777" w:rsidR="009C6F20" w:rsidRDefault="009C6F20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7E94" w14:textId="0586B223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F21C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0EEF" w14:textId="77777777" w:rsidR="009C6F20" w:rsidRDefault="009C6F20" w:rsidP="009B470B">
      <w:pPr>
        <w:spacing w:after="0" w:line="240" w:lineRule="auto"/>
      </w:pPr>
      <w:r>
        <w:separator/>
      </w:r>
    </w:p>
  </w:footnote>
  <w:footnote w:type="continuationSeparator" w:id="0">
    <w:p w14:paraId="7163EE75" w14:textId="77777777" w:rsidR="009C6F20" w:rsidRDefault="009C6F20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3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09"/>
      <w:gridCol w:w="2562"/>
      <w:gridCol w:w="2771"/>
      <w:gridCol w:w="2511"/>
    </w:tblGrid>
    <w:tr w:rsidR="00D342ED" w:rsidRPr="00251472" w14:paraId="1CA84D62" w14:textId="77777777" w:rsidTr="009A1E5D">
      <w:tc>
        <w:tcPr>
          <w:tcW w:w="2409" w:type="dxa"/>
          <w:vMerge w:val="restart"/>
          <w:vAlign w:val="center"/>
        </w:tcPr>
        <w:p w14:paraId="63CB3466" w14:textId="3D0BB566" w:rsidR="00D342ED" w:rsidRPr="00251472" w:rsidRDefault="00D342ED" w:rsidP="00251472">
          <w:pPr>
            <w:spacing w:after="0" w:line="240" w:lineRule="auto"/>
            <w:ind w:firstLine="1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bookmarkStart w:id="0" w:name="_Hlk61175386"/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 xml:space="preserve">Ministarstvo </w:t>
          </w:r>
          <w:r w:rsidR="00080784" w:rsidRPr="00080784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gospodarstva i održivog razvoja (MINGOR)</w:t>
          </w:r>
        </w:p>
      </w:tc>
      <w:tc>
        <w:tcPr>
          <w:tcW w:w="7844" w:type="dxa"/>
          <w:gridSpan w:val="3"/>
          <w:vAlign w:val="center"/>
        </w:tcPr>
        <w:p w14:paraId="528D955F" w14:textId="71C7BE79" w:rsidR="00D342ED" w:rsidRPr="00251472" w:rsidRDefault="00D342ED" w:rsidP="00251472">
          <w:pPr>
            <w:spacing w:after="0" w:line="240" w:lineRule="auto"/>
            <w:ind w:left="468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 xml:space="preserve">                                              </w:t>
          </w: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 xml:space="preserve">PRAVILA </w:t>
          </w:r>
        </w:p>
      </w:tc>
    </w:tr>
    <w:tr w:rsidR="00251472" w:rsidRPr="00251472" w14:paraId="50880FB7" w14:textId="77777777" w:rsidTr="00CF6628">
      <w:tc>
        <w:tcPr>
          <w:tcW w:w="2409" w:type="dxa"/>
          <w:vMerge/>
          <w:vAlign w:val="center"/>
        </w:tcPr>
        <w:p w14:paraId="7FAD6357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562" w:type="dxa"/>
          <w:vMerge w:val="restart"/>
          <w:vAlign w:val="center"/>
        </w:tcPr>
        <w:p w14:paraId="39C91065" w14:textId="7777777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Fond solidarnosti</w:t>
          </w:r>
        </w:p>
        <w:p w14:paraId="7186BC0B" w14:textId="77777777" w:rsidR="00251472" w:rsidRPr="00251472" w:rsidRDefault="00251472" w:rsidP="0025147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hr-HR" w:eastAsia="hr-HR"/>
            </w:rPr>
          </w:pPr>
        </w:p>
        <w:p w14:paraId="58E8EB87" w14:textId="3DE13D48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 w:eastAsia="hr-HR"/>
            </w:rPr>
            <w:t>Prilog 10</w:t>
          </w:r>
        </w:p>
        <w:p w14:paraId="7AA08BDB" w14:textId="77777777" w:rsidR="00251472" w:rsidRPr="00251472" w:rsidRDefault="00251472" w:rsidP="0025147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hr-HR" w:eastAsia="hr-HR"/>
            </w:rPr>
          </w:pPr>
        </w:p>
      </w:tc>
      <w:tc>
        <w:tcPr>
          <w:tcW w:w="2771" w:type="dxa"/>
          <w:vAlign w:val="center"/>
        </w:tcPr>
        <w:p w14:paraId="7C224D63" w14:textId="7777777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Datum</w:t>
          </w:r>
        </w:p>
      </w:tc>
      <w:tc>
        <w:tcPr>
          <w:tcW w:w="2511" w:type="dxa"/>
          <w:vAlign w:val="center"/>
        </w:tcPr>
        <w:p w14:paraId="4AFFC07B" w14:textId="0676AFD0" w:rsidR="00251472" w:rsidRPr="00251472" w:rsidRDefault="001E07E1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Prosinac</w:t>
          </w:r>
          <w:r w:rsidR="00251472"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 xml:space="preserve"> 2021. </w:t>
          </w:r>
        </w:p>
      </w:tc>
    </w:tr>
    <w:tr w:rsidR="00251472" w:rsidRPr="00251472" w14:paraId="48FB5814" w14:textId="77777777" w:rsidTr="00CF6628">
      <w:trPr>
        <w:trHeight w:val="413"/>
      </w:trPr>
      <w:tc>
        <w:tcPr>
          <w:tcW w:w="2409" w:type="dxa"/>
          <w:vMerge/>
          <w:vAlign w:val="center"/>
        </w:tcPr>
        <w:p w14:paraId="0ECFC1F1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562" w:type="dxa"/>
          <w:vMerge/>
          <w:vAlign w:val="center"/>
        </w:tcPr>
        <w:p w14:paraId="534FE196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771" w:type="dxa"/>
          <w:vAlign w:val="center"/>
        </w:tcPr>
        <w:p w14:paraId="3A8E29AF" w14:textId="7777777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Verzija</w:t>
          </w:r>
        </w:p>
      </w:tc>
      <w:tc>
        <w:tcPr>
          <w:tcW w:w="2511" w:type="dxa"/>
          <w:vAlign w:val="center"/>
        </w:tcPr>
        <w:p w14:paraId="7AE1F184" w14:textId="15EDF13B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1.</w:t>
          </w:r>
          <w:r w:rsidR="007F21C8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1.</w:t>
          </w:r>
        </w:p>
      </w:tc>
    </w:tr>
    <w:tr w:rsidR="00251472" w:rsidRPr="00251472" w14:paraId="7B25DEE7" w14:textId="77777777" w:rsidTr="00CF6628">
      <w:trPr>
        <w:trHeight w:val="833"/>
      </w:trPr>
      <w:tc>
        <w:tcPr>
          <w:tcW w:w="2409" w:type="dxa"/>
          <w:vMerge/>
          <w:vAlign w:val="center"/>
        </w:tcPr>
        <w:p w14:paraId="6D6ECC4F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562" w:type="dxa"/>
          <w:vMerge/>
          <w:vAlign w:val="center"/>
        </w:tcPr>
        <w:p w14:paraId="4EA0D2C2" w14:textId="77777777" w:rsidR="00251472" w:rsidRPr="00251472" w:rsidRDefault="00251472" w:rsidP="002514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</w:p>
      </w:tc>
      <w:tc>
        <w:tcPr>
          <w:tcW w:w="2771" w:type="dxa"/>
          <w:vAlign w:val="center"/>
        </w:tcPr>
        <w:p w14:paraId="0AC23139" w14:textId="7777777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Pravilo donosi</w:t>
          </w:r>
        </w:p>
      </w:tc>
      <w:tc>
        <w:tcPr>
          <w:tcW w:w="2511" w:type="dxa"/>
          <w:vAlign w:val="center"/>
        </w:tcPr>
        <w:p w14:paraId="56E71BE4" w14:textId="2BAB3307" w:rsidR="00251472" w:rsidRPr="00251472" w:rsidRDefault="00251472" w:rsidP="002514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</w:pPr>
          <w:r w:rsidRPr="00251472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 xml:space="preserve">Ministar </w:t>
          </w:r>
          <w:r w:rsidR="00080784">
            <w:rPr>
              <w:rFonts w:ascii="Times New Roman" w:eastAsia="Times New Roman" w:hAnsi="Times New Roman" w:cs="Times New Roman"/>
              <w:b/>
              <w:sz w:val="24"/>
              <w:szCs w:val="24"/>
              <w:lang w:val="hr-HR" w:eastAsia="hr-HR"/>
            </w:rPr>
            <w:t>MINGOR</w:t>
          </w:r>
        </w:p>
      </w:tc>
    </w:tr>
    <w:bookmarkEnd w:id="0"/>
  </w:tbl>
  <w:p w14:paraId="0205ABD3" w14:textId="77777777" w:rsidR="002A4401" w:rsidRDefault="002A44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080784"/>
    <w:rsid w:val="001070A9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1E07E1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B483A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3659B"/>
    <w:rsid w:val="0044469A"/>
    <w:rsid w:val="00457F3D"/>
    <w:rsid w:val="0048054E"/>
    <w:rsid w:val="004966ED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A4713"/>
    <w:rsid w:val="006B48AB"/>
    <w:rsid w:val="006B7A20"/>
    <w:rsid w:val="006C12AC"/>
    <w:rsid w:val="006D2858"/>
    <w:rsid w:val="006E5CD3"/>
    <w:rsid w:val="00715FF7"/>
    <w:rsid w:val="007560E7"/>
    <w:rsid w:val="00797CED"/>
    <w:rsid w:val="007A049D"/>
    <w:rsid w:val="007A4167"/>
    <w:rsid w:val="007B0D19"/>
    <w:rsid w:val="007E1CEE"/>
    <w:rsid w:val="007F21C8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431C1"/>
    <w:rsid w:val="009675CB"/>
    <w:rsid w:val="00997388"/>
    <w:rsid w:val="009B172D"/>
    <w:rsid w:val="009B470B"/>
    <w:rsid w:val="009C331E"/>
    <w:rsid w:val="009C6F20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37B7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EE3D21"/>
    <w:rsid w:val="00F01D1D"/>
    <w:rsid w:val="00F12E4E"/>
    <w:rsid w:val="00F24BAC"/>
    <w:rsid w:val="00F3215B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69472729-FE2F-4674-A4CB-5166070D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FEB70-6F51-45C5-BC29-1A59631E8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1F8B730-B100-4E01-A54C-A338005943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2021-12-30T13:58:00Z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docIndexRef">
    <vt:lpwstr>2e4dc765-987b-474b-adf1-3677035acd12</vt:lpwstr>
  </property>
  <property fmtid="{D5CDD505-2E9C-101B-9397-08002B2CF9AE}" pid="4" name="bjSaver">
    <vt:lpwstr>R1uFcL/yRCKdZDTxxWG4jBX9Sc1gu5m2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  <property fmtid="{D5CDD505-2E9C-101B-9397-08002B2CF9AE}" pid="7" name="bjDocumentSecurityLabel">
    <vt:lpwstr>NEKLASIFICIRANO</vt:lpwstr>
  </property>
  <property fmtid="{D5CDD505-2E9C-101B-9397-08002B2CF9AE}" pid="8" name="bjClsUserRVM">
    <vt:lpwstr>[]</vt:lpwstr>
  </property>
</Properties>
</file>