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7FE4C64B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>Vraćanje u ispravno radno stanje infrastrukture u području prijevoza oštećene u potresu na području Zagrebačke županije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85A619E" w14:textId="1BE701D4" w:rsidR="007B0B04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66CFA999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9427E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09F24DE3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>0% vrijednosti odobrenih bespovratnih sredstava iz točke 3.3. ovog članka, odnosno ne može biti viši od &lt;…&gt; kuna</w:t>
      </w:r>
      <w:r w:rsidR="00FD77EE">
        <w:rPr>
          <w:rFonts w:ascii="Times New Roman" w:hAnsi="Times New Roman"/>
          <w:sz w:val="24"/>
          <w:szCs w:val="24"/>
        </w:rPr>
        <w:t>.</w:t>
      </w:r>
      <w:r w:rsidR="00E66FE1" w:rsidRPr="00E0048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47B0932E" w14:textId="0879CE47" w:rsidR="005F14AB" w:rsidRPr="004B2AFA" w:rsidRDefault="005F14AB" w:rsidP="005F14AB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14AB">
        <w:rPr>
          <w:rFonts w:ascii="Times New Roman" w:hAnsi="Times New Roman" w:cs="Times New Roman"/>
          <w:sz w:val="24"/>
          <w:szCs w:val="24"/>
          <w:lang w:val="hr-HR"/>
        </w:rPr>
        <w:t>troškovi upravljanja projektom i administracije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6F5A6D6F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D77EE">
        <w:rPr>
          <w:rFonts w:ascii="Times New Roman" w:hAnsi="Times New Roman"/>
          <w:sz w:val="24"/>
          <w:szCs w:val="24"/>
        </w:rPr>
        <w:t>2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D77EE">
        <w:rPr>
          <w:rFonts w:ascii="Times New Roman" w:hAnsi="Times New Roman"/>
          <w:sz w:val="24"/>
          <w:szCs w:val="24"/>
        </w:rPr>
        <w:t>ožujka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6F60666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0CC86BE9" w:rsidR="00A1247D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69A23E4E" w14:textId="0D6C873F" w:rsidR="00952BD5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78D3702" w14:textId="6252AA48" w:rsidR="00952BD5" w:rsidRPr="008C5DA9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4</w:t>
      </w:r>
      <w:r w:rsidRPr="008C5DA9">
        <w:rPr>
          <w:rFonts w:ascii="Times New Roman" w:hAnsi="Times New Roman"/>
          <w:sz w:val="24"/>
          <w:szCs w:val="24"/>
        </w:rPr>
        <w:t xml:space="preserve">. </w:t>
      </w:r>
      <w:r w:rsidRPr="008C5DA9">
        <w:rPr>
          <w:rFonts w:ascii="Times New Roman" w:hAnsi="Times New Roman"/>
          <w:sz w:val="24"/>
          <w:szCs w:val="24"/>
        </w:rPr>
        <w:tab/>
        <w:t>Korisnik - jedinice lokalne i područne (regionalne) samouprave koje dobiju sredstva</w:t>
      </w:r>
      <w:r w:rsidR="00145B26" w:rsidRPr="008C5DA9">
        <w:rPr>
          <w:rFonts w:ascii="Times New Roman" w:hAnsi="Times New Roman"/>
          <w:sz w:val="24"/>
          <w:szCs w:val="24"/>
        </w:rPr>
        <w:t xml:space="preserve"> iz </w:t>
      </w:r>
      <w:r w:rsidRPr="008C5DA9">
        <w:rPr>
          <w:rFonts w:ascii="Times New Roman" w:hAnsi="Times New Roman"/>
          <w:sz w:val="24"/>
          <w:szCs w:val="24"/>
        </w:rPr>
        <w:t>temeljem Odluke o dodjeli beskamatnog zajma jedinicama lokalne i područne (regionalne) samouprave koje su pogođene posljedicama razornih potresa na području Grada Zagreba, Zagrebačke županije, Krapinsko-zagorske županije, Sisačko-moslavačke županije i Karlovačke županije za sanaciju šteta od potresa (NN br. 101/2021, 12/2022) dužne su refundirati troškove koje su ostvarili iz Fonda solidarnosti Europske unije u roku od 30 radnih dana od dana refundacije</w:t>
      </w:r>
      <w:r w:rsidR="00D47587" w:rsidRPr="008C5DA9">
        <w:rPr>
          <w:rFonts w:ascii="Times New Roman" w:hAnsi="Times New Roman"/>
          <w:sz w:val="24"/>
          <w:szCs w:val="24"/>
        </w:rPr>
        <w:t xml:space="preserve"> </w:t>
      </w:r>
      <w:r w:rsidRPr="008C5DA9">
        <w:rPr>
          <w:rFonts w:ascii="Times New Roman" w:hAnsi="Times New Roman"/>
          <w:sz w:val="24"/>
          <w:szCs w:val="24"/>
        </w:rPr>
        <w:t>uplatiti</w:t>
      </w:r>
      <w:r w:rsidR="00D47587" w:rsidRPr="008C5DA9">
        <w:rPr>
          <w:rFonts w:ascii="Times New Roman" w:hAnsi="Times New Roman"/>
          <w:sz w:val="24"/>
          <w:szCs w:val="24"/>
        </w:rPr>
        <w:t xml:space="preserve"> </w:t>
      </w:r>
      <w:r w:rsidRPr="008C5DA9">
        <w:rPr>
          <w:rFonts w:ascii="Times New Roman" w:hAnsi="Times New Roman"/>
          <w:sz w:val="24"/>
          <w:szCs w:val="24"/>
        </w:rPr>
        <w:t>u državni proračun Republike Hrvatske na ime povrata beskamatnog zajma.</w:t>
      </w:r>
    </w:p>
    <w:p w14:paraId="3C5D47DE" w14:textId="77777777" w:rsidR="00911CDA" w:rsidRDefault="00D45693" w:rsidP="00E0048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C5DA9">
        <w:rPr>
          <w:rFonts w:ascii="Times New Roman" w:hAnsi="Times New Roman"/>
          <w:sz w:val="24"/>
          <w:szCs w:val="24"/>
        </w:rPr>
        <w:t>Ukoliko korisnik potražuje troškove iz Fonda solidarnosti za koje je prethodno zaprimio sredstva iz drugih javnih izvora, dužan je ta ista sredstva refundirati i o tome dostaviti dokaz MMPI prije podnošenja zahtjeva za nadoknadom sredstava</w:t>
      </w:r>
      <w:r w:rsidR="001326F8" w:rsidRPr="008C5DA9">
        <w:rPr>
          <w:rFonts w:ascii="Times New Roman" w:hAnsi="Times New Roman"/>
          <w:sz w:val="24"/>
          <w:szCs w:val="24"/>
        </w:rPr>
        <w:t>.</w:t>
      </w:r>
      <w:r w:rsidR="00911CDA" w:rsidRPr="00911CDA">
        <w:rPr>
          <w:rFonts w:ascii="Times New Roman" w:hAnsi="Times New Roman"/>
          <w:sz w:val="24"/>
          <w:szCs w:val="24"/>
        </w:rPr>
        <w:t xml:space="preserve"> </w:t>
      </w:r>
    </w:p>
    <w:p w14:paraId="02ECC3AB" w14:textId="77777777" w:rsidR="00911CDA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A76CDA" w14:textId="7E939D9F" w:rsidR="00911CDA" w:rsidRPr="00FD77EE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3140">
        <w:rPr>
          <w:rFonts w:ascii="Times New Roman" w:hAnsi="Times New Roman"/>
          <w:sz w:val="24"/>
          <w:szCs w:val="24"/>
        </w:rPr>
        <w:t>8.</w:t>
      </w:r>
      <w:r w:rsidR="00F57990">
        <w:rPr>
          <w:rFonts w:ascii="Times New Roman" w:hAnsi="Times New Roman"/>
          <w:sz w:val="24"/>
          <w:szCs w:val="24"/>
        </w:rPr>
        <w:t>5</w:t>
      </w:r>
      <w:r w:rsidRPr="004C31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FD77EE">
        <w:rPr>
          <w:rFonts w:ascii="Times New Roman" w:hAnsi="Times New Roman"/>
          <w:sz w:val="24"/>
          <w:szCs w:val="24"/>
        </w:rPr>
        <w:t>Korisnik se obvezuje dostaviti:</w:t>
      </w:r>
    </w:p>
    <w:p w14:paraId="5AE46444" w14:textId="77777777" w:rsidR="00911CDA" w:rsidRPr="00FD77EE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A6AF996" w14:textId="5452CD97" w:rsidR="00911CDA" w:rsidRPr="00FD77EE" w:rsidRDefault="00911CDA" w:rsidP="00E0048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 xml:space="preserve">Mišljenje nadležnog tijela da za predmetni zahvat nije potrebno provesti postupke ocjene o potrebi procjene utjecaja zahvata na okoliš, odnosno postupak procjene zahvata na okoliš ili </w:t>
      </w:r>
    </w:p>
    <w:p w14:paraId="770A7064" w14:textId="77777777" w:rsidR="00911CDA" w:rsidRPr="00FD77EE" w:rsidRDefault="00911CDA" w:rsidP="00E00483">
      <w:pPr>
        <w:pStyle w:val="ListParagraph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14:paraId="3A7AFD43" w14:textId="78B9BA38" w:rsidR="00911CDA" w:rsidRPr="00FD77EE" w:rsidRDefault="00911CDA" w:rsidP="00E0048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 xml:space="preserve">Rješenje </w:t>
      </w:r>
      <w:r w:rsidR="00A37415" w:rsidRPr="00FD77EE">
        <w:rPr>
          <w:rFonts w:ascii="Times New Roman" w:hAnsi="Times New Roman"/>
          <w:sz w:val="24"/>
          <w:szCs w:val="24"/>
        </w:rPr>
        <w:t xml:space="preserve">nadležnog tijela </w:t>
      </w:r>
      <w:r w:rsidRPr="00FD77EE">
        <w:rPr>
          <w:rFonts w:ascii="Times New Roman" w:hAnsi="Times New Roman"/>
          <w:sz w:val="24"/>
          <w:szCs w:val="24"/>
        </w:rPr>
        <w:t>o prihvatljivosti zahvata na okoliš,</w:t>
      </w:r>
    </w:p>
    <w:p w14:paraId="262D8B20" w14:textId="77777777" w:rsidR="00911CDA" w:rsidRPr="00FD77EE" w:rsidRDefault="00911CDA" w:rsidP="00E00483">
      <w:pPr>
        <w:pStyle w:val="ListParagraph"/>
        <w:rPr>
          <w:rFonts w:ascii="Times New Roman" w:hAnsi="Times New Roman"/>
          <w:sz w:val="24"/>
          <w:szCs w:val="24"/>
        </w:rPr>
      </w:pPr>
    </w:p>
    <w:p w14:paraId="174F6600" w14:textId="7C8A6D14" w:rsidR="00911CDA" w:rsidRPr="00FD77EE" w:rsidRDefault="00911CDA" w:rsidP="00882BA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a sukladno Zakonu o zaštiti okoliša (NN, br. 80/13, 153/13, 78/15, 12/18 i 118/18) i Uredbi o procjeni utjecaja zahvata na okoliš, Prilog II, točka 12. (NN, broj 61/14 i 3/17),</w:t>
      </w:r>
      <w:r w:rsidR="00A37415" w:rsidRPr="00FD77EE">
        <w:rPr>
          <w:rFonts w:ascii="Times New Roman" w:hAnsi="Times New Roman"/>
          <w:sz w:val="24"/>
          <w:szCs w:val="24"/>
        </w:rPr>
        <w:t xml:space="preserve"> </w:t>
      </w:r>
      <w:r w:rsidRPr="00FD77EE">
        <w:rPr>
          <w:rFonts w:ascii="Times New Roman" w:hAnsi="Times New Roman"/>
          <w:sz w:val="24"/>
          <w:szCs w:val="24"/>
        </w:rPr>
        <w:t xml:space="preserve">kojom je propisana potreba provođenja ocjene o potrebi procjene utjecaja na okoliš za </w:t>
      </w:r>
      <w:r w:rsidRPr="00FD77EE">
        <w:rPr>
          <w:rFonts w:ascii="Times New Roman" w:hAnsi="Times New Roman"/>
          <w:i/>
          <w:sz w:val="24"/>
          <w:szCs w:val="24"/>
        </w:rPr>
        <w:t>Zahvate urbanog razvoja i druge zahvate za koje nositelj zahvata radi međunarodnog financiranja zatraži ocjenu o potrebi procjene utjecaja na okoliš</w:t>
      </w:r>
      <w:r w:rsidRPr="00FD77EE">
        <w:rPr>
          <w:rFonts w:ascii="Times New Roman" w:hAnsi="Times New Roman"/>
          <w:sz w:val="24"/>
          <w:szCs w:val="24"/>
        </w:rPr>
        <w:t xml:space="preserve"> (</w:t>
      </w:r>
      <w:r w:rsidR="00882BAB" w:rsidRPr="00FD77EE">
        <w:rPr>
          <w:rFonts w:ascii="Times New Roman" w:hAnsi="Times New Roman"/>
          <w:sz w:val="24"/>
          <w:szCs w:val="24"/>
        </w:rPr>
        <w:t xml:space="preserve">nadležno tijelo je Ministarstvo gospodarstva i održivog razvoja). </w:t>
      </w:r>
    </w:p>
    <w:p w14:paraId="5C08D9AD" w14:textId="77777777" w:rsidR="00911CDA" w:rsidRPr="00FD77EE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1C9272A2" w:rsidR="00911CDA" w:rsidRPr="00355DD6" w:rsidRDefault="00911CDA" w:rsidP="001B672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8.</w:t>
      </w:r>
      <w:r w:rsidR="00F57990" w:rsidRPr="00FD77EE">
        <w:rPr>
          <w:rFonts w:ascii="Times New Roman" w:hAnsi="Times New Roman"/>
          <w:sz w:val="24"/>
          <w:szCs w:val="24"/>
        </w:rPr>
        <w:t>6</w:t>
      </w:r>
      <w:r w:rsidRPr="00FD77EE">
        <w:rPr>
          <w:rFonts w:ascii="Times New Roman" w:hAnsi="Times New Roman"/>
          <w:sz w:val="24"/>
          <w:szCs w:val="24"/>
        </w:rPr>
        <w:t>.</w:t>
      </w:r>
      <w:r w:rsidRPr="00FD77EE">
        <w:rPr>
          <w:rFonts w:ascii="Times New Roman" w:hAnsi="Times New Roman"/>
          <w:sz w:val="24"/>
          <w:szCs w:val="24"/>
        </w:rPr>
        <w:tab/>
        <w:t xml:space="preserve">Korisnik mora ishoditi i dostaviti dokaze o usklađenosti sa zahtjevima zaštite okoliša i prirode iz </w:t>
      </w:r>
      <w:r w:rsidR="00A37415" w:rsidRPr="00FD77EE">
        <w:rPr>
          <w:rFonts w:ascii="Times New Roman" w:hAnsi="Times New Roman"/>
          <w:sz w:val="24"/>
          <w:szCs w:val="24"/>
        </w:rPr>
        <w:t>ovog članka, stavka 8.</w:t>
      </w:r>
      <w:r w:rsidR="006476F7">
        <w:rPr>
          <w:rFonts w:ascii="Times New Roman" w:hAnsi="Times New Roman"/>
          <w:sz w:val="24"/>
          <w:szCs w:val="24"/>
        </w:rPr>
        <w:t>5</w:t>
      </w:r>
      <w:r w:rsidR="00A37415" w:rsidRPr="00FD77EE">
        <w:rPr>
          <w:rFonts w:ascii="Times New Roman" w:hAnsi="Times New Roman"/>
          <w:sz w:val="24"/>
          <w:szCs w:val="24"/>
        </w:rPr>
        <w:t>.,</w:t>
      </w:r>
      <w:r w:rsidRPr="00FD77EE">
        <w:rPr>
          <w:rFonts w:ascii="Times New Roman" w:hAnsi="Times New Roman"/>
          <w:sz w:val="24"/>
          <w:szCs w:val="24"/>
        </w:rPr>
        <w:t xml:space="preserve"> u tijeku provedbe projekta, a najkasnije u sklopu podnošenja prvog zahtjeva za nadoknadom sredstava u kojima se potražuju troškovi koji se odnose na radove.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710E9CC" w14:textId="488DBE3A" w:rsidR="00911CDA" w:rsidRDefault="00911CDA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0C79A81" w14:textId="0814CA31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09D6137" w14:textId="35477074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0B1DC3F" w14:textId="70E1BCF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F1B34A9" w14:textId="1A8D98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lastRenderedPageBreak/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5A31026D" w:rsidR="00BE5043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24F5D511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5FBABD2" w14:textId="1E6CD233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DB376" w14:textId="77777777" w:rsidR="005174E7" w:rsidRDefault="005174E7" w:rsidP="00CE785D">
      <w:pPr>
        <w:spacing w:after="0" w:line="240" w:lineRule="auto"/>
      </w:pPr>
      <w:r>
        <w:separator/>
      </w:r>
    </w:p>
  </w:endnote>
  <w:endnote w:type="continuationSeparator" w:id="0">
    <w:p w14:paraId="466D1B90" w14:textId="77777777" w:rsidR="005174E7" w:rsidRDefault="005174E7" w:rsidP="00CE785D">
      <w:pPr>
        <w:spacing w:after="0" w:line="240" w:lineRule="auto"/>
      </w:pPr>
      <w:r>
        <w:continuationSeparator/>
      </w:r>
    </w:p>
  </w:endnote>
  <w:endnote w:type="continuationNotice" w:id="1">
    <w:p w14:paraId="0E1D8E64" w14:textId="77777777" w:rsidR="005174E7" w:rsidRDefault="00517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5A319D0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6E324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6E324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98B8" w14:textId="77777777" w:rsidR="005174E7" w:rsidRDefault="005174E7" w:rsidP="00CE785D">
      <w:pPr>
        <w:spacing w:after="0" w:line="240" w:lineRule="auto"/>
      </w:pPr>
      <w:r>
        <w:separator/>
      </w:r>
    </w:p>
  </w:footnote>
  <w:footnote w:type="continuationSeparator" w:id="0">
    <w:p w14:paraId="1462569A" w14:textId="77777777" w:rsidR="005174E7" w:rsidRDefault="005174E7" w:rsidP="00CE785D">
      <w:pPr>
        <w:spacing w:after="0" w:line="240" w:lineRule="auto"/>
      </w:pPr>
      <w:r>
        <w:continuationSeparator/>
      </w:r>
    </w:p>
  </w:footnote>
  <w:footnote w:type="continuationNotice" w:id="1">
    <w:p w14:paraId="0B2BD3FB" w14:textId="77777777" w:rsidR="005174E7" w:rsidRDefault="00517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2532" w14:textId="47606E19" w:rsidR="00952BD5" w:rsidRDefault="00952BD5">
    <w:pPr>
      <w:pStyle w:val="Header"/>
    </w:pPr>
  </w:p>
  <w:p w14:paraId="7756E386" w14:textId="43B4815F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1F46A5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59D4"/>
    <w:rsid w:val="00276A2C"/>
    <w:rsid w:val="00281362"/>
    <w:rsid w:val="00286B56"/>
    <w:rsid w:val="00287135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1E44"/>
    <w:rsid w:val="00463D81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174E7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24A"/>
    <w:rsid w:val="006E362B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478F1"/>
    <w:rsid w:val="008502A7"/>
    <w:rsid w:val="00851781"/>
    <w:rsid w:val="0085585C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2BD5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8381D-433C-4317-A72C-B21C84C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2022-08-23T08:53:00Z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