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52886D0C"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Zagrebačke županije </w:t>
      </w:r>
      <w:bookmarkEnd w:id="0"/>
    </w:p>
    <w:p w14:paraId="56CC4F62" w14:textId="33BDE0B5" w:rsidR="006B7C2B" w:rsidRPr="006B7C2B" w:rsidRDefault="006B7C2B" w:rsidP="006B7C2B">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Izravna dodjela Hrvatske ceste d.o.o., Zagreb</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641A1A3B"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Zagrebačke županije</w:t>
      </w:r>
      <w:r w:rsidR="00FF7E69">
        <w:rPr>
          <w:rFonts w:ascii="Times New Roman" w:eastAsia="Times New Roman" w:hAnsi="Times New Roman" w:cs="Times New Roman"/>
          <w:b/>
          <w:sz w:val="24"/>
          <w:szCs w:val="24"/>
        </w:rPr>
        <w:t xml:space="preserve"> – Izravna dodjela Hrvatske ceste d.o.o., Zagreb</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0475C9">
        <w:rPr>
          <w:rFonts w:ascii="Times New Roman" w:eastAsia="Times New Roman" w:hAnsi="Times New Roman" w:cs="Times New Roman"/>
          <w:b/>
          <w:sz w:val="24"/>
          <w:szCs w:val="24"/>
        </w:rPr>
        <w:t>4</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98B5C3E"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00674DAD">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w:t>
      </w:r>
      <w:r w:rsidRPr="00CB1BA8">
        <w:rPr>
          <w:rFonts w:ascii="Times New Roman" w:hAnsi="Times New Roman" w:cs="Times New Roman"/>
          <w:color w:val="000000"/>
          <w:sz w:val="24"/>
          <w:szCs w:val="24"/>
          <w:shd w:val="clear" w:color="auto" w:fill="FFFFFF"/>
        </w:rPr>
        <w:lastRenderedPageBreak/>
        <w:t xml:space="preserve">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w:t>
      </w:r>
      <w:bookmarkStart w:id="3" w:name="_GoBack"/>
      <w:bookmarkEnd w:id="3"/>
      <w:r w:rsidRPr="00604ACD">
        <w:rPr>
          <w:rFonts w:ascii="Times New Roman" w:eastAsia="Times New Roman" w:hAnsi="Times New Roman" w:cs="Times New Roman"/>
          <w:sz w:val="24"/>
          <w:szCs w:val="24"/>
        </w:rPr>
        <w:t xml:space="preserve">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F5D47" w14:textId="77777777" w:rsidR="00955D18" w:rsidRDefault="00955D18" w:rsidP="00EC4A16">
      <w:pPr>
        <w:spacing w:after="0" w:line="240" w:lineRule="auto"/>
      </w:pPr>
      <w:r>
        <w:separator/>
      </w:r>
    </w:p>
  </w:endnote>
  <w:endnote w:type="continuationSeparator" w:id="0">
    <w:p w14:paraId="67F7F7BA" w14:textId="77777777" w:rsidR="00955D18" w:rsidRDefault="00955D18"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C2B3B" w14:textId="77777777" w:rsidR="00955D18" w:rsidRDefault="00955D18" w:rsidP="00EC4A16">
      <w:pPr>
        <w:spacing w:after="0" w:line="240" w:lineRule="auto"/>
      </w:pPr>
      <w:r>
        <w:separator/>
      </w:r>
    </w:p>
  </w:footnote>
  <w:footnote w:type="continuationSeparator" w:id="0">
    <w:p w14:paraId="7DC1B1EC" w14:textId="77777777" w:rsidR="00955D18" w:rsidRDefault="00955D18"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3483"/>
    <w:rsid w:val="00BD6009"/>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C654CC-D107-4F74-96D8-7CBC6649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2022-12-01T14:07:00Z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