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52886D0C"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Zagrebačke županije </w:t>
      </w:r>
      <w:bookmarkEnd w:id="0"/>
    </w:p>
    <w:p w14:paraId="56CC4F62" w14:textId="1C1F9A89" w:rsidR="006B7C2B" w:rsidRPr="006B7C2B" w:rsidRDefault="006B7C2B" w:rsidP="00633EF0">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633EF0" w:rsidRPr="00633EF0">
        <w:rPr>
          <w:rFonts w:ascii="Times New Roman" w:eastAsia="Times New Roman" w:hAnsi="Times New Roman" w:cs="Times New Roman"/>
          <w:b/>
          <w:sz w:val="24"/>
          <w:szCs w:val="24"/>
        </w:rPr>
        <w:t>Županijska uprava za ceste Zagrebačke županije</w:t>
      </w:r>
      <w:r w:rsidR="00633E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Zagreb</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589799E5"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Zagrebačke županije</w:t>
      </w:r>
      <w:r w:rsidR="00FF7E69">
        <w:rPr>
          <w:rFonts w:ascii="Times New Roman" w:eastAsia="Times New Roman" w:hAnsi="Times New Roman" w:cs="Times New Roman"/>
          <w:b/>
          <w:sz w:val="24"/>
          <w:szCs w:val="24"/>
        </w:rPr>
        <w:t xml:space="preserve"> – Izravna dodjela </w:t>
      </w:r>
      <w:r w:rsidR="00633EF0" w:rsidRPr="00633EF0">
        <w:rPr>
          <w:rFonts w:ascii="Times New Roman" w:eastAsia="Times New Roman" w:hAnsi="Times New Roman" w:cs="Times New Roman"/>
          <w:b/>
          <w:sz w:val="24"/>
          <w:szCs w:val="24"/>
        </w:rPr>
        <w:t>Županijska uprava za ceste Zagrebačke županije</w:t>
      </w:r>
      <w:r w:rsidR="00633EF0">
        <w:rPr>
          <w:rFonts w:ascii="Times New Roman" w:eastAsia="Times New Roman" w:hAnsi="Times New Roman" w:cs="Times New Roman"/>
          <w:b/>
          <w:sz w:val="24"/>
          <w:szCs w:val="24"/>
        </w:rPr>
        <w:t>,</w:t>
      </w:r>
      <w:bookmarkStart w:id="1" w:name="_GoBack"/>
      <w:bookmarkEnd w:id="1"/>
      <w:r w:rsidR="00FF7E69">
        <w:rPr>
          <w:rFonts w:ascii="Times New Roman" w:eastAsia="Times New Roman" w:hAnsi="Times New Roman" w:cs="Times New Roman"/>
          <w:b/>
          <w:sz w:val="24"/>
          <w:szCs w:val="24"/>
        </w:rPr>
        <w:t xml:space="preserve"> Zagreb</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633EF0">
        <w:rPr>
          <w:rFonts w:ascii="Times New Roman" w:eastAsia="Times New Roman" w:hAnsi="Times New Roman" w:cs="Times New Roman"/>
          <w:b/>
          <w:sz w:val="24"/>
          <w:szCs w:val="24"/>
        </w:rPr>
        <w:t>6</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98B5C3E"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674DAD">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w:t>
      </w:r>
      <w:r w:rsidRPr="00CB1BA8">
        <w:rPr>
          <w:rFonts w:ascii="Times New Roman" w:hAnsi="Times New Roman" w:cs="Times New Roman"/>
          <w:color w:val="000000"/>
          <w:sz w:val="24"/>
          <w:szCs w:val="24"/>
          <w:shd w:val="clear" w:color="auto" w:fill="FFFFFF"/>
        </w:rPr>
        <w:lastRenderedPageBreak/>
        <w:t xml:space="preserve">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BA34" w14:textId="77777777" w:rsidR="00B90954" w:rsidRDefault="00B90954" w:rsidP="00EC4A16">
      <w:pPr>
        <w:spacing w:after="0" w:line="240" w:lineRule="auto"/>
      </w:pPr>
      <w:r>
        <w:separator/>
      </w:r>
    </w:p>
  </w:endnote>
  <w:endnote w:type="continuationSeparator" w:id="0">
    <w:p w14:paraId="03EBFA74" w14:textId="77777777" w:rsidR="00B90954" w:rsidRDefault="00B90954"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78D80" w14:textId="77777777" w:rsidR="00B90954" w:rsidRDefault="00B90954" w:rsidP="00EC4A16">
      <w:pPr>
        <w:spacing w:after="0" w:line="240" w:lineRule="auto"/>
      </w:pPr>
      <w:r>
        <w:separator/>
      </w:r>
    </w:p>
  </w:footnote>
  <w:footnote w:type="continuationSeparator" w:id="0">
    <w:p w14:paraId="47A40B5C" w14:textId="77777777" w:rsidR="00B90954" w:rsidRDefault="00B90954"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B9A43F-3D85-4DAD-902A-6B765D7F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10652</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2022-12-07T09:53:00Z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