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1DAC3F6B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Zagrebačke 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Grad Velika Gorica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5ACC3B82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51222A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  <w:bookmarkStart w:id="0" w:name="_GoBack"/>
      <w:bookmarkEnd w:id="0"/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5B7370C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Zagrebačke 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županije – Izravna dodjela </w:t>
      </w:r>
      <w:r w:rsidR="006500DD">
        <w:rPr>
          <w:rFonts w:ascii="Times New Roman" w:eastAsia="Times New Roman" w:hAnsi="Times New Roman" w:cs="Times New Roman"/>
          <w:b/>
          <w:bCs/>
          <w:sz w:val="24"/>
          <w:szCs w:val="24"/>
        </w:rPr>
        <w:t>Grad Velika Gorica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FD3C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8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F65620" w16cid:durableId="2784CF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0BBC" w14:textId="77777777" w:rsidR="00AE0AC1" w:rsidRDefault="00AE0AC1" w:rsidP="00EC4A16">
      <w:pPr>
        <w:spacing w:after="0" w:line="240" w:lineRule="auto"/>
      </w:pPr>
      <w:r>
        <w:separator/>
      </w:r>
    </w:p>
  </w:endnote>
  <w:endnote w:type="continuationSeparator" w:id="0">
    <w:p w14:paraId="75B36407" w14:textId="77777777" w:rsidR="00AE0AC1" w:rsidRDefault="00AE0AC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7B3FC3F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1222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1222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B30E" w14:textId="77777777" w:rsidR="00AE0AC1" w:rsidRDefault="00AE0AC1" w:rsidP="00EC4A16">
      <w:pPr>
        <w:spacing w:after="0" w:line="240" w:lineRule="auto"/>
      </w:pPr>
      <w:r>
        <w:separator/>
      </w:r>
    </w:p>
  </w:footnote>
  <w:footnote w:type="continuationSeparator" w:id="0">
    <w:p w14:paraId="60E8DC6A" w14:textId="77777777" w:rsidR="00AE0AC1" w:rsidRDefault="00AE0AC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242F4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E54AF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139B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A5A5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222A"/>
    <w:rsid w:val="00514574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0DD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0AC1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A5662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3C07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5" ma:contentTypeDescription="Create a new document." ma:contentTypeScope="" ma:versionID="b352f39b32908e434fe46380e6d44e32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adf5e71078869b15c94c70c726d5c29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2D0D-B97E-450E-9C08-AC443666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045FF-10AD-42FE-9FB2-5AFF051D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2023-02-03T08:57:00Z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