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B43EF" w14:textId="1DC946FC" w:rsidR="00A64959" w:rsidRPr="00855E64" w:rsidRDefault="00855E64" w:rsidP="0044120D">
      <w:pPr>
        <w:autoSpaceDE w:val="0"/>
        <w:autoSpaceDN w:val="0"/>
        <w:adjustRightInd w:val="0"/>
        <w:spacing w:after="0" w:line="240" w:lineRule="auto"/>
        <w:jc w:val="center"/>
        <w:rPr>
          <w:rFonts w:ascii="Times New Roman" w:hAnsi="Times New Roman"/>
          <w:b/>
          <w:sz w:val="24"/>
          <w:szCs w:val="24"/>
        </w:rPr>
      </w:pPr>
      <w:r w:rsidRPr="00855E64">
        <w:rPr>
          <w:rFonts w:ascii="Times New Roman" w:hAnsi="Times New Roman"/>
          <w:b/>
          <w:sz w:val="24"/>
          <w:szCs w:val="24"/>
        </w:rPr>
        <w:t>Prilog 1.1</w:t>
      </w: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47C825D8" w14:textId="77777777" w:rsidR="00A64959" w:rsidRPr="00020E6F" w:rsidRDefault="00A64959" w:rsidP="0044120D">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Ugovor o dodjeli bespovratnih sredstava za projekte koji se financiraju iz Fondova u financijskom razdoblju 2014.-2020.</w:t>
      </w:r>
    </w:p>
    <w:p w14:paraId="6460A329" w14:textId="77777777" w:rsidR="00A64959" w:rsidRPr="00020E6F" w:rsidRDefault="00A64959" w:rsidP="0044120D">
      <w:pPr>
        <w:spacing w:after="0" w:line="240" w:lineRule="auto"/>
        <w:ind w:left="720"/>
        <w:jc w:val="center"/>
        <w:rPr>
          <w:rFonts w:ascii="Times New Roman" w:hAnsi="Times New Roman"/>
          <w:sz w:val="24"/>
          <w:szCs w:val="24"/>
        </w:rPr>
      </w:pPr>
    </w:p>
    <w:p w14:paraId="6A6057F9"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Referentni broj Ugovora o</w:t>
      </w:r>
      <w:r w:rsidRPr="00020E6F">
        <w:rPr>
          <w:rFonts w:ascii="Times New Roman" w:hAnsi="Times New Roman"/>
          <w:b/>
          <w:sz w:val="24"/>
          <w:szCs w:val="24"/>
        </w:rPr>
        <w:t xml:space="preserve"> </w:t>
      </w:r>
      <w:r w:rsidRPr="00020E6F">
        <w:rPr>
          <w:rFonts w:ascii="Times New Roman" w:hAnsi="Times New Roman"/>
          <w:b/>
          <w:i/>
          <w:sz w:val="24"/>
          <w:szCs w:val="24"/>
        </w:rPr>
        <w:t>dodjeli bespovratnih sredstava&gt;</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02019185"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Naziv projekta&gt;</w:t>
      </w:r>
    </w:p>
    <w:p w14:paraId="113854F0"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b/>
          <w:sz w:val="24"/>
          <w:szCs w:val="24"/>
        </w:rPr>
        <w:t xml:space="preserve"> </w:t>
      </w: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dodjeli bespovratnih sredstava", u daljnjem tekstu: Ugovor)</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5B249E01"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Ministarstvo mora, prometa i infrastrukture,</w:t>
      </w:r>
    </w:p>
    <w:p w14:paraId="26CE7052"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Prisavlje 14, 10000 Zagreb,</w:t>
      </w:r>
    </w:p>
    <w:p w14:paraId="58B7B91A"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Osobni identifikacijski broj (OIB): 22874515170</w:t>
      </w:r>
    </w:p>
    <w:p w14:paraId="1B4506F2"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Kao Posredničko tijelo 1 (u daljnjem tekstu: PT1)</w:t>
      </w:r>
    </w:p>
    <w:p w14:paraId="422825FD" w14:textId="77777777" w:rsidR="003D5470" w:rsidRDefault="003D5470"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19463DF8" w14:textId="7443F5CA" w:rsidR="003D5470" w:rsidRDefault="003D5470"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i</w:t>
      </w:r>
    </w:p>
    <w:p w14:paraId="35B9F03F" w14:textId="77777777" w:rsidR="003D5470" w:rsidRDefault="003D5470"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62CF158"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Središnja agencija za financiranje i ugovaranje programa i projekata Europske unije,</w:t>
      </w:r>
      <w:r w:rsidRPr="00BE0158">
        <w:rPr>
          <w:rFonts w:ascii="Times New Roman" w:hAnsi="Times New Roman"/>
          <w:sz w:val="24"/>
          <w:szCs w:val="24"/>
        </w:rPr>
        <w:br/>
        <w:t>Ulica grada Vukovara 284 (objekt C), 10000 Zagreb,</w:t>
      </w:r>
    </w:p>
    <w:p w14:paraId="45338520" w14:textId="77777777" w:rsidR="003D5470" w:rsidRPr="00BE0158"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Osobni identifikacijski broj (OIB): 11548277852</w:t>
      </w:r>
    </w:p>
    <w:p w14:paraId="6486F364" w14:textId="77777777" w:rsidR="003D5470" w:rsidRPr="00020E6F" w:rsidRDefault="003D5470" w:rsidP="003D547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Kao Posredničko tijelo 2 (u daljnjem tekstu: PT2), zajednički obuhvaćeni pojmom PT-ovi</w:t>
      </w:r>
    </w:p>
    <w:p w14:paraId="36C40B84" w14:textId="77777777" w:rsidR="003D5470" w:rsidRDefault="003D5470"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7834588F" w:rsidR="00A64959" w:rsidRPr="00020E6F" w:rsidRDefault="00FD326A"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orisnik bespovratnih sredstava iz Fondova</w:t>
      </w:r>
    </w:p>
    <w:p w14:paraId="2835BA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77777777"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-Osobni identifikacijski broj &gt;</w:t>
      </w:r>
      <w:r w:rsidRPr="00020E6F">
        <w:rPr>
          <w:rFonts w:ascii="Times New Roman" w:hAnsi="Times New Roman"/>
          <w:sz w:val="24"/>
          <w:szCs w:val="24"/>
        </w:rPr>
        <w:tab/>
      </w:r>
    </w:p>
    <w:p w14:paraId="289A7A90"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 &gt;]</w:t>
      </w:r>
    </w:p>
    <w:p w14:paraId="495CBEE1" w14:textId="77777777" w:rsidR="00A64959" w:rsidRPr="00020E6F" w:rsidRDefault="00A64959" w:rsidP="0044120D">
      <w:pPr>
        <w:spacing w:after="0" w:line="240" w:lineRule="auto"/>
        <w:jc w:val="both"/>
        <w:rPr>
          <w:rFonts w:ascii="Times New Roman" w:hAnsi="Times New Roman"/>
          <w:sz w:val="24"/>
          <w:szCs w:val="24"/>
        </w:rPr>
      </w:pPr>
    </w:p>
    <w:p w14:paraId="06138C0B"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 (u daljnjem tekstu: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daljnjem tekstu: Strane) složile su se kako slijedi: </w:t>
      </w:r>
    </w:p>
    <w:p w14:paraId="6DE3B96D" w14:textId="77777777" w:rsidR="00A64959" w:rsidRPr="00020E6F" w:rsidRDefault="00A64959" w:rsidP="0044120D">
      <w:pPr>
        <w:spacing w:after="0" w:line="240" w:lineRule="auto"/>
        <w:outlineLvl w:val="0"/>
        <w:rPr>
          <w:rFonts w:ascii="Times New Roman" w:hAnsi="Times New Roman"/>
          <w:b/>
          <w:sz w:val="24"/>
          <w:szCs w:val="24"/>
        </w:rPr>
      </w:pPr>
    </w:p>
    <w:p w14:paraId="544D7DE9" w14:textId="77777777" w:rsidR="00A64959" w:rsidRPr="00020E6F" w:rsidRDefault="00A64959" w:rsidP="0044120D">
      <w:pPr>
        <w:spacing w:after="0" w:line="240" w:lineRule="auto"/>
        <w:ind w:left="708"/>
        <w:jc w:val="center"/>
        <w:outlineLvl w:val="0"/>
        <w:rPr>
          <w:rFonts w:ascii="Times New Roman" w:hAnsi="Times New Roman"/>
          <w:b/>
          <w:sz w:val="24"/>
          <w:szCs w:val="24"/>
        </w:rPr>
      </w:pPr>
    </w:p>
    <w:p w14:paraId="3BE44277" w14:textId="77777777" w:rsidR="00A64959" w:rsidRPr="00020E6F" w:rsidRDefault="00A64959" w:rsidP="0044120D">
      <w:pPr>
        <w:spacing w:after="0" w:line="240" w:lineRule="auto"/>
        <w:ind w:left="708"/>
        <w:jc w:val="center"/>
        <w:outlineLvl w:val="0"/>
        <w:rPr>
          <w:rFonts w:ascii="Times New Roman" w:hAnsi="Times New Roman"/>
          <w:b/>
          <w:sz w:val="24"/>
          <w:szCs w:val="24"/>
        </w:rPr>
      </w:pPr>
      <w:r w:rsidRPr="00020E6F">
        <w:rPr>
          <w:rFonts w:ascii="Times New Roman" w:hAnsi="Times New Roman"/>
          <w:b/>
          <w:sz w:val="24"/>
          <w:szCs w:val="24"/>
        </w:rPr>
        <w:t>Posebni uvjeti Ugovora</w:t>
      </w:r>
    </w:p>
    <w:p w14:paraId="3ED69B82" w14:textId="77777777" w:rsidR="00A64959" w:rsidRPr="00020E6F" w:rsidRDefault="00A64959" w:rsidP="0044120D">
      <w:pPr>
        <w:spacing w:after="0" w:line="240" w:lineRule="auto"/>
        <w:jc w:val="both"/>
        <w:outlineLvl w:val="0"/>
        <w:rPr>
          <w:rFonts w:ascii="Times New Roman" w:hAnsi="Times New Roman"/>
          <w:b/>
          <w:sz w:val="24"/>
          <w:szCs w:val="24"/>
        </w:rPr>
      </w:pPr>
    </w:p>
    <w:p w14:paraId="4A18A09E"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 – Svrha</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Pr="00020E6F">
        <w:rPr>
          <w:rFonts w:ascii="Times New Roman" w:hAnsi="Times New Roman"/>
          <w:sz w:val="24"/>
          <w:szCs w:val="24"/>
        </w:rPr>
        <w:tab/>
        <w:t>Svrha ovog Ugovora je dodijeliti bespovratna sredstava Korisniku u svrhu provedbe projekta pod nazivom:&lt;</w:t>
      </w:r>
      <w:r w:rsidRPr="00020E6F">
        <w:rPr>
          <w:rFonts w:ascii="Times New Roman" w:hAnsi="Times New Roman"/>
          <w:i/>
          <w:sz w:val="24"/>
          <w:szCs w:val="24"/>
        </w:rPr>
        <w:t>naziv Projekta&gt;</w:t>
      </w:r>
      <w:r w:rsidRPr="00020E6F">
        <w:rPr>
          <w:rFonts w:ascii="Times New Roman" w:hAnsi="Times New Roman"/>
          <w:sz w:val="24"/>
          <w:szCs w:val="24"/>
        </w:rPr>
        <w:t xml:space="preserve"> (u daljnjem tekstu: Projekt) opisanog u Prilogu I ovih Posebnih uvjeta: Opis i proračun Projekta, koji je sastavni dio ovog Ugovora.</w:t>
      </w:r>
    </w:p>
    <w:p w14:paraId="77224E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Pr="00020E6F">
        <w:rPr>
          <w:rFonts w:ascii="Times New Roman" w:hAnsi="Times New Roman"/>
          <w:sz w:val="24"/>
          <w:szCs w:val="24"/>
        </w:rPr>
        <w:tab/>
        <w:t xml:space="preserve">Bespovratna sredstva se dodjeljuju Korisniku u skladu s uvjetima utvrđenima u Općim uvjetima i u ovim Posebnim uvjetima Ugovora, za koje Korisnik ovim putem izjavljuje da ih je u cijelosti primio na znanje i prihvatio.   </w:t>
      </w:r>
    </w:p>
    <w:p w14:paraId="7A2E64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Pr="00020E6F">
        <w:rPr>
          <w:rFonts w:ascii="Times New Roman" w:hAnsi="Times New Roman"/>
          <w:sz w:val="24"/>
          <w:szCs w:val="24"/>
        </w:rPr>
        <w:tab/>
        <w:t>Korisnik se obvezuje provesti Projekt u skladu s opisom i opsegom Projekta u  skladu s točkom 11.1 ovih Posebnih uvjeta Ugovora, Općim uvjetima Ugovora te naknadnim izmjenama Projekta odnosno Ugovora.</w:t>
      </w:r>
    </w:p>
    <w:p w14:paraId="60D64F1F" w14:textId="77777777" w:rsidR="00A64959" w:rsidRPr="00020E6F" w:rsidRDefault="00A64959" w:rsidP="0044120D">
      <w:pPr>
        <w:spacing w:after="0" w:line="240" w:lineRule="auto"/>
        <w:ind w:left="567" w:hanging="567"/>
        <w:jc w:val="both"/>
        <w:rPr>
          <w:rFonts w:ascii="Times New Roman" w:hAnsi="Times New Roman"/>
          <w:sz w:val="24"/>
          <w:szCs w:val="24"/>
        </w:rPr>
      </w:pPr>
    </w:p>
    <w:p w14:paraId="18A636C0"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2. –  Provedba i financijsko razdoblje Projekta</w:t>
      </w:r>
    </w:p>
    <w:p w14:paraId="3B8F1919"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BC2BA8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Pr="00020E6F">
        <w:rPr>
          <w:rFonts w:ascii="Times New Roman" w:hAnsi="Times New Roman"/>
          <w:sz w:val="24"/>
          <w:szCs w:val="24"/>
        </w:rPr>
        <w:tab/>
        <w:t>Ovaj Ugovor stupa na snagu onoga dana kada ga potpiše posljednja Strana te je na snazi do izvršenja svih obaveza ugovornih Strana</w:t>
      </w:r>
      <w:r w:rsidRPr="00020E6F">
        <w:rPr>
          <w:rFonts w:ascii="Times New Roman" w:hAnsi="Times New Roman"/>
          <w:snapToGrid w:val="0"/>
          <w:sz w:val="24"/>
          <w:szCs w:val="24"/>
        </w:rPr>
        <w:t>.</w:t>
      </w:r>
    </w:p>
    <w:p w14:paraId="795FD4F3" w14:textId="0944929F" w:rsidR="00A64959" w:rsidRPr="00020E6F"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Pr="00020E6F">
        <w:rPr>
          <w:rFonts w:ascii="Times New Roman" w:hAnsi="Times New Roman"/>
          <w:sz w:val="24"/>
          <w:szCs w:val="24"/>
        </w:rPr>
        <w:tab/>
        <w:t xml:space="preserve">Razdoblje provedbe Projekta je od &lt;…&gt; do &lt;…&gt;. </w:t>
      </w:r>
    </w:p>
    <w:p w14:paraId="6C796317" w14:textId="359E7E82"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Razdoblje prihvatljivosti izdataka Projekta je od &lt;…&gt; do &lt;…&gt;.</w:t>
      </w:r>
    </w:p>
    <w:p w14:paraId="07DB4A17" w14:textId="2F35286C"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A64959" w:rsidRPr="00020E6F">
        <w:rPr>
          <w:rFonts w:ascii="Times New Roman" w:hAnsi="Times New Roman"/>
          <w:sz w:val="24"/>
          <w:szCs w:val="24"/>
        </w:rPr>
        <w:t xml:space="preserve">  </w:t>
      </w:r>
      <w:r w:rsidR="003D5470">
        <w:rPr>
          <w:rFonts w:ascii="Times New Roman" w:hAnsi="Times New Roman"/>
          <w:sz w:val="24"/>
          <w:szCs w:val="24"/>
        </w:rPr>
        <w:t xml:space="preserve">  </w:t>
      </w:r>
      <w:r w:rsidR="003D5470" w:rsidRPr="003D5470">
        <w:rPr>
          <w:rFonts w:ascii="Times New Roman" w:hAnsi="Times New Roman"/>
          <w:sz w:val="24"/>
          <w:szCs w:val="24"/>
        </w:rPr>
        <w:t>Završni zahtjev za nadoknadom sredstava i Završno izvješće podnose se PT-u 2 u roku od 30 (trideset) dana od isteka razdoblja provedbe Projekta kako je naznačeno u točki 2.2. ovog Ugovora</w:t>
      </w:r>
    </w:p>
    <w:p w14:paraId="21DDD820" w14:textId="77777777" w:rsidR="00A64959" w:rsidRPr="00020E6F" w:rsidRDefault="00A64959" w:rsidP="0044120D">
      <w:pPr>
        <w:spacing w:after="0" w:line="240" w:lineRule="auto"/>
        <w:ind w:left="567" w:hanging="567"/>
        <w:jc w:val="both"/>
        <w:rPr>
          <w:rFonts w:ascii="Times New Roman" w:hAnsi="Times New Roman"/>
          <w:sz w:val="24"/>
          <w:szCs w:val="24"/>
        </w:rPr>
      </w:pPr>
    </w:p>
    <w:p w14:paraId="56B915AC" w14:textId="0B9889CD"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3.</w:t>
      </w:r>
      <w:r w:rsidR="001B4B86" w:rsidRPr="00020E6F">
        <w:rPr>
          <w:rFonts w:ascii="Times New Roman" w:hAnsi="Times New Roman"/>
          <w:b/>
          <w:sz w:val="24"/>
          <w:szCs w:val="24"/>
        </w:rPr>
        <w:t xml:space="preserve"> – Iznos bespovratnih sredstava</w:t>
      </w:r>
      <w:r w:rsidRPr="00020E6F">
        <w:rPr>
          <w:rFonts w:ascii="Times New Roman" w:hAnsi="Times New Roman"/>
          <w:b/>
          <w:sz w:val="24"/>
          <w:szCs w:val="24"/>
        </w:rPr>
        <w:t xml:space="preserve">, postotak financiranja Projekta i uređenje plaćanja </w:t>
      </w:r>
    </w:p>
    <w:p w14:paraId="15813D5B"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1A1B85AE" w14:textId="3AD92249" w:rsidR="00A64959" w:rsidRPr="00020E6F" w:rsidRDefault="003D5470" w:rsidP="0044120D">
      <w:pPr>
        <w:spacing w:after="0" w:line="240" w:lineRule="auto"/>
        <w:ind w:left="567" w:hanging="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A64959" w:rsidRPr="00020E6F">
        <w:rPr>
          <w:rFonts w:ascii="Times New Roman" w:hAnsi="Times New Roman"/>
          <w:sz w:val="24"/>
          <w:szCs w:val="24"/>
        </w:rPr>
        <w:t>Ukupna vrijednost Projekta se određuje na &lt;…. &gt; kuna.</w:t>
      </w:r>
    </w:p>
    <w:p w14:paraId="2CE431D7"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Pr="00020E6F">
        <w:rPr>
          <w:rFonts w:ascii="Times New Roman" w:hAnsi="Times New Roman"/>
          <w:sz w:val="24"/>
          <w:szCs w:val="24"/>
        </w:rPr>
        <w:tab/>
        <w:t>Ukupni prihvatljivi troškovi se određuju na &lt;…&gt; kuna, kao što je utvrđeno u Prilogu I Opis i proračun Projekta, a  u skladu s Općim uvjetima Ugovora.</w:t>
      </w:r>
    </w:p>
    <w:p w14:paraId="4958BF79"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Pr="00020E6F">
        <w:rPr>
          <w:rFonts w:ascii="Times New Roman" w:hAnsi="Times New Roman"/>
          <w:sz w:val="24"/>
          <w:szCs w:val="24"/>
        </w:rPr>
        <w:tab/>
        <w:t xml:space="preserve">Dodjeljuju se bespovratna sredstva u iznosu od &lt;…&gt; kuna što je najviši mogući iznos sufinanciranja ukupno utvrđene vrijednosti prihvatljivih izdataka Projekta navedenih u točki 3.2. ovog članka. </w:t>
      </w:r>
    </w:p>
    <w:p w14:paraId="6CB671E6"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Iznosi bespovratnih sredstava koji se plaćaju Korisniku tijekom provedbe projekta i konačni iznos financiranja utvrđuju se u skladu s člankom 17. Općih uvjeta Ugovora.</w:t>
      </w:r>
    </w:p>
    <w:p w14:paraId="2E3C88CE" w14:textId="77777777"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se obvezuje osigurati sredstva u svrhu pokrića troškova i izdataka za koje se naknadno utvrdi da su neprihvatljivi te je odgovaran za osiguravanje raspoloživosti sredstava ukupne projektne vrijednosti u svrhu pokrića neprihvatljivih troškova i izdataka. </w:t>
      </w:r>
    </w:p>
    <w:p w14:paraId="4DE23156" w14:textId="4B307592" w:rsidR="00BC5CE1" w:rsidRPr="002264F9" w:rsidRDefault="00BC5CE1" w:rsidP="002264F9">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 xml:space="preserve">3.4.  </w:t>
      </w:r>
      <w:r w:rsidRPr="00020E6F">
        <w:rPr>
          <w:rFonts w:ascii="Times New Roman" w:hAnsi="Times New Roman"/>
          <w:sz w:val="24"/>
          <w:szCs w:val="24"/>
        </w:rPr>
        <w:t>Najniži iznos izdat</w:t>
      </w:r>
      <w:r>
        <w:rPr>
          <w:rFonts w:ascii="Times New Roman" w:hAnsi="Times New Roman"/>
          <w:sz w:val="24"/>
          <w:szCs w:val="24"/>
        </w:rPr>
        <w:t>a</w:t>
      </w:r>
      <w:r w:rsidRPr="00020E6F">
        <w:rPr>
          <w:rFonts w:ascii="Times New Roman" w:hAnsi="Times New Roman"/>
          <w:sz w:val="24"/>
          <w:szCs w:val="24"/>
        </w:rPr>
        <w:t xml:space="preserve">ka koji se može prikazati u Zahtjevu za nadoknadom sredstava iz članka 13. Općih uvjeta iznosi </w:t>
      </w:r>
      <w:r>
        <w:rPr>
          <w:rFonts w:ascii="Times New Roman" w:hAnsi="Times New Roman"/>
          <w:sz w:val="24"/>
          <w:szCs w:val="24"/>
        </w:rPr>
        <w:t xml:space="preserve">100.000,00 </w:t>
      </w:r>
      <w:r w:rsidRPr="00020E6F">
        <w:rPr>
          <w:rFonts w:ascii="Times New Roman" w:hAnsi="Times New Roman"/>
          <w:sz w:val="24"/>
          <w:szCs w:val="24"/>
        </w:rPr>
        <w:t xml:space="preserve">kuna. Navedeno ograničenje se ne </w:t>
      </w:r>
      <w:r w:rsidRPr="002264F9">
        <w:rPr>
          <w:rFonts w:ascii="Times New Roman" w:hAnsi="Times New Roman"/>
          <w:sz w:val="24"/>
          <w:szCs w:val="24"/>
        </w:rPr>
        <w:t xml:space="preserve">primjenjuje pri podnošenju Završnog zahtjeva za nadoknadom sredstava.  </w:t>
      </w:r>
    </w:p>
    <w:p w14:paraId="330D3B38" w14:textId="2622C14C" w:rsidR="003D5470" w:rsidRPr="002264F9" w:rsidRDefault="003D5470" w:rsidP="0044120D">
      <w:pPr>
        <w:tabs>
          <w:tab w:val="left" w:pos="567"/>
        </w:tabs>
        <w:spacing w:after="0" w:line="240" w:lineRule="auto"/>
        <w:ind w:left="567" w:hanging="567"/>
        <w:jc w:val="both"/>
        <w:outlineLvl w:val="0"/>
        <w:rPr>
          <w:rFonts w:ascii="Times New Roman" w:hAnsi="Times New Roman"/>
          <w:sz w:val="24"/>
          <w:szCs w:val="24"/>
        </w:rPr>
      </w:pPr>
      <w:r w:rsidRPr="002264F9">
        <w:rPr>
          <w:rFonts w:ascii="Times New Roman" w:hAnsi="Times New Roman"/>
          <w:sz w:val="24"/>
          <w:szCs w:val="24"/>
        </w:rPr>
        <w:t>3.</w:t>
      </w:r>
      <w:r w:rsidR="00BC5CE1" w:rsidRPr="002264F9">
        <w:rPr>
          <w:rFonts w:ascii="Times New Roman" w:hAnsi="Times New Roman"/>
          <w:sz w:val="24"/>
          <w:szCs w:val="24"/>
        </w:rPr>
        <w:t>5</w:t>
      </w:r>
      <w:r w:rsidRPr="002264F9">
        <w:rPr>
          <w:rFonts w:ascii="Times New Roman" w:hAnsi="Times New Roman"/>
          <w:sz w:val="24"/>
          <w:szCs w:val="24"/>
        </w:rPr>
        <w:tab/>
      </w:r>
      <w:bookmarkStart w:id="0" w:name="_GoBack"/>
      <w:r w:rsidR="00A64959" w:rsidRPr="002264F9">
        <w:rPr>
          <w:rFonts w:ascii="Times New Roman" w:hAnsi="Times New Roman"/>
          <w:sz w:val="24"/>
          <w:szCs w:val="24"/>
        </w:rPr>
        <w:t>Korisnik ima pra</w:t>
      </w:r>
      <w:r w:rsidRPr="002264F9">
        <w:rPr>
          <w:rFonts w:ascii="Times New Roman" w:hAnsi="Times New Roman"/>
          <w:sz w:val="24"/>
          <w:szCs w:val="24"/>
        </w:rPr>
        <w:t xml:space="preserve">vo zatražiti plaćanje predujma i to do maksimalno </w:t>
      </w:r>
      <w:r w:rsidR="008C7412" w:rsidRPr="002264F9">
        <w:rPr>
          <w:rFonts w:ascii="Times New Roman" w:hAnsi="Times New Roman"/>
          <w:sz w:val="24"/>
          <w:szCs w:val="24"/>
        </w:rPr>
        <w:t>20</w:t>
      </w:r>
      <w:r w:rsidRPr="002264F9">
        <w:rPr>
          <w:rFonts w:ascii="Times New Roman" w:hAnsi="Times New Roman"/>
          <w:sz w:val="24"/>
          <w:szCs w:val="24"/>
        </w:rPr>
        <w:t>% od ukupno  prihvatljivih izdataka.</w:t>
      </w:r>
      <w:bookmarkEnd w:id="0"/>
    </w:p>
    <w:p w14:paraId="2CD8EFCF" w14:textId="227C1993" w:rsidR="00A64959" w:rsidRDefault="003D5470" w:rsidP="0044120D">
      <w:pPr>
        <w:tabs>
          <w:tab w:val="left" w:pos="567"/>
        </w:tabs>
        <w:spacing w:after="0" w:line="240" w:lineRule="auto"/>
        <w:ind w:left="567" w:hanging="567"/>
        <w:jc w:val="both"/>
        <w:outlineLvl w:val="0"/>
        <w:rPr>
          <w:rFonts w:ascii="Times New Roman" w:hAnsi="Times New Roman"/>
          <w:sz w:val="24"/>
          <w:szCs w:val="24"/>
        </w:rPr>
      </w:pPr>
      <w:r w:rsidRPr="002264F9">
        <w:rPr>
          <w:rFonts w:ascii="Times New Roman" w:hAnsi="Times New Roman"/>
          <w:sz w:val="24"/>
          <w:szCs w:val="24"/>
        </w:rPr>
        <w:t>3.</w:t>
      </w:r>
      <w:r w:rsidR="00BC5CE1" w:rsidRPr="002264F9">
        <w:rPr>
          <w:rFonts w:ascii="Times New Roman" w:hAnsi="Times New Roman"/>
          <w:sz w:val="24"/>
          <w:szCs w:val="24"/>
        </w:rPr>
        <w:t>6</w:t>
      </w:r>
      <w:r w:rsidR="00A64959" w:rsidRPr="002264F9">
        <w:rPr>
          <w:rFonts w:ascii="Times New Roman" w:hAnsi="Times New Roman"/>
          <w:sz w:val="24"/>
          <w:szCs w:val="24"/>
        </w:rPr>
        <w:t xml:space="preserve"> </w:t>
      </w:r>
      <w:r w:rsidR="00A64959" w:rsidRPr="002264F9">
        <w:rPr>
          <w:rFonts w:ascii="Times New Roman" w:hAnsi="Times New Roman"/>
          <w:sz w:val="24"/>
          <w:szCs w:val="24"/>
        </w:rPr>
        <w:tab/>
        <w:t>Ako Korisnik ne postupa u skladu</w:t>
      </w:r>
      <w:r w:rsidR="00A64959" w:rsidRPr="00020E6F">
        <w:rPr>
          <w:rFonts w:ascii="Times New Roman" w:hAnsi="Times New Roman"/>
          <w:sz w:val="24"/>
          <w:szCs w:val="24"/>
        </w:rPr>
        <w:t xml:space="preserve"> s odlukom PT-a 1 kojom je naložen povrat sredstava, i/ili je bankovni račun Korisnika blokiran zbog prisilne naplate potraživanja ili drugih razloga, u odnosu na Korisnika obustavljaju se daljnje isplate iz točke 3</w:t>
      </w:r>
      <w:r w:rsidR="008B70BC" w:rsidRPr="00020E6F">
        <w:rPr>
          <w:rFonts w:ascii="Times New Roman" w:hAnsi="Times New Roman"/>
          <w:sz w:val="24"/>
          <w:szCs w:val="24"/>
        </w:rPr>
        <w:t xml:space="preserve">.3. ovog članka, koje vrši PT1 </w:t>
      </w:r>
      <w:r w:rsidR="00A64959" w:rsidRPr="00020E6F">
        <w:rPr>
          <w:rFonts w:ascii="Times New Roman" w:hAnsi="Times New Roman"/>
          <w:sz w:val="24"/>
          <w:szCs w:val="24"/>
        </w:rPr>
        <w:t xml:space="preserve">ili se po odluci PT-a 1 iznos koji je Korisnik trebao vratiti odbija od iznosa daljnjih plaćanja.  </w:t>
      </w:r>
    </w:p>
    <w:p w14:paraId="71ADE9D5" w14:textId="7B408EE2" w:rsidR="003D5470" w:rsidRPr="00D233A4" w:rsidRDefault="003D5470" w:rsidP="003D5470">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3.</w:t>
      </w:r>
      <w:r w:rsidR="00BC5CE1">
        <w:rPr>
          <w:rFonts w:ascii="Times New Roman" w:hAnsi="Times New Roman"/>
          <w:sz w:val="24"/>
          <w:szCs w:val="24"/>
        </w:rPr>
        <w:t>7</w:t>
      </w:r>
      <w:r>
        <w:rPr>
          <w:rFonts w:ascii="Times New Roman" w:hAnsi="Times New Roman"/>
          <w:sz w:val="24"/>
          <w:szCs w:val="24"/>
        </w:rPr>
        <w:t xml:space="preserve"> </w:t>
      </w:r>
      <w:r w:rsidRPr="00D233A4">
        <w:rPr>
          <w:rFonts w:ascii="Times New Roman" w:hAnsi="Times New Roman"/>
          <w:sz w:val="24"/>
          <w:szCs w:val="24"/>
        </w:rPr>
        <w:t>Korisnik može potraživati troškove po metodi nadoknade, metodi plaćanja ili kombinacijom navedenih metoda, a u skladu s člankom 15.2 Općih uvjeta Ugovora.</w:t>
      </w:r>
    </w:p>
    <w:p w14:paraId="37F079A7" w14:textId="77777777" w:rsidR="003D5470" w:rsidRPr="00D233A4" w:rsidRDefault="003D5470" w:rsidP="003D5470">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ab/>
        <w:t xml:space="preserve">Korisnik Zahtjev za nadoknadom sredstava podnosi najmanje 1 (jednom) svaka 3 (tri) mjeseca. Korisnik može Zahtjev za nadoknadom sredstava podnijeti i češće, pri čemu vremenski razmak između pojedinih Zahtjeva ne smije biti duži od 3 mjeseca. </w:t>
      </w:r>
    </w:p>
    <w:p w14:paraId="1F77DD74" w14:textId="77777777" w:rsidR="003D5470" w:rsidRPr="00D233A4" w:rsidRDefault="003D5470" w:rsidP="003D5470">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ab/>
        <w:t xml:space="preserve">Korisnik se obvezuje podnijeti Zahtjev za nadoknadom sredstava na važećem obrascu i uz popratnu dokumentaciju koja je u skladu s primjenjivim računovodstvenim standardima te u skladu s uobičajenom računovodstvenom praksom. </w:t>
      </w:r>
    </w:p>
    <w:p w14:paraId="54776030" w14:textId="77777777" w:rsidR="003D5470" w:rsidRPr="00D233A4" w:rsidRDefault="003D5470" w:rsidP="003D5470">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 xml:space="preserve">         U slučaju retroaktivnog potraživanja sredstava (ako razdoblje provedbe i razdoblje prihvatljivosti počinje prije početka primjene Ugovora), prvi Zahtjev za nadoknadom sredstava korisnik može dostaviti danom stupanja Ugovora na snagu ili najkasnije nakon isteka prva tri mjeseca od datuma potpisivanja Ugovora.</w:t>
      </w:r>
    </w:p>
    <w:p w14:paraId="02B2025C" w14:textId="77777777" w:rsidR="003D5470" w:rsidRPr="00D233A4" w:rsidRDefault="003D5470" w:rsidP="003D5470">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lastRenderedPageBreak/>
        <w:tab/>
        <w:t>U slučaju troškova koji se potražuju po metodi nadoknade, izdaci moraju biti plaćeni najkasnije do datuma podnošenja Završnog izvještaja, a u slučaju metode plaćanja u skladu s odredbama Općih uvjeta Ugovora.</w:t>
      </w:r>
    </w:p>
    <w:p w14:paraId="1A945C9B" w14:textId="76B67B0B" w:rsidR="003D5470" w:rsidRPr="00020E6F" w:rsidRDefault="003D5470" w:rsidP="003D5470">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3.</w:t>
      </w:r>
      <w:r w:rsidR="00BC5CE1">
        <w:rPr>
          <w:rFonts w:ascii="Times New Roman" w:hAnsi="Times New Roman"/>
          <w:sz w:val="24"/>
          <w:szCs w:val="24"/>
        </w:rPr>
        <w:t>8</w:t>
      </w:r>
      <w:r>
        <w:rPr>
          <w:rFonts w:ascii="Times New Roman" w:hAnsi="Times New Roman"/>
          <w:sz w:val="24"/>
          <w:szCs w:val="24"/>
        </w:rPr>
        <w:t xml:space="preserve"> </w:t>
      </w:r>
      <w:r w:rsidRPr="00D233A4">
        <w:rPr>
          <w:rFonts w:ascii="Times New Roman" w:hAnsi="Times New Roman"/>
          <w:sz w:val="24"/>
          <w:szCs w:val="24"/>
        </w:rPr>
        <w:t xml:space="preserve"> Iznosi u ovom Ugovoru izraženi su u sukladno iznosima iz Odluke o financiranju Projekta KLASA: ______________, URBROJ: ____________ od ___________ godine.</w:t>
      </w:r>
    </w:p>
    <w:p w14:paraId="1FCC0A25" w14:textId="77777777" w:rsidR="003D5470" w:rsidRPr="00020E6F" w:rsidRDefault="003D5470" w:rsidP="0044120D">
      <w:pPr>
        <w:tabs>
          <w:tab w:val="left" w:pos="567"/>
        </w:tabs>
        <w:spacing w:after="0" w:line="240" w:lineRule="auto"/>
        <w:ind w:left="567" w:hanging="567"/>
        <w:jc w:val="both"/>
        <w:outlineLvl w:val="0"/>
        <w:rPr>
          <w:rFonts w:ascii="Times New Roman" w:hAnsi="Times New Roman"/>
          <w:sz w:val="24"/>
          <w:szCs w:val="24"/>
        </w:rPr>
      </w:pPr>
    </w:p>
    <w:p w14:paraId="1974A1C8" w14:textId="77777777" w:rsidR="00A64959" w:rsidRPr="00020E6F" w:rsidRDefault="00A64959" w:rsidP="0044120D">
      <w:pPr>
        <w:tabs>
          <w:tab w:val="left" w:pos="567"/>
        </w:tabs>
        <w:spacing w:after="0" w:line="240" w:lineRule="auto"/>
        <w:jc w:val="both"/>
        <w:outlineLvl w:val="0"/>
        <w:rPr>
          <w:rFonts w:ascii="Times New Roman" w:hAnsi="Times New Roman"/>
          <w:sz w:val="24"/>
          <w:szCs w:val="24"/>
        </w:rPr>
      </w:pPr>
    </w:p>
    <w:p w14:paraId="2A6F375F"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4. Trajnost projekta</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19D9FB0E"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Ograničenja opisana u članku 8. Općih uvjeta Ugovora primjenjuju se </w:t>
      </w:r>
      <w:r w:rsidR="003D5470" w:rsidRPr="003D5470">
        <w:rPr>
          <w:rFonts w:ascii="Times New Roman" w:hAnsi="Times New Roman"/>
          <w:sz w:val="24"/>
          <w:szCs w:val="24"/>
        </w:rPr>
        <w:t>5 (pet)</w:t>
      </w:r>
      <w:r w:rsidRPr="00020E6F">
        <w:rPr>
          <w:rFonts w:ascii="Times New Roman" w:hAnsi="Times New Roman"/>
          <w:sz w:val="24"/>
          <w:szCs w:val="24"/>
        </w:rPr>
        <w:t xml:space="preserve"> godina nakon </w:t>
      </w:r>
      <w:r w:rsidR="000A73B0" w:rsidRPr="00020E6F">
        <w:rPr>
          <w:rFonts w:ascii="Times New Roman" w:hAnsi="Times New Roman"/>
          <w:sz w:val="24"/>
          <w:szCs w:val="24"/>
        </w:rPr>
        <w:t>završnog plaćanja korisniku</w:t>
      </w:r>
      <w:r w:rsidR="00E57C6B" w:rsidRPr="00020E6F">
        <w:rPr>
          <w:rFonts w:ascii="Times New Roman" w:hAnsi="Times New Roman"/>
          <w:sz w:val="24"/>
          <w:szCs w:val="24"/>
        </w:rPr>
        <w:t>.</w:t>
      </w:r>
    </w:p>
    <w:p w14:paraId="487A2609" w14:textId="77777777" w:rsidR="003C07A7" w:rsidRPr="00020E6F" w:rsidRDefault="003C07A7" w:rsidP="0044120D">
      <w:pPr>
        <w:tabs>
          <w:tab w:val="left" w:pos="567"/>
        </w:tabs>
        <w:spacing w:after="0" w:line="240" w:lineRule="auto"/>
        <w:jc w:val="both"/>
        <w:outlineLvl w:val="0"/>
        <w:rPr>
          <w:rFonts w:ascii="Times New Roman" w:hAnsi="Times New Roman"/>
          <w:sz w:val="24"/>
          <w:szCs w:val="24"/>
        </w:rPr>
      </w:pPr>
    </w:p>
    <w:p w14:paraId="4F4169B7"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5. – Partneri</w:t>
      </w:r>
    </w:p>
    <w:p w14:paraId="1B816986"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B9FD90"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w:t>
      </w:r>
      <w:r w:rsidRPr="00020E6F">
        <w:rPr>
          <w:rFonts w:ascii="Times New Roman" w:hAnsi="Times New Roman"/>
          <w:sz w:val="24"/>
          <w:szCs w:val="24"/>
        </w:rPr>
        <w:tab/>
        <w:t xml:space="preserve">Projekt će provesti Korisnik i sljedeći partneri: </w:t>
      </w:r>
    </w:p>
    <w:p w14:paraId="50416CE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5.1.1. &lt;</w:t>
      </w:r>
      <w:r w:rsidRPr="00020E6F">
        <w:rPr>
          <w:rFonts w:ascii="Times New Roman" w:hAnsi="Times New Roman"/>
          <w:i/>
          <w:sz w:val="24"/>
          <w:szCs w:val="24"/>
        </w:rPr>
        <w:t>Navesti puno ime/ naziv partnera i njegov OIB</w:t>
      </w:r>
      <w:r w:rsidRPr="00020E6F">
        <w:rPr>
          <w:rFonts w:ascii="Times New Roman" w:hAnsi="Times New Roman"/>
          <w:sz w:val="24"/>
          <w:szCs w:val="24"/>
        </w:rPr>
        <w:t xml:space="preserve"> &gt;;</w:t>
      </w:r>
    </w:p>
    <w:p w14:paraId="11120F0C" w14:textId="77777777" w:rsidR="003C07A7" w:rsidRPr="00020E6F"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8FADF5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6. – Neprihvatljivi izdaci</w:t>
      </w:r>
    </w:p>
    <w:p w14:paraId="68952701"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Troškovi koji se odnose aktivnosti u luci koje nemaju veze s prijevozom, uključujući pogone industrijske proizvodnje aktivne u luci, urede ili prodavaonice, te troškovi nadgradnje luka u dijelu koji nije vezan u javni linijski obalni prijevoz</w:t>
      </w:r>
    </w:p>
    <w:p w14:paraId="3D064056" w14:textId="519B5A71" w:rsidR="003D5470" w:rsidRPr="002264F9" w:rsidRDefault="003D5470" w:rsidP="002264F9">
      <w:pPr>
        <w:pStyle w:val="ListParagraph"/>
        <w:numPr>
          <w:ilvl w:val="0"/>
          <w:numId w:val="6"/>
        </w:numPr>
        <w:rPr>
          <w:rFonts w:ascii="Times New Roman" w:hAnsi="Times New Roman"/>
          <w:sz w:val="24"/>
          <w:szCs w:val="24"/>
        </w:rPr>
      </w:pPr>
      <w:r w:rsidRPr="008C7412">
        <w:rPr>
          <w:rFonts w:ascii="Times New Roman" w:hAnsi="Times New Roman"/>
          <w:sz w:val="24"/>
          <w:szCs w:val="24"/>
        </w:rPr>
        <w:t xml:space="preserve">Troškovi </w:t>
      </w:r>
      <w:r w:rsidR="008C7412">
        <w:rPr>
          <w:rFonts w:ascii="Times New Roman" w:hAnsi="Times New Roman"/>
          <w:sz w:val="24"/>
          <w:szCs w:val="24"/>
        </w:rPr>
        <w:t>j</w:t>
      </w:r>
      <w:r w:rsidR="008C7412" w:rsidRPr="008C7412">
        <w:rPr>
          <w:rFonts w:ascii="Times New Roman" w:hAnsi="Times New Roman"/>
          <w:sz w:val="24"/>
          <w:szCs w:val="24"/>
        </w:rPr>
        <w:t>aružanj</w:t>
      </w:r>
      <w:r w:rsidR="008C7412">
        <w:rPr>
          <w:rFonts w:ascii="Times New Roman" w:hAnsi="Times New Roman"/>
          <w:sz w:val="24"/>
          <w:szCs w:val="24"/>
        </w:rPr>
        <w:t>a</w:t>
      </w:r>
      <w:r w:rsidR="008C7412" w:rsidRPr="008C7412">
        <w:rPr>
          <w:rFonts w:ascii="Times New Roman" w:hAnsi="Times New Roman"/>
          <w:sz w:val="24"/>
          <w:szCs w:val="24"/>
        </w:rPr>
        <w:t xml:space="preserve"> koje se smatra operativnim troškom</w:t>
      </w:r>
    </w:p>
    <w:p w14:paraId="33DEEE19"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PDV,  izuzev PDV-a za koji Korisnik nema pravo ostvariti odbitak.</w:t>
      </w:r>
    </w:p>
    <w:p w14:paraId="0A60FA2B"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kamate na dug</w:t>
      </w:r>
    </w:p>
    <w:p w14:paraId="456A093B"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izdatak povezan s trgovačkim društvima u poteškoćama, u skladu s definicijom pravila Europske unije o državnim potporama</w:t>
      </w:r>
    </w:p>
    <w:p w14:paraId="0FF0EC76"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kupnja korištene opreme</w:t>
      </w:r>
    </w:p>
    <w:p w14:paraId="28AC1E0C" w14:textId="4FE98E38"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 xml:space="preserve">kupnja vozila </w:t>
      </w:r>
    </w:p>
    <w:p w14:paraId="6E096828"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otpremnine, doprinosi za dobrovoljna zdravstvena ili mirovinska osiguranja koja nisu obvezna prema nacionalnom zakonodavstvu te neoporezivi bonusi za zaposlene</w:t>
      </w:r>
    </w:p>
    <w:p w14:paraId="79EDB067"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kazne, financijske globe i troškovi sudskog spora</w:t>
      </w:r>
    </w:p>
    <w:p w14:paraId="2E955296"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 xml:space="preserve">operativni troškovi, izuzev troškova upravljanja projektom </w:t>
      </w:r>
    </w:p>
    <w:p w14:paraId="318DFF03"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gubici zbog fluktuacija valutnih tečaja i provizija na valutni tečaj</w:t>
      </w:r>
    </w:p>
    <w:p w14:paraId="2F7CEA9C"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plaćanja bonusa zaposlenima</w:t>
      </w:r>
    </w:p>
    <w:p w14:paraId="66413850"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doprinosi u naravi u obliku izvršavanja radova ili osiguravanja robe, usluga, zemljišta i nekretnina za koje nije izvršeno plaćanje potkrijepljeno dokumentima odgovarajuće dokazne vrijednosti;</w:t>
      </w:r>
    </w:p>
    <w:p w14:paraId="6F1A4680" w14:textId="77777777" w:rsidR="003D5470"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bankovni troškovi za otvaranje i vođenje računa, naknade za financijske transfere i drugi troškovi u potpunosti financijske prirode</w:t>
      </w:r>
    </w:p>
    <w:p w14:paraId="0D9CB206" w14:textId="77777777" w:rsidR="00C20F88" w:rsidRPr="00C20F88" w:rsidRDefault="00C20F88" w:rsidP="00C20F88">
      <w:pPr>
        <w:pStyle w:val="ListParagraph"/>
        <w:numPr>
          <w:ilvl w:val="0"/>
          <w:numId w:val="6"/>
        </w:numPr>
        <w:rPr>
          <w:rFonts w:ascii="Times New Roman" w:hAnsi="Times New Roman"/>
          <w:sz w:val="24"/>
          <w:szCs w:val="24"/>
        </w:rPr>
      </w:pPr>
      <w:r w:rsidRPr="00C20F88">
        <w:rPr>
          <w:rFonts w:ascii="Times New Roman" w:hAnsi="Times New Roman"/>
          <w:sz w:val="24"/>
          <w:szCs w:val="24"/>
        </w:rPr>
        <w:lastRenderedPageBreak/>
        <w:t>troškovi povezani s uslugom revizije projekta, koju nabavlja Korisnik od neovisnih vanjskih revizora, ako ukupno prihvatljivi troškovi projekta navedeni u odredbama Posebnih uvjeta Ugovora ne premašuju 1.500.000,00 HRK.</w:t>
      </w:r>
    </w:p>
    <w:p w14:paraId="180136E2" w14:textId="77777777" w:rsidR="003D5470" w:rsidRPr="00201F4C"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izdaci jamstava za pred-financiranje koja izdaje banka ili druga financijska institucija</w:t>
      </w:r>
    </w:p>
    <w:p w14:paraId="01A32DDC" w14:textId="77777777" w:rsidR="003D5470" w:rsidRDefault="003D5470" w:rsidP="003D5470">
      <w:pPr>
        <w:pStyle w:val="ListParagraph"/>
        <w:numPr>
          <w:ilvl w:val="0"/>
          <w:numId w:val="6"/>
        </w:numPr>
        <w:jc w:val="both"/>
        <w:rPr>
          <w:rFonts w:ascii="Times New Roman" w:hAnsi="Times New Roman"/>
          <w:sz w:val="24"/>
          <w:szCs w:val="24"/>
        </w:rPr>
      </w:pPr>
      <w:r w:rsidRPr="00201F4C">
        <w:rPr>
          <w:rFonts w:ascii="Times New Roman" w:hAnsi="Times New Roman"/>
          <w:sz w:val="24"/>
          <w:szCs w:val="24"/>
        </w:rPr>
        <w:t>ostali neprihvatljivi troškovi definirani Pravilnikom o prihvatljivosti izdataka (NN br. 143/2014).</w:t>
      </w:r>
    </w:p>
    <w:p w14:paraId="4D8FDD2B" w14:textId="77777777" w:rsidR="00B2702F" w:rsidRPr="00201F4C" w:rsidRDefault="00B2702F" w:rsidP="002264F9">
      <w:pPr>
        <w:pStyle w:val="ListParagraph"/>
        <w:jc w:val="both"/>
        <w:rPr>
          <w:rFonts w:ascii="Times New Roman" w:hAnsi="Times New Roman"/>
          <w:sz w:val="24"/>
          <w:szCs w:val="24"/>
        </w:rPr>
      </w:pPr>
    </w:p>
    <w:p w14:paraId="3B7A7CDF"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6515380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7. – Mjere osiguravanja javnosti i vidljivosti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247A0520" w14:textId="77777777" w:rsidR="003D5470" w:rsidRDefault="003D5470" w:rsidP="003D5470">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7.1.</w:t>
      </w:r>
      <w:r w:rsidRPr="00020E6F">
        <w:rPr>
          <w:rFonts w:ascii="Times New Roman" w:hAnsi="Times New Roman"/>
          <w:sz w:val="24"/>
          <w:szCs w:val="24"/>
        </w:rPr>
        <w:tab/>
        <w:t xml:space="preserve">Na zahtjev PT-a 1 i PT-a 2 Korisnik se obvezuje provoditi i/ili sudjelovati u oglašavanju i mjerama osiguravanja javnosti i vidljivosti, povrh onih koje su opisane u Prilogu I ovih Posebnih uvjeta. </w:t>
      </w:r>
    </w:p>
    <w:p w14:paraId="78236155" w14:textId="77777777" w:rsidR="003D5470" w:rsidRPr="00F226B7" w:rsidRDefault="003D5470" w:rsidP="003D5470">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 xml:space="preserve">7.2.  </w:t>
      </w:r>
      <w:r w:rsidRPr="00F226B7">
        <w:rPr>
          <w:rFonts w:ascii="Times New Roman" w:hAnsi="Times New Roman"/>
          <w:sz w:val="24"/>
          <w:szCs w:val="24"/>
        </w:rPr>
        <w:t>Prilikom provođenja obveza u skladu s člankom 7. Općih uvjeta iz Priloga II. ovog Ugovora (Javnost i vidljivost), Korisnik je obvezan primjenjivati pravila opisana u Uputama za korisnike sredstava – informiranje i vidljivost projekata financiranih iz ESI fondova 2014.-2020. koja su objavljena na stranici:</w:t>
      </w:r>
    </w:p>
    <w:p w14:paraId="0059E960" w14:textId="77777777" w:rsidR="003D5470" w:rsidRPr="00020E6F" w:rsidRDefault="003D5470" w:rsidP="003D5470">
      <w:pPr>
        <w:tabs>
          <w:tab w:val="left" w:pos="567"/>
        </w:tabs>
        <w:spacing w:after="0" w:line="240" w:lineRule="auto"/>
        <w:ind w:left="567" w:hanging="567"/>
        <w:jc w:val="both"/>
        <w:outlineLvl w:val="0"/>
        <w:rPr>
          <w:rFonts w:ascii="Times New Roman" w:hAnsi="Times New Roman"/>
          <w:sz w:val="24"/>
          <w:szCs w:val="24"/>
        </w:rPr>
      </w:pPr>
      <w:r w:rsidRPr="00F226B7">
        <w:rPr>
          <w:rFonts w:ascii="Times New Roman" w:hAnsi="Times New Roman"/>
          <w:sz w:val="24"/>
          <w:szCs w:val="24"/>
        </w:rPr>
        <w:tab/>
        <w:t>http://www.strukturnifondovi.hr/vazni-dokumenti</w:t>
      </w:r>
    </w:p>
    <w:p w14:paraId="0EC46CE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20924F5B"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8. –  Upravljanje projektnom imovinom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7606738" w14:textId="5F24B729" w:rsidR="00A64959" w:rsidRPr="00020E6F" w:rsidRDefault="003D5470" w:rsidP="003D5470">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8.1.</w:t>
      </w:r>
      <w:r w:rsidRPr="00020E6F">
        <w:rPr>
          <w:rFonts w:ascii="Times New Roman" w:hAnsi="Times New Roman"/>
          <w:sz w:val="24"/>
          <w:szCs w:val="24"/>
        </w:rPr>
        <w:tab/>
        <w:t xml:space="preserve">Imovina koja je stečena u Projektu mora se koristiti u skladu s opisom Projekta sadržanim u Prilogu I ovih Posebnih uvjeta. </w:t>
      </w:r>
    </w:p>
    <w:p w14:paraId="5864A55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2828A858"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9. – Ostali uvjeti</w:t>
      </w:r>
    </w:p>
    <w:p w14:paraId="3ACEFD5A" w14:textId="77777777" w:rsidR="00A64959" w:rsidRPr="00020E6F" w:rsidRDefault="00A64959" w:rsidP="0044120D">
      <w:pPr>
        <w:spacing w:after="0" w:line="240" w:lineRule="auto"/>
        <w:jc w:val="both"/>
        <w:rPr>
          <w:rFonts w:ascii="Times New Roman" w:hAnsi="Times New Roman"/>
          <w:sz w:val="24"/>
          <w:szCs w:val="24"/>
        </w:rPr>
      </w:pPr>
    </w:p>
    <w:p w14:paraId="0222EF56" w14:textId="77777777" w:rsidR="003D5470" w:rsidRPr="000702DF" w:rsidRDefault="003D5470" w:rsidP="003D5470">
      <w:pPr>
        <w:spacing w:after="0" w:line="240" w:lineRule="auto"/>
        <w:jc w:val="both"/>
        <w:rPr>
          <w:rFonts w:ascii="Times New Roman" w:hAnsi="Times New Roman"/>
          <w:sz w:val="24"/>
          <w:szCs w:val="24"/>
        </w:rPr>
      </w:pPr>
      <w:r>
        <w:rPr>
          <w:rFonts w:ascii="Times New Roman" w:hAnsi="Times New Roman"/>
          <w:sz w:val="24"/>
          <w:szCs w:val="24"/>
        </w:rPr>
        <w:t>9</w:t>
      </w:r>
      <w:r w:rsidRPr="000702DF">
        <w:rPr>
          <w:rFonts w:ascii="Times New Roman" w:hAnsi="Times New Roman"/>
          <w:sz w:val="24"/>
          <w:szCs w:val="24"/>
        </w:rPr>
        <w:t>.1. Korisnik se obvezuje provoditi i osigurati provedbu Projekta u skladu sa cjelokupnom pravnom stečevinom Europske unije i nacionalnom regulativom, a posebno sljedećom regulativom:</w:t>
      </w:r>
    </w:p>
    <w:p w14:paraId="114469DF" w14:textId="77777777" w:rsidR="003D5470" w:rsidRPr="000702DF" w:rsidRDefault="003D5470" w:rsidP="003D5470">
      <w:pPr>
        <w:numPr>
          <w:ilvl w:val="0"/>
          <w:numId w:val="7"/>
        </w:numPr>
        <w:spacing w:after="0" w:line="240" w:lineRule="auto"/>
        <w:jc w:val="both"/>
        <w:rPr>
          <w:rFonts w:ascii="Times New Roman" w:hAnsi="Times New Roman"/>
          <w:sz w:val="24"/>
          <w:szCs w:val="24"/>
        </w:rPr>
      </w:pPr>
      <w:r w:rsidRPr="000702DF">
        <w:rPr>
          <w:rFonts w:ascii="Times New Roman" w:hAnsi="Times New Roman"/>
          <w:sz w:val="24"/>
          <w:szCs w:val="24"/>
        </w:rPr>
        <w:t>Propisima Europske unije kojima je regulirano sufinanciranje projekata iz strukturnih fondova i Kohezijskog fonda EU;</w:t>
      </w:r>
    </w:p>
    <w:p w14:paraId="089E4943" w14:textId="77777777" w:rsidR="003D5470" w:rsidRDefault="003D5470" w:rsidP="003D5470">
      <w:pPr>
        <w:numPr>
          <w:ilvl w:val="0"/>
          <w:numId w:val="7"/>
        </w:numPr>
        <w:spacing w:after="0" w:line="240" w:lineRule="auto"/>
        <w:jc w:val="both"/>
        <w:rPr>
          <w:rFonts w:ascii="Times New Roman" w:hAnsi="Times New Roman"/>
          <w:sz w:val="24"/>
          <w:szCs w:val="24"/>
        </w:rPr>
      </w:pPr>
      <w:r w:rsidRPr="000702DF">
        <w:rPr>
          <w:rFonts w:ascii="Times New Roman" w:hAnsi="Times New Roman"/>
          <w:sz w:val="24"/>
          <w:szCs w:val="24"/>
        </w:rPr>
        <w:t>Pravnom stečevinom Europske unije vezanom uz javnu nabavu i državne potpore.</w:t>
      </w:r>
    </w:p>
    <w:p w14:paraId="1636FC4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677FAB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10. – Adrese za kontakt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F0A779E" w14:textId="77777777" w:rsidR="003D5470" w:rsidRPr="00020E6F" w:rsidRDefault="003D5470" w:rsidP="003D5470">
      <w:pPr>
        <w:spacing w:after="0" w:line="240" w:lineRule="auto"/>
        <w:jc w:val="both"/>
        <w:rPr>
          <w:rFonts w:ascii="Times New Roman" w:hAnsi="Times New Roman"/>
          <w:sz w:val="24"/>
          <w:szCs w:val="24"/>
        </w:rPr>
      </w:pPr>
      <w:r w:rsidRPr="00020E6F">
        <w:rPr>
          <w:rFonts w:ascii="Times New Roman" w:hAnsi="Times New Roman"/>
          <w:sz w:val="24"/>
          <w:szCs w:val="24"/>
        </w:rPr>
        <w:t xml:space="preserve">10.1. U svakom obliku komunikacije koji je povezan s ovim Ugovorom važno je navesti referentni broj Ugovora te ga poslati na sljedeće adrese: </w:t>
      </w:r>
    </w:p>
    <w:p w14:paraId="2F9BCD2E" w14:textId="77777777" w:rsidR="003D5470" w:rsidRPr="00020E6F" w:rsidRDefault="003D5470" w:rsidP="003D5470">
      <w:pPr>
        <w:spacing w:after="0" w:line="240" w:lineRule="auto"/>
        <w:jc w:val="both"/>
        <w:rPr>
          <w:rFonts w:ascii="Times New Roman" w:hAnsi="Times New Roman"/>
          <w:sz w:val="24"/>
          <w:szCs w:val="24"/>
        </w:rPr>
      </w:pPr>
    </w:p>
    <w:p w14:paraId="071B1CF4" w14:textId="77777777" w:rsidR="003D5470" w:rsidRDefault="003D5470" w:rsidP="003D5470">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PT1</w:t>
      </w:r>
    </w:p>
    <w:p w14:paraId="36327BCE" w14:textId="77777777" w:rsidR="003D5470" w:rsidRPr="00020E6F" w:rsidRDefault="003D5470" w:rsidP="003D5470">
      <w:pPr>
        <w:spacing w:after="0" w:line="240" w:lineRule="auto"/>
        <w:ind w:left="567"/>
        <w:jc w:val="both"/>
        <w:outlineLvl w:val="0"/>
        <w:rPr>
          <w:rFonts w:ascii="Times New Roman" w:hAnsi="Times New Roman"/>
          <w:sz w:val="24"/>
          <w:szCs w:val="24"/>
          <w:u w:val="single"/>
        </w:rPr>
      </w:pPr>
    </w:p>
    <w:p w14:paraId="49C46C65" w14:textId="77777777" w:rsidR="003D5470" w:rsidRPr="00792F66" w:rsidRDefault="003D5470" w:rsidP="003D5470">
      <w:pPr>
        <w:spacing w:after="0" w:line="240" w:lineRule="auto"/>
        <w:ind w:left="567"/>
        <w:jc w:val="both"/>
        <w:rPr>
          <w:rFonts w:ascii="Times New Roman" w:hAnsi="Times New Roman"/>
          <w:sz w:val="24"/>
          <w:szCs w:val="24"/>
        </w:rPr>
      </w:pPr>
      <w:r w:rsidRPr="00792F66">
        <w:rPr>
          <w:rFonts w:ascii="Times New Roman" w:hAnsi="Times New Roman"/>
          <w:sz w:val="24"/>
          <w:szCs w:val="24"/>
        </w:rPr>
        <w:t xml:space="preserve">Ministarstvo mora, prometa i infrastrukture </w:t>
      </w:r>
    </w:p>
    <w:p w14:paraId="0F7F4160" w14:textId="77777777" w:rsidR="003D5470" w:rsidRPr="00792F66" w:rsidRDefault="003D5470" w:rsidP="003D5470">
      <w:pPr>
        <w:spacing w:after="0" w:line="240" w:lineRule="auto"/>
        <w:ind w:left="567"/>
        <w:jc w:val="both"/>
        <w:rPr>
          <w:rFonts w:ascii="Times New Roman" w:hAnsi="Times New Roman"/>
          <w:sz w:val="24"/>
          <w:szCs w:val="24"/>
        </w:rPr>
      </w:pPr>
      <w:r>
        <w:rPr>
          <w:rFonts w:ascii="Times New Roman" w:hAnsi="Times New Roman"/>
          <w:sz w:val="24"/>
          <w:szCs w:val="24"/>
        </w:rPr>
        <w:t>Uprava za strateško planiranje i EU fondove</w:t>
      </w:r>
    </w:p>
    <w:p w14:paraId="1FFBBBD2" w14:textId="77777777" w:rsidR="003D5470" w:rsidRDefault="003D5470" w:rsidP="003D5470">
      <w:pPr>
        <w:spacing w:after="0" w:line="240" w:lineRule="auto"/>
        <w:ind w:left="567"/>
        <w:jc w:val="both"/>
        <w:rPr>
          <w:rFonts w:ascii="Times New Roman" w:hAnsi="Times New Roman"/>
          <w:sz w:val="24"/>
          <w:szCs w:val="24"/>
        </w:rPr>
      </w:pPr>
      <w:r w:rsidRPr="00792F66">
        <w:rPr>
          <w:rFonts w:ascii="Times New Roman" w:hAnsi="Times New Roman"/>
          <w:sz w:val="24"/>
          <w:szCs w:val="24"/>
        </w:rPr>
        <w:t>Prisavlje 14, 10000 Zagreb</w:t>
      </w:r>
    </w:p>
    <w:p w14:paraId="176126C2" w14:textId="77777777" w:rsidR="003D5470" w:rsidRDefault="003D5470" w:rsidP="003D5470">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PT1 pisanim putem dostavlja Korisniku o podatke o osobi i adresi elektronske pošte za kontakt.  </w:t>
      </w:r>
    </w:p>
    <w:p w14:paraId="05188E30" w14:textId="77777777" w:rsidR="003D5470" w:rsidRPr="00020E6F" w:rsidRDefault="003D5470" w:rsidP="003D5470">
      <w:pPr>
        <w:spacing w:after="0" w:line="240" w:lineRule="auto"/>
        <w:ind w:left="567"/>
        <w:jc w:val="both"/>
        <w:rPr>
          <w:rFonts w:ascii="Times New Roman" w:hAnsi="Times New Roman"/>
          <w:b/>
          <w:sz w:val="24"/>
          <w:szCs w:val="24"/>
        </w:rPr>
      </w:pPr>
    </w:p>
    <w:p w14:paraId="1A137346" w14:textId="77777777" w:rsidR="003D5470" w:rsidRPr="00020E6F" w:rsidRDefault="003D5470" w:rsidP="003D5470">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PT2</w:t>
      </w:r>
    </w:p>
    <w:p w14:paraId="773A01DE" w14:textId="77777777" w:rsidR="003D5470" w:rsidRPr="00020E6F" w:rsidRDefault="003D5470" w:rsidP="003D5470">
      <w:pPr>
        <w:spacing w:after="0" w:line="240" w:lineRule="auto"/>
        <w:ind w:left="567"/>
        <w:jc w:val="both"/>
        <w:outlineLvl w:val="0"/>
        <w:rPr>
          <w:rFonts w:ascii="Times New Roman" w:hAnsi="Times New Roman"/>
          <w:sz w:val="24"/>
          <w:szCs w:val="24"/>
          <w:u w:val="single"/>
        </w:rPr>
      </w:pPr>
    </w:p>
    <w:p w14:paraId="07669FC2" w14:textId="77777777" w:rsidR="003D5470" w:rsidRPr="00B92D44" w:rsidRDefault="003D5470" w:rsidP="003D5470">
      <w:pPr>
        <w:spacing w:after="0" w:line="240" w:lineRule="auto"/>
        <w:ind w:left="567"/>
        <w:jc w:val="both"/>
        <w:rPr>
          <w:rFonts w:ascii="Times New Roman" w:hAnsi="Times New Roman"/>
          <w:sz w:val="24"/>
          <w:szCs w:val="24"/>
        </w:rPr>
      </w:pPr>
      <w:r w:rsidRPr="00B92D44">
        <w:rPr>
          <w:rFonts w:ascii="Times New Roman" w:hAnsi="Times New Roman"/>
          <w:sz w:val="24"/>
          <w:szCs w:val="24"/>
        </w:rPr>
        <w:t xml:space="preserve">Središnja agencija za financiranje i </w:t>
      </w:r>
    </w:p>
    <w:p w14:paraId="070B7D91" w14:textId="77777777" w:rsidR="003D5470" w:rsidRPr="00B92D44" w:rsidRDefault="003D5470" w:rsidP="003D5470">
      <w:pPr>
        <w:spacing w:after="0" w:line="240" w:lineRule="auto"/>
        <w:ind w:left="567"/>
        <w:jc w:val="both"/>
        <w:rPr>
          <w:rFonts w:ascii="Times New Roman" w:hAnsi="Times New Roman"/>
          <w:sz w:val="24"/>
          <w:szCs w:val="24"/>
        </w:rPr>
      </w:pPr>
      <w:r w:rsidRPr="00B92D44">
        <w:rPr>
          <w:rFonts w:ascii="Times New Roman" w:hAnsi="Times New Roman"/>
          <w:sz w:val="24"/>
          <w:szCs w:val="24"/>
        </w:rPr>
        <w:t>ugovaranje programa i projekata Europske unije</w:t>
      </w:r>
    </w:p>
    <w:p w14:paraId="5EDCDDF8" w14:textId="77777777" w:rsidR="003D5470" w:rsidRDefault="003D5470" w:rsidP="003D5470">
      <w:pPr>
        <w:spacing w:after="0" w:line="240" w:lineRule="auto"/>
        <w:ind w:left="567"/>
        <w:jc w:val="both"/>
        <w:rPr>
          <w:rFonts w:ascii="Times New Roman" w:hAnsi="Times New Roman"/>
          <w:sz w:val="24"/>
          <w:szCs w:val="24"/>
        </w:rPr>
      </w:pPr>
      <w:r w:rsidRPr="00B92D44">
        <w:rPr>
          <w:rFonts w:ascii="Times New Roman" w:hAnsi="Times New Roman"/>
          <w:sz w:val="24"/>
          <w:szCs w:val="24"/>
        </w:rPr>
        <w:t>Ulica grada Vukovara 284 (objekt C), 10000 Zagreb</w:t>
      </w:r>
    </w:p>
    <w:p w14:paraId="5A3C5912" w14:textId="77777777" w:rsidR="003D5470" w:rsidRPr="00020E6F" w:rsidRDefault="003D5470" w:rsidP="003D5470">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PT2 pisanim putem dostavlja  Korisniku o podatke o osobi i adresi elektronske pošte za kontakt.  </w:t>
      </w:r>
    </w:p>
    <w:p w14:paraId="5831E98B" w14:textId="77777777" w:rsidR="003D5470" w:rsidRPr="00020E6F" w:rsidRDefault="003D5470" w:rsidP="003D5470">
      <w:pPr>
        <w:spacing w:after="0" w:line="240" w:lineRule="auto"/>
        <w:ind w:left="567"/>
        <w:jc w:val="both"/>
        <w:rPr>
          <w:rFonts w:ascii="Times New Roman" w:hAnsi="Times New Roman"/>
          <w:sz w:val="24"/>
          <w:szCs w:val="24"/>
        </w:rPr>
      </w:pPr>
    </w:p>
    <w:p w14:paraId="0DD969D1" w14:textId="77777777" w:rsidR="003D5470" w:rsidRPr="00020E6F" w:rsidRDefault="003D5470" w:rsidP="003D5470">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 xml:space="preserve">adresa, telefaks, adresa elektronske pošte Korisnika </w:t>
      </w:r>
      <w:r w:rsidRPr="00020E6F">
        <w:rPr>
          <w:rFonts w:ascii="Times New Roman" w:hAnsi="Times New Roman"/>
          <w:sz w:val="24"/>
          <w:szCs w:val="24"/>
        </w:rPr>
        <w:t>&gt;</w:t>
      </w:r>
    </w:p>
    <w:p w14:paraId="3F1A282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PT- u 1 i PT-u 2 podatke o osobi i adresi elektronske pošte za kontakt.  </w:t>
      </w:r>
    </w:p>
    <w:p w14:paraId="6983A381" w14:textId="77777777" w:rsidR="00A64959" w:rsidRPr="00020E6F" w:rsidRDefault="00A64959" w:rsidP="0044120D">
      <w:pPr>
        <w:spacing w:after="0" w:line="240" w:lineRule="auto"/>
        <w:ind w:left="567"/>
        <w:jc w:val="both"/>
        <w:rPr>
          <w:rFonts w:ascii="Times New Roman" w:hAnsi="Times New Roman"/>
          <w:sz w:val="24"/>
          <w:szCs w:val="24"/>
        </w:rPr>
      </w:pPr>
    </w:p>
    <w:p w14:paraId="3DAB9099" w14:textId="40D6F05D" w:rsidR="003D5470" w:rsidRPr="00020E6F" w:rsidRDefault="003D5470" w:rsidP="003D5470">
      <w:pPr>
        <w:spacing w:after="0" w:line="240" w:lineRule="auto"/>
        <w:jc w:val="both"/>
        <w:rPr>
          <w:rFonts w:ascii="Times New Roman" w:hAnsi="Times New Roman"/>
          <w:sz w:val="24"/>
          <w:szCs w:val="24"/>
        </w:rPr>
      </w:pPr>
      <w:r w:rsidRPr="00020E6F">
        <w:rPr>
          <w:rFonts w:ascii="Times New Roman" w:hAnsi="Times New Roman"/>
          <w:sz w:val="24"/>
          <w:szCs w:val="24"/>
        </w:rPr>
        <w:t xml:space="preserve">10.2. PT 1, PT 2 i </w:t>
      </w:r>
      <w:r w:rsidR="00FD326A">
        <w:rPr>
          <w:rFonts w:ascii="Times New Roman" w:hAnsi="Times New Roman"/>
          <w:sz w:val="24"/>
          <w:szCs w:val="24"/>
        </w:rPr>
        <w:t>K</w:t>
      </w:r>
      <w:r w:rsidRPr="00020E6F">
        <w:rPr>
          <w:rFonts w:ascii="Times New Roman" w:hAnsi="Times New Roman"/>
          <w:sz w:val="24"/>
          <w:szCs w:val="24"/>
        </w:rPr>
        <w:t>orisnik su obvezni bez odgađanja, a najkasnije u roku od 3 dana od dana nastanka promjene vezane uz kontakt podatke iz točke 10.1. ovog članka, obavijestiti pisanim putem duge ugovorne strane o nastaloj promjeni. Jedna ugovorna strana ne odgovara za štetu koja drugoj ugovornoj nastane zbog neobavještavanja o promjenama vezanim uz kontakt podatke iz točke 10.1. ovog članka, ako se komunikacija putem raspoloživih kontakt podataka nije mogla ostvariti.</w:t>
      </w: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766E0B35" w14:textId="77777777" w:rsidR="00A64959" w:rsidRPr="00020E6F" w:rsidRDefault="00A64959" w:rsidP="0044120D">
      <w:pPr>
        <w:keepNext/>
        <w:spacing w:after="0" w:line="240" w:lineRule="auto"/>
        <w:ind w:left="567" w:hanging="567"/>
        <w:jc w:val="both"/>
        <w:outlineLvl w:val="0"/>
        <w:rPr>
          <w:rFonts w:ascii="Times New Roman" w:hAnsi="Times New Roman"/>
          <w:b/>
          <w:i/>
          <w:sz w:val="24"/>
          <w:szCs w:val="24"/>
        </w:rPr>
      </w:pPr>
      <w:r w:rsidRPr="00020E6F">
        <w:rPr>
          <w:rFonts w:ascii="Times New Roman" w:hAnsi="Times New Roman"/>
          <w:b/>
          <w:sz w:val="24"/>
          <w:szCs w:val="24"/>
        </w:rPr>
        <w:t>Članak 11. - Prilozi</w:t>
      </w:r>
    </w:p>
    <w:p w14:paraId="5BAAE15F" w14:textId="77777777" w:rsidR="00A40678" w:rsidRPr="00020E6F" w:rsidRDefault="00A40678" w:rsidP="00A40678">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11.1</w:t>
      </w:r>
      <w:r w:rsidRPr="00020E6F">
        <w:rPr>
          <w:rFonts w:ascii="Times New Roman" w:hAnsi="Times New Roman"/>
          <w:sz w:val="24"/>
          <w:szCs w:val="24"/>
        </w:rPr>
        <w:tab/>
        <w:t xml:space="preserve">Sljedeći  prilozi sastavni su dio Posebnih uvjeta Ugovora: </w:t>
      </w:r>
    </w:p>
    <w:p w14:paraId="4594E8B5" w14:textId="77777777" w:rsidR="00A40678" w:rsidRPr="00020E6F" w:rsidRDefault="00A40678" w:rsidP="00A40678">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Projekta </w:t>
      </w:r>
    </w:p>
    <w:p w14:paraId="7CB03082" w14:textId="77777777" w:rsidR="00A40678" w:rsidRPr="00020E6F" w:rsidRDefault="00A40678" w:rsidP="00A40678">
      <w:pPr>
        <w:spacing w:after="0" w:line="240" w:lineRule="auto"/>
        <w:jc w:val="both"/>
        <w:rPr>
          <w:rFonts w:ascii="Times New Roman" w:hAnsi="Times New Roman"/>
          <w:sz w:val="24"/>
          <w:szCs w:val="24"/>
        </w:rPr>
      </w:pPr>
      <w:r w:rsidRPr="00020E6F">
        <w:rPr>
          <w:rFonts w:ascii="Times New Roman" w:hAnsi="Times New Roman"/>
          <w:sz w:val="24"/>
          <w:szCs w:val="24"/>
        </w:rPr>
        <w:t>Prilog II: Opći uvjeti koji se primjenjuju na projekte financirane iz Fondova u            financijskom razdoblju 2014.–2020.</w:t>
      </w:r>
    </w:p>
    <w:p w14:paraId="0E41D361" w14:textId="77777777" w:rsidR="00A40678" w:rsidRPr="00020E6F" w:rsidRDefault="00A40678" w:rsidP="00A40678">
      <w:pPr>
        <w:spacing w:after="0" w:line="240" w:lineRule="auto"/>
        <w:jc w:val="both"/>
        <w:rPr>
          <w:rFonts w:ascii="Times New Roman" w:hAnsi="Times New Roman"/>
          <w:sz w:val="24"/>
          <w:szCs w:val="24"/>
        </w:rPr>
      </w:pPr>
      <w:r>
        <w:rPr>
          <w:rFonts w:ascii="Times New Roman" w:hAnsi="Times New Roman"/>
          <w:sz w:val="24"/>
          <w:szCs w:val="24"/>
        </w:rPr>
        <w:t>Prilog III</w:t>
      </w:r>
      <w:r w:rsidRPr="00020E6F">
        <w:rPr>
          <w:rFonts w:ascii="Times New Roman" w:hAnsi="Times New Roman"/>
          <w:sz w:val="24"/>
          <w:szCs w:val="24"/>
        </w:rPr>
        <w:t>:  Završno izvješće</w:t>
      </w:r>
    </w:p>
    <w:p w14:paraId="0E56F64D" w14:textId="77777777" w:rsidR="00A40678" w:rsidRPr="00020E6F" w:rsidRDefault="00A40678" w:rsidP="00A40678">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w:t>
      </w:r>
      <w:r>
        <w:rPr>
          <w:rFonts w:ascii="Times New Roman" w:hAnsi="Times New Roman"/>
          <w:sz w:val="24"/>
          <w:szCs w:val="24"/>
        </w:rPr>
        <w:t>I</w:t>
      </w:r>
      <w:r w:rsidRPr="00020E6F">
        <w:rPr>
          <w:rFonts w:ascii="Times New Roman" w:hAnsi="Times New Roman"/>
          <w:sz w:val="24"/>
          <w:szCs w:val="24"/>
        </w:rPr>
        <w:t>V: Izvješće nakon provedbe Projekta</w:t>
      </w:r>
    </w:p>
    <w:p w14:paraId="39339515" w14:textId="77777777" w:rsidR="00A40678" w:rsidRPr="00020E6F" w:rsidRDefault="00A40678" w:rsidP="00A40678">
      <w:pPr>
        <w:spacing w:after="0" w:line="240" w:lineRule="auto"/>
        <w:jc w:val="both"/>
        <w:rPr>
          <w:rFonts w:ascii="Times New Roman" w:hAnsi="Times New Roman"/>
          <w:sz w:val="24"/>
          <w:szCs w:val="24"/>
        </w:rPr>
      </w:pPr>
      <w:r>
        <w:rPr>
          <w:rFonts w:ascii="Times New Roman" w:hAnsi="Times New Roman"/>
          <w:sz w:val="24"/>
          <w:szCs w:val="24"/>
        </w:rPr>
        <w:t>Prilog V</w:t>
      </w:r>
      <w:r w:rsidRPr="00020E6F">
        <w:rPr>
          <w:rFonts w:ascii="Times New Roman" w:hAnsi="Times New Roman"/>
          <w:sz w:val="24"/>
          <w:szCs w:val="24"/>
        </w:rPr>
        <w:t xml:space="preserve"> Pravila o primjeni financijskih korekcija</w:t>
      </w:r>
    </w:p>
    <w:p w14:paraId="0AEB0772" w14:textId="77777777" w:rsidR="00A40678" w:rsidRPr="00020E6F" w:rsidRDefault="00A40678" w:rsidP="00A40678">
      <w:pPr>
        <w:spacing w:after="0" w:line="240" w:lineRule="auto"/>
        <w:jc w:val="both"/>
        <w:rPr>
          <w:rFonts w:ascii="Times New Roman" w:hAnsi="Times New Roman"/>
          <w:sz w:val="24"/>
          <w:szCs w:val="24"/>
        </w:rPr>
      </w:pPr>
      <w:r w:rsidRPr="00020E6F">
        <w:rPr>
          <w:rFonts w:ascii="Times New Roman" w:hAnsi="Times New Roman"/>
          <w:sz w:val="24"/>
          <w:szCs w:val="24"/>
        </w:rPr>
        <w:t xml:space="preserve">11.2. U slučaju neslaganja odredbi ovih Posebnih uvjeta i nekog od Priloga koji je sastavni dio Posebnih uvjeta, odredbe Posebnih uvjeta imaju prvenstvo. U slučaju neslaganja odredbi Priloga II Posebnih uvjeta i ostalih Priloga Posebnih uvjeta, odredbe Priloga II imaju prvenstvo.  </w:t>
      </w:r>
    </w:p>
    <w:p w14:paraId="1EE10C4B" w14:textId="77777777" w:rsidR="00A64959" w:rsidRPr="00020E6F" w:rsidRDefault="00A64959" w:rsidP="0044120D">
      <w:pPr>
        <w:spacing w:after="0" w:line="240" w:lineRule="auto"/>
        <w:jc w:val="both"/>
        <w:rPr>
          <w:rFonts w:ascii="Times New Roman" w:hAnsi="Times New Roman"/>
          <w:sz w:val="24"/>
          <w:szCs w:val="24"/>
        </w:rPr>
      </w:pPr>
    </w:p>
    <w:p w14:paraId="3AA16706" w14:textId="77777777" w:rsidR="00A64959" w:rsidRPr="00020E6F" w:rsidRDefault="00A64959" w:rsidP="0044120D">
      <w:pPr>
        <w:spacing w:after="0" w:line="240" w:lineRule="auto"/>
        <w:jc w:val="both"/>
        <w:rPr>
          <w:rFonts w:ascii="Times New Roman" w:hAnsi="Times New Roman"/>
          <w:b/>
          <w:sz w:val="24"/>
          <w:szCs w:val="24"/>
        </w:rPr>
      </w:pPr>
      <w:r w:rsidRPr="00020E6F">
        <w:rPr>
          <w:rFonts w:ascii="Times New Roman" w:hAnsi="Times New Roman"/>
          <w:b/>
          <w:sz w:val="24"/>
          <w:szCs w:val="24"/>
        </w:rPr>
        <w:t>Članak 12.</w:t>
      </w:r>
    </w:p>
    <w:p w14:paraId="5CFA197C" w14:textId="63209C48"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Sastavljeno na hrvatskom jeziku u </w:t>
      </w:r>
      <w:r w:rsidR="003D5470" w:rsidRPr="003D5470">
        <w:rPr>
          <w:rFonts w:ascii="Times New Roman" w:hAnsi="Times New Roman"/>
          <w:sz w:val="24"/>
          <w:szCs w:val="24"/>
        </w:rPr>
        <w:t>3 (tri)</w:t>
      </w:r>
      <w:r w:rsidR="003D5470">
        <w:rPr>
          <w:rFonts w:ascii="Times New Roman" w:hAnsi="Times New Roman"/>
          <w:sz w:val="24"/>
          <w:szCs w:val="24"/>
        </w:rPr>
        <w:t xml:space="preserve"> istovjetna</w:t>
      </w:r>
      <w:r w:rsidRPr="00020E6F">
        <w:rPr>
          <w:rFonts w:ascii="Times New Roman" w:hAnsi="Times New Roman"/>
          <w:sz w:val="24"/>
          <w:szCs w:val="24"/>
        </w:rPr>
        <w:t xml:space="preserve"> primjerka, </w:t>
      </w:r>
      <w:r w:rsidR="004B40D7" w:rsidRPr="00020E6F">
        <w:rPr>
          <w:rFonts w:ascii="Times New Roman" w:hAnsi="Times New Roman"/>
          <w:sz w:val="24"/>
          <w:szCs w:val="24"/>
        </w:rPr>
        <w:t xml:space="preserve">svaki sa snagom izvornika, </w:t>
      </w:r>
      <w:r w:rsidRPr="00020E6F">
        <w:rPr>
          <w:rFonts w:ascii="Times New Roman" w:hAnsi="Times New Roman"/>
          <w:sz w:val="24"/>
          <w:szCs w:val="24"/>
        </w:rPr>
        <w:t xml:space="preserve">od kojih svaka Strana zadržava po jedan </w:t>
      </w:r>
      <w:r w:rsidR="004B40D7" w:rsidRPr="00020E6F">
        <w:rPr>
          <w:rFonts w:ascii="Times New Roman" w:hAnsi="Times New Roman"/>
          <w:sz w:val="24"/>
          <w:szCs w:val="24"/>
        </w:rPr>
        <w:t>primjerak</w:t>
      </w:r>
      <w:r w:rsidRPr="00020E6F">
        <w:rPr>
          <w:rFonts w:ascii="Times New Roman" w:hAnsi="Times New Roman"/>
          <w:sz w:val="24"/>
          <w:szCs w:val="24"/>
        </w:rPr>
        <w:t>.</w:t>
      </w: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A64959" w:rsidRPr="00020E6F" w14:paraId="7BFBAB82" w14:textId="77777777" w:rsidTr="0069404E">
        <w:trPr>
          <w:jc w:val="center"/>
        </w:trPr>
        <w:tc>
          <w:tcPr>
            <w:tcW w:w="4643" w:type="dxa"/>
            <w:gridSpan w:val="2"/>
            <w:tcBorders>
              <w:top w:val="nil"/>
              <w:left w:val="nil"/>
              <w:bottom w:val="nil"/>
              <w:right w:val="nil"/>
            </w:tcBorders>
          </w:tcPr>
          <w:p w14:paraId="6D613A62"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1</w:t>
            </w:r>
          </w:p>
        </w:tc>
        <w:tc>
          <w:tcPr>
            <w:tcW w:w="4643" w:type="dxa"/>
            <w:gridSpan w:val="2"/>
            <w:tcBorders>
              <w:top w:val="nil"/>
              <w:left w:val="nil"/>
              <w:bottom w:val="nil"/>
              <w:right w:val="nil"/>
            </w:tcBorders>
          </w:tcPr>
          <w:p w14:paraId="4609AB41"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2</w:t>
            </w:r>
          </w:p>
        </w:tc>
      </w:tr>
      <w:tr w:rsidR="00A64959" w:rsidRPr="00020E6F" w14:paraId="2D9FF43D" w14:textId="77777777" w:rsidTr="0069404E">
        <w:trPr>
          <w:jc w:val="center"/>
        </w:trPr>
        <w:tc>
          <w:tcPr>
            <w:tcW w:w="1950" w:type="dxa"/>
            <w:tcBorders>
              <w:top w:val="nil"/>
              <w:left w:val="nil"/>
              <w:bottom w:val="nil"/>
              <w:right w:val="nil"/>
            </w:tcBorders>
          </w:tcPr>
          <w:p w14:paraId="00EFA4B3" w14:textId="7404F86C" w:rsidR="00A64959" w:rsidRPr="00020E6F" w:rsidRDefault="00A64959" w:rsidP="003D5470">
            <w:pPr>
              <w:tabs>
                <w:tab w:val="left" w:pos="1022"/>
              </w:tabs>
              <w:spacing w:after="0" w:line="240" w:lineRule="auto"/>
              <w:rPr>
                <w:rFonts w:ascii="Times New Roman" w:hAnsi="Times New Roman"/>
                <w:sz w:val="24"/>
                <w:szCs w:val="24"/>
              </w:rPr>
            </w:pPr>
            <w:r w:rsidRPr="00020E6F">
              <w:rPr>
                <w:rFonts w:ascii="Times New Roman" w:hAnsi="Times New Roman"/>
                <w:sz w:val="24"/>
                <w:szCs w:val="24"/>
              </w:rPr>
              <w:t>Ime</w:t>
            </w:r>
            <w:r w:rsidR="003D5470">
              <w:rPr>
                <w:rFonts w:ascii="Times New Roman" w:hAnsi="Times New Roman"/>
                <w:sz w:val="24"/>
                <w:szCs w:val="24"/>
              </w:rPr>
              <w:t xml:space="preserve"> </w:t>
            </w:r>
            <w:r w:rsidR="003D5470">
              <w:rPr>
                <w:rFonts w:ascii="Times New Roman" w:hAnsi="Times New Roman"/>
                <w:sz w:val="24"/>
                <w:szCs w:val="24"/>
              </w:rPr>
              <w:tab/>
            </w:r>
          </w:p>
        </w:tc>
        <w:tc>
          <w:tcPr>
            <w:tcW w:w="2693" w:type="dxa"/>
            <w:tcBorders>
              <w:top w:val="nil"/>
              <w:left w:val="nil"/>
              <w:bottom w:val="nil"/>
              <w:right w:val="nil"/>
            </w:tcBorders>
          </w:tcPr>
          <w:p w14:paraId="048E0DE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6885A20" w14:textId="77777777" w:rsidTr="0069404E">
        <w:trPr>
          <w:jc w:val="center"/>
        </w:trPr>
        <w:tc>
          <w:tcPr>
            <w:tcW w:w="1950" w:type="dxa"/>
            <w:tcBorders>
              <w:top w:val="nil"/>
              <w:left w:val="nil"/>
              <w:bottom w:val="nil"/>
              <w:right w:val="nil"/>
            </w:tcBorders>
          </w:tcPr>
          <w:p w14:paraId="6C69809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2F432A4" w14:textId="77777777" w:rsidTr="0069404E">
        <w:trPr>
          <w:jc w:val="center"/>
        </w:trPr>
        <w:tc>
          <w:tcPr>
            <w:tcW w:w="1950" w:type="dxa"/>
            <w:tcBorders>
              <w:top w:val="nil"/>
              <w:left w:val="nil"/>
              <w:bottom w:val="nil"/>
              <w:right w:val="nil"/>
            </w:tcBorders>
          </w:tcPr>
          <w:p w14:paraId="47F65EBB"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42C8D72D" w14:textId="77777777" w:rsidTr="0069404E">
        <w:trPr>
          <w:jc w:val="center"/>
        </w:trPr>
        <w:tc>
          <w:tcPr>
            <w:tcW w:w="1950" w:type="dxa"/>
            <w:tcBorders>
              <w:top w:val="nil"/>
              <w:left w:val="nil"/>
              <w:bottom w:val="nil"/>
              <w:right w:val="nil"/>
            </w:tcBorders>
          </w:tcPr>
          <w:p w14:paraId="7D47AC18"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p w14:paraId="41A211D9" w14:textId="77777777" w:rsidR="00A64959" w:rsidRPr="00020E6F" w:rsidRDefault="00A64959" w:rsidP="0044120D">
            <w:pPr>
              <w:spacing w:after="0" w:line="240" w:lineRule="auto"/>
              <w:rPr>
                <w:rFonts w:ascii="Times New Roman" w:hAnsi="Times New Roman"/>
                <w:sz w:val="24"/>
                <w:szCs w:val="24"/>
              </w:rPr>
            </w:pPr>
          </w:p>
          <w:p w14:paraId="019398DD" w14:textId="77777777" w:rsidR="00A64959" w:rsidRPr="00020E6F" w:rsidRDefault="00A64959" w:rsidP="0044120D">
            <w:pPr>
              <w:spacing w:after="0" w:line="240" w:lineRule="auto"/>
              <w:rPr>
                <w:rFonts w:ascii="Times New Roman" w:hAnsi="Times New Roman"/>
                <w:sz w:val="24"/>
                <w:szCs w:val="24"/>
              </w:rPr>
            </w:pPr>
          </w:p>
        </w:tc>
        <w:tc>
          <w:tcPr>
            <w:tcW w:w="2693" w:type="dxa"/>
            <w:tcBorders>
              <w:top w:val="nil"/>
              <w:left w:val="nil"/>
              <w:bottom w:val="nil"/>
              <w:right w:val="nil"/>
            </w:tcBorders>
          </w:tcPr>
          <w:p w14:paraId="165C0066"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37B69406" w14:textId="77777777" w:rsidTr="0069404E">
        <w:trPr>
          <w:jc w:val="center"/>
        </w:trPr>
        <w:tc>
          <w:tcPr>
            <w:tcW w:w="4643" w:type="dxa"/>
            <w:gridSpan w:val="2"/>
            <w:tcBorders>
              <w:top w:val="nil"/>
              <w:left w:val="nil"/>
              <w:bottom w:val="nil"/>
              <w:right w:val="nil"/>
            </w:tcBorders>
          </w:tcPr>
          <w:p w14:paraId="2DF3A10E" w14:textId="10CFE446"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sidR="00FD326A">
              <w:rPr>
                <w:rFonts w:ascii="Times New Roman" w:hAnsi="Times New Roman"/>
                <w:b/>
                <w:sz w:val="24"/>
                <w:szCs w:val="24"/>
              </w:rPr>
              <w:t>K</w:t>
            </w:r>
            <w:r w:rsidRPr="00020E6F">
              <w:rPr>
                <w:rFonts w:ascii="Times New Roman" w:hAnsi="Times New Roman"/>
                <w:b/>
                <w:sz w:val="24"/>
                <w:szCs w:val="24"/>
              </w:rPr>
              <w:t xml:space="preserve">orisnika </w:t>
            </w:r>
          </w:p>
        </w:tc>
        <w:tc>
          <w:tcPr>
            <w:tcW w:w="4643" w:type="dxa"/>
            <w:gridSpan w:val="2"/>
            <w:tcBorders>
              <w:top w:val="nil"/>
              <w:left w:val="nil"/>
              <w:bottom w:val="nil"/>
              <w:right w:val="nil"/>
            </w:tcBorders>
          </w:tcPr>
          <w:p w14:paraId="76766967" w14:textId="673058E4" w:rsidR="00A64959" w:rsidRPr="00020E6F" w:rsidRDefault="00A64959" w:rsidP="0044120D">
            <w:pPr>
              <w:spacing w:after="0" w:line="240" w:lineRule="auto"/>
              <w:rPr>
                <w:rFonts w:ascii="Times New Roman" w:hAnsi="Times New Roman"/>
                <w:b/>
                <w:sz w:val="24"/>
                <w:szCs w:val="24"/>
              </w:rPr>
            </w:pPr>
          </w:p>
        </w:tc>
      </w:tr>
      <w:tr w:rsidR="00A64959" w:rsidRPr="00020E6F" w14:paraId="0998C3FA" w14:textId="77777777" w:rsidTr="0069404E">
        <w:trPr>
          <w:jc w:val="center"/>
        </w:trPr>
        <w:tc>
          <w:tcPr>
            <w:tcW w:w="1950" w:type="dxa"/>
            <w:tcBorders>
              <w:top w:val="nil"/>
              <w:left w:val="nil"/>
              <w:bottom w:val="nil"/>
              <w:right w:val="nil"/>
            </w:tcBorders>
          </w:tcPr>
          <w:p w14:paraId="72596A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6B593175"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44CF1099"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68764B7A" w14:textId="77777777" w:rsidTr="0069404E">
        <w:trPr>
          <w:jc w:val="center"/>
        </w:trPr>
        <w:tc>
          <w:tcPr>
            <w:tcW w:w="1950" w:type="dxa"/>
            <w:tcBorders>
              <w:top w:val="nil"/>
              <w:left w:val="nil"/>
              <w:bottom w:val="nil"/>
              <w:right w:val="nil"/>
            </w:tcBorders>
          </w:tcPr>
          <w:p w14:paraId="44A307B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3D6CC729"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56BC9B64"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7995C7AB" w14:textId="77777777" w:rsidTr="0069404E">
        <w:trPr>
          <w:jc w:val="center"/>
        </w:trPr>
        <w:tc>
          <w:tcPr>
            <w:tcW w:w="1950" w:type="dxa"/>
            <w:tcBorders>
              <w:top w:val="nil"/>
              <w:left w:val="nil"/>
              <w:bottom w:val="nil"/>
              <w:right w:val="nil"/>
            </w:tcBorders>
          </w:tcPr>
          <w:p w14:paraId="1D3A7252"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664075F3"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CA2350E"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A64959" w:rsidRPr="00020E6F" w:rsidRDefault="00A64959" w:rsidP="0044120D">
            <w:pPr>
              <w:spacing w:after="0" w:line="240" w:lineRule="auto"/>
              <w:rPr>
                <w:rFonts w:ascii="Times New Roman" w:hAnsi="Times New Roman"/>
                <w:sz w:val="24"/>
                <w:szCs w:val="24"/>
              </w:rPr>
            </w:pPr>
          </w:p>
        </w:tc>
      </w:tr>
      <w:tr w:rsidR="00A64959" w:rsidRPr="005F3257" w14:paraId="642FCF10" w14:textId="77777777" w:rsidTr="0069404E">
        <w:trPr>
          <w:jc w:val="center"/>
        </w:trPr>
        <w:tc>
          <w:tcPr>
            <w:tcW w:w="1950" w:type="dxa"/>
            <w:tcBorders>
              <w:top w:val="nil"/>
              <w:left w:val="nil"/>
              <w:bottom w:val="nil"/>
              <w:right w:val="nil"/>
            </w:tcBorders>
          </w:tcPr>
          <w:p w14:paraId="0219DD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3554B8B2"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15DA18E1" w:rsidR="00A64959" w:rsidRPr="005F3257"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A64959" w:rsidRPr="005F3257" w:rsidRDefault="00A64959" w:rsidP="0044120D">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1BADC817" w14:textId="77777777" w:rsidR="00A64959" w:rsidRPr="005F3257" w:rsidRDefault="00A64959" w:rsidP="0044120D">
      <w:pPr>
        <w:rPr>
          <w:rFonts w:ascii="Times New Roman" w:hAnsi="Times New Roman"/>
          <w:sz w:val="24"/>
          <w:szCs w:val="24"/>
        </w:rPr>
      </w:pPr>
    </w:p>
    <w:sectPr w:rsidR="00A64959" w:rsidRPr="005F3257" w:rsidSect="00C87793">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73B4EB" w15:done="0"/>
  <w15:commentEx w15:paraId="69AFA6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AA5E2" w14:textId="77777777" w:rsidR="00E249E6" w:rsidRDefault="00E249E6" w:rsidP="00CE785D">
      <w:pPr>
        <w:spacing w:after="0" w:line="240" w:lineRule="auto"/>
      </w:pPr>
      <w:r>
        <w:separator/>
      </w:r>
    </w:p>
  </w:endnote>
  <w:endnote w:type="continuationSeparator" w:id="0">
    <w:p w14:paraId="1050EFFC" w14:textId="77777777" w:rsidR="00E249E6" w:rsidRDefault="00E249E6"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AAC4" w14:textId="43ACB467" w:rsidR="009F345B" w:rsidRPr="009F345B" w:rsidRDefault="009F345B">
    <w:pPr>
      <w:pStyle w:val="Footer"/>
      <w:jc w:val="center"/>
      <w:rPr>
        <w:rFonts w:ascii="Times New Roman" w:hAnsi="Times New Roman"/>
        <w:sz w:val="18"/>
        <w:szCs w:val="18"/>
      </w:rPr>
    </w:pPr>
    <w:r w:rsidRPr="009F345B">
      <w:rPr>
        <w:rFonts w:ascii="Times New Roman" w:hAnsi="Times New Roman"/>
        <w:sz w:val="18"/>
        <w:szCs w:val="18"/>
      </w:rPr>
      <w:fldChar w:fldCharType="begin"/>
    </w:r>
    <w:r w:rsidRPr="009F345B">
      <w:rPr>
        <w:rFonts w:ascii="Times New Roman" w:hAnsi="Times New Roman"/>
        <w:sz w:val="18"/>
        <w:szCs w:val="18"/>
      </w:rPr>
      <w:instrText xml:space="preserve"> PAGE   \* MERGEFORMAT </w:instrText>
    </w:r>
    <w:r w:rsidRPr="009F345B">
      <w:rPr>
        <w:rFonts w:ascii="Times New Roman" w:hAnsi="Times New Roman"/>
        <w:sz w:val="18"/>
        <w:szCs w:val="18"/>
      </w:rPr>
      <w:fldChar w:fldCharType="separate"/>
    </w:r>
    <w:r w:rsidR="002264F9">
      <w:rPr>
        <w:rFonts w:ascii="Times New Roman" w:hAnsi="Times New Roman"/>
        <w:noProof/>
        <w:sz w:val="18"/>
        <w:szCs w:val="18"/>
      </w:rPr>
      <w:t>5</w:t>
    </w:r>
    <w:r w:rsidRPr="009F345B">
      <w:rPr>
        <w:rFonts w:ascii="Times New Roman" w:hAnsi="Times New Roman"/>
        <w:noProof/>
        <w:sz w:val="18"/>
        <w:szCs w:val="18"/>
      </w:rPr>
      <w:fldChar w:fldCharType="end"/>
    </w:r>
    <w:r w:rsidR="008A7DC0">
      <w:rPr>
        <w:rFonts w:ascii="Times New Roman" w:hAnsi="Times New Roman"/>
        <w:noProof/>
        <w:sz w:val="18"/>
        <w:szCs w:val="18"/>
      </w:rPr>
      <w:t xml:space="preserve"> od 5</w:t>
    </w:r>
  </w:p>
  <w:p w14:paraId="69786CA0" w14:textId="77777777" w:rsidR="00A64959" w:rsidRDefault="00A64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9EB7" w14:textId="77777777" w:rsidR="00E249E6" w:rsidRDefault="00E249E6" w:rsidP="00CE785D">
      <w:pPr>
        <w:spacing w:after="0" w:line="240" w:lineRule="auto"/>
      </w:pPr>
      <w:r>
        <w:separator/>
      </w:r>
    </w:p>
  </w:footnote>
  <w:footnote w:type="continuationSeparator" w:id="0">
    <w:p w14:paraId="04114267" w14:textId="77777777" w:rsidR="00E249E6" w:rsidRDefault="00E249E6" w:rsidP="00CE7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BF768D"/>
    <w:multiLevelType w:val="hybridMultilevel"/>
    <w:tmpl w:val="AFDAB3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6E25B62"/>
    <w:multiLevelType w:val="hybridMultilevel"/>
    <w:tmpl w:val="2DD4AC40"/>
    <w:lvl w:ilvl="0" w:tplc="B600D6DC">
      <w:start w:val="1"/>
      <w:numFmt w:val="bullet"/>
      <w:lvlText w:val=""/>
      <w:lvlJc w:val="left"/>
      <w:pPr>
        <w:ind w:left="720" w:hanging="360"/>
      </w:pPr>
      <w:rPr>
        <w:rFonts w:ascii="Symbol" w:hAnsi="Symbol" w:hint="default"/>
        <w:color w:val="auto"/>
        <w:sz w:val="32"/>
        <w:szCs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FCA">
    <w15:presenceInfo w15:providerId="None" w15:userId="C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D"/>
    <w:rsid w:val="00002DF2"/>
    <w:rsid w:val="00020E6F"/>
    <w:rsid w:val="000249C9"/>
    <w:rsid w:val="000560F5"/>
    <w:rsid w:val="00070EBC"/>
    <w:rsid w:val="00082F3F"/>
    <w:rsid w:val="00092936"/>
    <w:rsid w:val="000A73B0"/>
    <w:rsid w:val="000C178B"/>
    <w:rsid w:val="000C657A"/>
    <w:rsid w:val="000D12F4"/>
    <w:rsid w:val="000E24C3"/>
    <w:rsid w:val="000F1F58"/>
    <w:rsid w:val="000F205E"/>
    <w:rsid w:val="000F6C20"/>
    <w:rsid w:val="00105601"/>
    <w:rsid w:val="00110546"/>
    <w:rsid w:val="00111FBE"/>
    <w:rsid w:val="001220E4"/>
    <w:rsid w:val="001230EC"/>
    <w:rsid w:val="0012773D"/>
    <w:rsid w:val="00144305"/>
    <w:rsid w:val="001528F3"/>
    <w:rsid w:val="00153CCE"/>
    <w:rsid w:val="0015615A"/>
    <w:rsid w:val="001572C0"/>
    <w:rsid w:val="00165A9C"/>
    <w:rsid w:val="001741B2"/>
    <w:rsid w:val="00185D64"/>
    <w:rsid w:val="00192E02"/>
    <w:rsid w:val="0019364A"/>
    <w:rsid w:val="00193EA5"/>
    <w:rsid w:val="001B4B86"/>
    <w:rsid w:val="001B6DA9"/>
    <w:rsid w:val="001D5962"/>
    <w:rsid w:val="001E5830"/>
    <w:rsid w:val="001E7E6E"/>
    <w:rsid w:val="001F0A07"/>
    <w:rsid w:val="001F376F"/>
    <w:rsid w:val="00202273"/>
    <w:rsid w:val="0020325C"/>
    <w:rsid w:val="00216131"/>
    <w:rsid w:val="0021799A"/>
    <w:rsid w:val="00220BC9"/>
    <w:rsid w:val="0022416D"/>
    <w:rsid w:val="002264F9"/>
    <w:rsid w:val="00243843"/>
    <w:rsid w:val="002518F7"/>
    <w:rsid w:val="00257143"/>
    <w:rsid w:val="0026090A"/>
    <w:rsid w:val="0027338D"/>
    <w:rsid w:val="00273BBB"/>
    <w:rsid w:val="002759D4"/>
    <w:rsid w:val="00281362"/>
    <w:rsid w:val="00293456"/>
    <w:rsid w:val="002A7EE5"/>
    <w:rsid w:val="002B145E"/>
    <w:rsid w:val="002C2893"/>
    <w:rsid w:val="002C68B3"/>
    <w:rsid w:val="002C7589"/>
    <w:rsid w:val="002D1C86"/>
    <w:rsid w:val="002D7B4D"/>
    <w:rsid w:val="002E27D4"/>
    <w:rsid w:val="002F7460"/>
    <w:rsid w:val="0030447A"/>
    <w:rsid w:val="0031167C"/>
    <w:rsid w:val="00313025"/>
    <w:rsid w:val="00313CC4"/>
    <w:rsid w:val="00337283"/>
    <w:rsid w:val="003473EC"/>
    <w:rsid w:val="00351B85"/>
    <w:rsid w:val="0035707D"/>
    <w:rsid w:val="00357D3F"/>
    <w:rsid w:val="00374DD0"/>
    <w:rsid w:val="003812CA"/>
    <w:rsid w:val="003A05B5"/>
    <w:rsid w:val="003B146A"/>
    <w:rsid w:val="003C07A7"/>
    <w:rsid w:val="003C1A57"/>
    <w:rsid w:val="003C36A2"/>
    <w:rsid w:val="003C7B3C"/>
    <w:rsid w:val="003D1952"/>
    <w:rsid w:val="003D26D8"/>
    <w:rsid w:val="003D2A0C"/>
    <w:rsid w:val="003D5470"/>
    <w:rsid w:val="003E00FE"/>
    <w:rsid w:val="003E08C5"/>
    <w:rsid w:val="003E4A43"/>
    <w:rsid w:val="003E5B39"/>
    <w:rsid w:val="00401BED"/>
    <w:rsid w:val="00401C82"/>
    <w:rsid w:val="004144B9"/>
    <w:rsid w:val="00414D67"/>
    <w:rsid w:val="004360B9"/>
    <w:rsid w:val="00437138"/>
    <w:rsid w:val="0044120D"/>
    <w:rsid w:val="00444EF5"/>
    <w:rsid w:val="004562EE"/>
    <w:rsid w:val="00457339"/>
    <w:rsid w:val="0047556F"/>
    <w:rsid w:val="0047673F"/>
    <w:rsid w:val="004767D6"/>
    <w:rsid w:val="004A5C4F"/>
    <w:rsid w:val="004B40D7"/>
    <w:rsid w:val="004C4B23"/>
    <w:rsid w:val="004C7D80"/>
    <w:rsid w:val="004D1FE6"/>
    <w:rsid w:val="004D3543"/>
    <w:rsid w:val="004D38DB"/>
    <w:rsid w:val="004D56A3"/>
    <w:rsid w:val="004F7A84"/>
    <w:rsid w:val="0050611B"/>
    <w:rsid w:val="00522153"/>
    <w:rsid w:val="00530716"/>
    <w:rsid w:val="005340FE"/>
    <w:rsid w:val="005420EC"/>
    <w:rsid w:val="00547DFF"/>
    <w:rsid w:val="0056382D"/>
    <w:rsid w:val="0057491A"/>
    <w:rsid w:val="00585493"/>
    <w:rsid w:val="00590CC8"/>
    <w:rsid w:val="005A4E9C"/>
    <w:rsid w:val="005B624A"/>
    <w:rsid w:val="005D5E1B"/>
    <w:rsid w:val="005F1DEB"/>
    <w:rsid w:val="005F3257"/>
    <w:rsid w:val="005F7F86"/>
    <w:rsid w:val="00601335"/>
    <w:rsid w:val="00616463"/>
    <w:rsid w:val="00616604"/>
    <w:rsid w:val="006206B0"/>
    <w:rsid w:val="00630E99"/>
    <w:rsid w:val="00641308"/>
    <w:rsid w:val="00647168"/>
    <w:rsid w:val="00656297"/>
    <w:rsid w:val="00685486"/>
    <w:rsid w:val="00692FE9"/>
    <w:rsid w:val="0069404E"/>
    <w:rsid w:val="006A39DC"/>
    <w:rsid w:val="006A3DCD"/>
    <w:rsid w:val="006B0B98"/>
    <w:rsid w:val="006B215D"/>
    <w:rsid w:val="006B2D0E"/>
    <w:rsid w:val="006B6C9C"/>
    <w:rsid w:val="006C4DCA"/>
    <w:rsid w:val="006E1B83"/>
    <w:rsid w:val="006E2C76"/>
    <w:rsid w:val="006E362B"/>
    <w:rsid w:val="006E5F19"/>
    <w:rsid w:val="006E6BB2"/>
    <w:rsid w:val="006E6FF2"/>
    <w:rsid w:val="00706347"/>
    <w:rsid w:val="00710ACD"/>
    <w:rsid w:val="0074423D"/>
    <w:rsid w:val="00754CB0"/>
    <w:rsid w:val="00765B0C"/>
    <w:rsid w:val="007668D1"/>
    <w:rsid w:val="007747CE"/>
    <w:rsid w:val="00781437"/>
    <w:rsid w:val="00792BE3"/>
    <w:rsid w:val="00794646"/>
    <w:rsid w:val="007B5E5C"/>
    <w:rsid w:val="007D49AC"/>
    <w:rsid w:val="007E29ED"/>
    <w:rsid w:val="007F4B4A"/>
    <w:rsid w:val="0080446A"/>
    <w:rsid w:val="00830130"/>
    <w:rsid w:val="00837FB9"/>
    <w:rsid w:val="00844517"/>
    <w:rsid w:val="00855E64"/>
    <w:rsid w:val="008651BA"/>
    <w:rsid w:val="0086616F"/>
    <w:rsid w:val="00870F0C"/>
    <w:rsid w:val="00881804"/>
    <w:rsid w:val="00893AAD"/>
    <w:rsid w:val="00894CAC"/>
    <w:rsid w:val="008A3E94"/>
    <w:rsid w:val="008A7DC0"/>
    <w:rsid w:val="008B70BC"/>
    <w:rsid w:val="008C7412"/>
    <w:rsid w:val="008D01A3"/>
    <w:rsid w:val="008D5DF4"/>
    <w:rsid w:val="008E4C41"/>
    <w:rsid w:val="008F1C28"/>
    <w:rsid w:val="008F5589"/>
    <w:rsid w:val="00901582"/>
    <w:rsid w:val="009169D7"/>
    <w:rsid w:val="00925317"/>
    <w:rsid w:val="00935E59"/>
    <w:rsid w:val="00942D4A"/>
    <w:rsid w:val="009609EE"/>
    <w:rsid w:val="009723AA"/>
    <w:rsid w:val="009805C2"/>
    <w:rsid w:val="00983069"/>
    <w:rsid w:val="009A2CFF"/>
    <w:rsid w:val="009A456A"/>
    <w:rsid w:val="009A7E86"/>
    <w:rsid w:val="009C08C2"/>
    <w:rsid w:val="009D16BA"/>
    <w:rsid w:val="009D495C"/>
    <w:rsid w:val="009E1471"/>
    <w:rsid w:val="009F345B"/>
    <w:rsid w:val="009F34C8"/>
    <w:rsid w:val="00A02470"/>
    <w:rsid w:val="00A27FA8"/>
    <w:rsid w:val="00A32F72"/>
    <w:rsid w:val="00A40678"/>
    <w:rsid w:val="00A419E8"/>
    <w:rsid w:val="00A64959"/>
    <w:rsid w:val="00A65272"/>
    <w:rsid w:val="00A6534C"/>
    <w:rsid w:val="00A67DB1"/>
    <w:rsid w:val="00A7058B"/>
    <w:rsid w:val="00A832B2"/>
    <w:rsid w:val="00AA5365"/>
    <w:rsid w:val="00AA5E85"/>
    <w:rsid w:val="00AB6DDE"/>
    <w:rsid w:val="00AC0D87"/>
    <w:rsid w:val="00AC1AAA"/>
    <w:rsid w:val="00AC33D2"/>
    <w:rsid w:val="00AD4720"/>
    <w:rsid w:val="00AD527D"/>
    <w:rsid w:val="00AD5B0A"/>
    <w:rsid w:val="00AD71BC"/>
    <w:rsid w:val="00AE02F8"/>
    <w:rsid w:val="00AE3025"/>
    <w:rsid w:val="00AE43BF"/>
    <w:rsid w:val="00AF39FD"/>
    <w:rsid w:val="00AF64D6"/>
    <w:rsid w:val="00B035F5"/>
    <w:rsid w:val="00B050B0"/>
    <w:rsid w:val="00B06411"/>
    <w:rsid w:val="00B14B71"/>
    <w:rsid w:val="00B2702F"/>
    <w:rsid w:val="00B304AB"/>
    <w:rsid w:val="00B4431A"/>
    <w:rsid w:val="00B51698"/>
    <w:rsid w:val="00B54741"/>
    <w:rsid w:val="00B56654"/>
    <w:rsid w:val="00B6381A"/>
    <w:rsid w:val="00B73000"/>
    <w:rsid w:val="00B8419D"/>
    <w:rsid w:val="00B84280"/>
    <w:rsid w:val="00B873FC"/>
    <w:rsid w:val="00BA25BE"/>
    <w:rsid w:val="00BA6E68"/>
    <w:rsid w:val="00BC0AD5"/>
    <w:rsid w:val="00BC5CE1"/>
    <w:rsid w:val="00BD15AE"/>
    <w:rsid w:val="00BD6662"/>
    <w:rsid w:val="00BD66FD"/>
    <w:rsid w:val="00BF0B92"/>
    <w:rsid w:val="00BF2B4F"/>
    <w:rsid w:val="00C20F88"/>
    <w:rsid w:val="00C2701C"/>
    <w:rsid w:val="00C27A4A"/>
    <w:rsid w:val="00C429D8"/>
    <w:rsid w:val="00C437FF"/>
    <w:rsid w:val="00C457E7"/>
    <w:rsid w:val="00C50AEA"/>
    <w:rsid w:val="00C514E6"/>
    <w:rsid w:val="00C60187"/>
    <w:rsid w:val="00C74FE5"/>
    <w:rsid w:val="00C83CA5"/>
    <w:rsid w:val="00C87793"/>
    <w:rsid w:val="00C959F3"/>
    <w:rsid w:val="00C97FE9"/>
    <w:rsid w:val="00CA13D3"/>
    <w:rsid w:val="00CB2200"/>
    <w:rsid w:val="00CC7449"/>
    <w:rsid w:val="00CD2804"/>
    <w:rsid w:val="00CD2892"/>
    <w:rsid w:val="00CE785D"/>
    <w:rsid w:val="00CF0272"/>
    <w:rsid w:val="00CF2197"/>
    <w:rsid w:val="00D01E6F"/>
    <w:rsid w:val="00D025FE"/>
    <w:rsid w:val="00D04997"/>
    <w:rsid w:val="00D155AC"/>
    <w:rsid w:val="00D207C2"/>
    <w:rsid w:val="00D26388"/>
    <w:rsid w:val="00D431AA"/>
    <w:rsid w:val="00D74045"/>
    <w:rsid w:val="00D74613"/>
    <w:rsid w:val="00D814F2"/>
    <w:rsid w:val="00D82F96"/>
    <w:rsid w:val="00DB2058"/>
    <w:rsid w:val="00DC0E93"/>
    <w:rsid w:val="00DC13B8"/>
    <w:rsid w:val="00DC248C"/>
    <w:rsid w:val="00DC300B"/>
    <w:rsid w:val="00DC7A9F"/>
    <w:rsid w:val="00DD2ACC"/>
    <w:rsid w:val="00DE667B"/>
    <w:rsid w:val="00DF037F"/>
    <w:rsid w:val="00DF60BF"/>
    <w:rsid w:val="00E00583"/>
    <w:rsid w:val="00E12379"/>
    <w:rsid w:val="00E16D1F"/>
    <w:rsid w:val="00E249E6"/>
    <w:rsid w:val="00E253D6"/>
    <w:rsid w:val="00E3408A"/>
    <w:rsid w:val="00E479CA"/>
    <w:rsid w:val="00E57C6B"/>
    <w:rsid w:val="00E64BEB"/>
    <w:rsid w:val="00E80855"/>
    <w:rsid w:val="00E80D87"/>
    <w:rsid w:val="00E90F58"/>
    <w:rsid w:val="00E94A55"/>
    <w:rsid w:val="00E94EC6"/>
    <w:rsid w:val="00E94F6A"/>
    <w:rsid w:val="00EA70C3"/>
    <w:rsid w:val="00EA70D7"/>
    <w:rsid w:val="00EB1834"/>
    <w:rsid w:val="00EB1D88"/>
    <w:rsid w:val="00ED1D16"/>
    <w:rsid w:val="00ED2251"/>
    <w:rsid w:val="00EE4804"/>
    <w:rsid w:val="00EF3B1C"/>
    <w:rsid w:val="00F01E34"/>
    <w:rsid w:val="00F11DE6"/>
    <w:rsid w:val="00F222C2"/>
    <w:rsid w:val="00F2324E"/>
    <w:rsid w:val="00F2475D"/>
    <w:rsid w:val="00F2623F"/>
    <w:rsid w:val="00F271A3"/>
    <w:rsid w:val="00F33AC5"/>
    <w:rsid w:val="00F466C0"/>
    <w:rsid w:val="00F47DBD"/>
    <w:rsid w:val="00F57168"/>
    <w:rsid w:val="00F721C9"/>
    <w:rsid w:val="00F9342A"/>
    <w:rsid w:val="00FA0BED"/>
    <w:rsid w:val="00FA58E7"/>
    <w:rsid w:val="00FA610D"/>
    <w:rsid w:val="00FA7060"/>
    <w:rsid w:val="00FA7802"/>
    <w:rsid w:val="00FC4A51"/>
    <w:rsid w:val="00FD326A"/>
    <w:rsid w:val="00FE115A"/>
    <w:rsid w:val="00FE1A48"/>
    <w:rsid w:val="00FE2568"/>
    <w:rsid w:val="00FE5F12"/>
    <w:rsid w:val="00FE7B36"/>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3D5470"/>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3D54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79D3-8317-40E8-8175-6FA211A0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1534</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Ministarstvo regionalnoga razvoja i fondova Europske unije (MRRFEU)</vt:lpstr>
    </vt:vector>
  </TitlesOfParts>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dc:description/>
  <cp:lastModifiedBy>hdesk</cp:lastModifiedBy>
  <cp:revision>22</cp:revision>
  <cp:lastPrinted>2016-03-21T11:36:00Z</cp:lastPrinted>
  <dcterms:created xsi:type="dcterms:W3CDTF">2017-05-30T09:26:00Z</dcterms:created>
  <dcterms:modified xsi:type="dcterms:W3CDTF">2017-10-30T08:51:00Z</dcterms:modified>
</cp:coreProperties>
</file>