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9ED25" w14:textId="77777777" w:rsidR="00943330" w:rsidRPr="00F73CF8" w:rsidRDefault="00943330" w:rsidP="001277CF">
      <w:pPr>
        <w:tabs>
          <w:tab w:val="left" w:pos="6047"/>
        </w:tabs>
        <w:spacing w:after="0" w:line="240" w:lineRule="auto"/>
        <w:jc w:val="both"/>
        <w:outlineLvl w:val="1"/>
        <w:rPr>
          <w:rFonts w:ascii="Times New Roman" w:eastAsia="Times New Roman" w:hAnsi="Times New Roman" w:cs="Times New Roman"/>
          <w:b/>
        </w:rPr>
      </w:pPr>
    </w:p>
    <w:p w14:paraId="097E8C1E" w14:textId="77777777" w:rsidR="0064574A" w:rsidRPr="00F73CF8" w:rsidRDefault="00CF0A4B" w:rsidP="001277CF">
      <w:pPr>
        <w:tabs>
          <w:tab w:val="left" w:pos="6047"/>
        </w:tabs>
        <w:spacing w:after="0" w:line="240" w:lineRule="auto"/>
        <w:jc w:val="both"/>
        <w:outlineLvl w:val="1"/>
        <w:rPr>
          <w:rFonts w:ascii="Times New Roman" w:eastAsia="Times New Roman" w:hAnsi="Times New Roman" w:cs="Times New Roman"/>
          <w:b/>
        </w:rPr>
      </w:pPr>
      <w:r w:rsidRPr="00F73CF8">
        <w:rPr>
          <w:rFonts w:ascii="Times New Roman" w:hAnsi="Times New Roman" w:cs="Times New Roman"/>
          <w:noProof/>
          <w:sz w:val="48"/>
          <w:szCs w:val="50"/>
        </w:rPr>
        <w:drawing>
          <wp:inline distT="0" distB="0" distL="0" distR="0" wp14:anchorId="523856AA" wp14:editId="7C2CBCC8">
            <wp:extent cx="5760720" cy="1219835"/>
            <wp:effectExtent l="0" t="0" r="0" b="0"/>
            <wp:docPr id="2" name="Picture 2"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219835"/>
                    </a:xfrm>
                    <a:prstGeom prst="rect">
                      <a:avLst/>
                    </a:prstGeom>
                    <a:noFill/>
                    <a:ln>
                      <a:noFill/>
                    </a:ln>
                  </pic:spPr>
                </pic:pic>
              </a:graphicData>
            </a:graphic>
          </wp:inline>
        </w:drawing>
      </w:r>
    </w:p>
    <w:p w14:paraId="308BC3D8" w14:textId="77777777" w:rsidR="009E2A35" w:rsidRPr="00F73CF8" w:rsidRDefault="009E2A35" w:rsidP="001277CF">
      <w:pPr>
        <w:tabs>
          <w:tab w:val="left" w:pos="6047"/>
        </w:tabs>
        <w:spacing w:after="0" w:line="240" w:lineRule="auto"/>
        <w:jc w:val="both"/>
        <w:outlineLvl w:val="1"/>
        <w:rPr>
          <w:rFonts w:ascii="Times New Roman" w:eastAsia="Times New Roman" w:hAnsi="Times New Roman" w:cs="Times New Roman"/>
          <w:b/>
        </w:rPr>
      </w:pPr>
    </w:p>
    <w:p w14:paraId="5A669F73" w14:textId="77777777" w:rsidR="00D52FE9" w:rsidRPr="00F73CF8" w:rsidRDefault="00D52FE9" w:rsidP="001277CF">
      <w:pPr>
        <w:tabs>
          <w:tab w:val="center" w:pos="4320"/>
          <w:tab w:val="right" w:pos="8640"/>
        </w:tabs>
        <w:spacing w:after="0" w:line="240" w:lineRule="auto"/>
        <w:jc w:val="both"/>
        <w:rPr>
          <w:rFonts w:ascii="Times New Roman" w:eastAsia="Times New Roman" w:hAnsi="Times New Roman" w:cs="Times New Roman"/>
          <w:bCs/>
          <w:sz w:val="32"/>
          <w:szCs w:val="32"/>
          <w:lang w:eastAsia="ar-SA"/>
        </w:rPr>
      </w:pPr>
    </w:p>
    <w:p w14:paraId="14DD4774" w14:textId="77777777" w:rsidR="00EF5C41" w:rsidRPr="00F73CF8" w:rsidRDefault="00EF5C41" w:rsidP="001277CF">
      <w:pPr>
        <w:tabs>
          <w:tab w:val="center" w:pos="4320"/>
          <w:tab w:val="right" w:pos="8640"/>
        </w:tabs>
        <w:spacing w:after="0" w:line="240" w:lineRule="auto"/>
        <w:jc w:val="both"/>
        <w:rPr>
          <w:rFonts w:ascii="Times New Roman" w:eastAsia="Times New Roman" w:hAnsi="Times New Roman" w:cs="Times New Roman"/>
          <w:bCs/>
          <w:sz w:val="32"/>
          <w:szCs w:val="32"/>
          <w:lang w:eastAsia="ar-SA"/>
        </w:rPr>
      </w:pPr>
    </w:p>
    <w:p w14:paraId="7B2A03B9" w14:textId="77777777" w:rsidR="00EF5C41" w:rsidRPr="00F73CF8" w:rsidRDefault="00EF5C41" w:rsidP="001277CF">
      <w:pPr>
        <w:tabs>
          <w:tab w:val="center" w:pos="4320"/>
          <w:tab w:val="right" w:pos="8640"/>
        </w:tabs>
        <w:spacing w:after="0" w:line="240" w:lineRule="auto"/>
        <w:jc w:val="both"/>
        <w:rPr>
          <w:rFonts w:ascii="Times New Roman" w:eastAsia="Times New Roman" w:hAnsi="Times New Roman" w:cs="Times New Roman"/>
          <w:bCs/>
          <w:sz w:val="32"/>
          <w:szCs w:val="32"/>
          <w:lang w:eastAsia="ar-SA"/>
        </w:rPr>
      </w:pPr>
    </w:p>
    <w:p w14:paraId="5CD651D4" w14:textId="3DCF9D27" w:rsidR="00943330" w:rsidRPr="00F73CF8" w:rsidRDefault="000F69DF" w:rsidP="0023D18C">
      <w:pPr>
        <w:spacing w:after="0" w:line="240" w:lineRule="auto"/>
        <w:jc w:val="center"/>
        <w:rPr>
          <w:rStyle w:val="hps"/>
          <w:rFonts w:ascii="Times New Roman" w:hAnsi="Times New Roman" w:cs="Times New Roman"/>
          <w:b/>
          <w:bCs/>
          <w:color w:val="FF0000"/>
          <w:sz w:val="52"/>
          <w:szCs w:val="52"/>
        </w:rPr>
      </w:pPr>
      <w:r>
        <w:rPr>
          <w:rStyle w:val="hps"/>
          <w:rFonts w:ascii="Times New Roman" w:hAnsi="Times New Roman" w:cs="Times New Roman"/>
          <w:b/>
          <w:bCs/>
          <w:color w:val="FF0000"/>
          <w:sz w:val="52"/>
          <w:szCs w:val="52"/>
        </w:rPr>
        <w:t>DRUGI</w:t>
      </w:r>
      <w:r w:rsidRPr="0023D18C">
        <w:rPr>
          <w:rStyle w:val="hps"/>
          <w:rFonts w:ascii="Times New Roman" w:hAnsi="Times New Roman" w:cs="Times New Roman"/>
          <w:b/>
          <w:bCs/>
          <w:color w:val="FF0000"/>
          <w:sz w:val="52"/>
          <w:szCs w:val="52"/>
        </w:rPr>
        <w:t xml:space="preserve"> </w:t>
      </w:r>
      <w:r w:rsidR="0023D18C" w:rsidRPr="0023D18C">
        <w:rPr>
          <w:rStyle w:val="hps"/>
          <w:rFonts w:ascii="Times New Roman" w:hAnsi="Times New Roman" w:cs="Times New Roman"/>
          <w:b/>
          <w:bCs/>
          <w:color w:val="FF0000"/>
          <w:sz w:val="52"/>
          <w:szCs w:val="52"/>
        </w:rPr>
        <w:t>ISPRAVAK DOKUMENTACIJE</w:t>
      </w:r>
    </w:p>
    <w:p w14:paraId="437B73C6" w14:textId="77777777" w:rsidR="00943330" w:rsidRPr="00F73CF8" w:rsidRDefault="00943330" w:rsidP="001277CF">
      <w:pPr>
        <w:spacing w:after="0" w:line="240" w:lineRule="auto"/>
        <w:jc w:val="center"/>
        <w:rPr>
          <w:rStyle w:val="hps"/>
          <w:rFonts w:ascii="Times New Roman" w:hAnsi="Times New Roman" w:cs="Times New Roman"/>
          <w:b/>
          <w:sz w:val="36"/>
          <w:szCs w:val="32"/>
        </w:rPr>
      </w:pPr>
    </w:p>
    <w:p w14:paraId="1A46AEC4" w14:textId="632B2331" w:rsidR="00401224" w:rsidRPr="00F73CF8" w:rsidRDefault="499DB1B5" w:rsidP="499DB1B5">
      <w:pPr>
        <w:pStyle w:val="Subtitle"/>
        <w:spacing w:after="0"/>
        <w:jc w:val="center"/>
        <w:rPr>
          <w:rFonts w:ascii="Times New Roman" w:hAnsi="Times New Roman" w:cs="Times New Roman"/>
          <w:sz w:val="36"/>
          <w:szCs w:val="36"/>
        </w:rPr>
      </w:pPr>
      <w:r w:rsidRPr="499DB1B5">
        <w:rPr>
          <w:rFonts w:ascii="Times New Roman" w:hAnsi="Times New Roman" w:cs="Times New Roman"/>
          <w:sz w:val="36"/>
          <w:szCs w:val="36"/>
        </w:rPr>
        <w:t xml:space="preserve">Poziva na dostavu projektnih prijedloga u </w:t>
      </w:r>
      <w:r w:rsidR="00A77C5E">
        <w:rPr>
          <w:rFonts w:ascii="Times New Roman" w:hAnsi="Times New Roman" w:cs="Times New Roman"/>
          <w:sz w:val="36"/>
          <w:szCs w:val="36"/>
        </w:rPr>
        <w:t>ograničenom</w:t>
      </w:r>
      <w:r w:rsidR="00A77C5E" w:rsidRPr="499DB1B5">
        <w:rPr>
          <w:rFonts w:ascii="Times New Roman" w:hAnsi="Times New Roman" w:cs="Times New Roman"/>
          <w:sz w:val="36"/>
          <w:szCs w:val="36"/>
        </w:rPr>
        <w:t xml:space="preserve"> </w:t>
      </w:r>
      <w:r w:rsidRPr="499DB1B5">
        <w:rPr>
          <w:rFonts w:ascii="Times New Roman" w:hAnsi="Times New Roman" w:cs="Times New Roman"/>
          <w:sz w:val="36"/>
          <w:szCs w:val="36"/>
        </w:rPr>
        <w:t xml:space="preserve">postupku dodjele bespovratnih sredstava </w:t>
      </w:r>
    </w:p>
    <w:p w14:paraId="0A54B3F6" w14:textId="77777777" w:rsidR="00CF0A4B" w:rsidRPr="00F73CF8" w:rsidRDefault="00CF0A4B" w:rsidP="001277CF">
      <w:pPr>
        <w:spacing w:after="0" w:line="240" w:lineRule="auto"/>
        <w:jc w:val="center"/>
        <w:rPr>
          <w:rFonts w:ascii="Times New Roman" w:hAnsi="Times New Roman" w:cs="Times New Roman"/>
          <w:b/>
          <w:sz w:val="36"/>
          <w:szCs w:val="36"/>
        </w:rPr>
      </w:pPr>
    </w:p>
    <w:p w14:paraId="5EC35EC1" w14:textId="441D65C0" w:rsidR="00401224" w:rsidRPr="00F73CF8" w:rsidRDefault="0032079F" w:rsidP="499DB1B5">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Modernizacija, unapređenje i proširenje infrastrukture studentskog smještaja za studente u nepovoljnom</w:t>
      </w:r>
      <w:r w:rsidR="009835C5">
        <w:rPr>
          <w:rFonts w:ascii="Times New Roman" w:hAnsi="Times New Roman" w:cs="Times New Roman"/>
          <w:b/>
          <w:bCs/>
          <w:sz w:val="36"/>
          <w:szCs w:val="36"/>
        </w:rPr>
        <w:t xml:space="preserve"> položaju</w:t>
      </w:r>
    </w:p>
    <w:p w14:paraId="6392106B" w14:textId="77777777" w:rsidR="00401224" w:rsidRPr="00F73CF8" w:rsidRDefault="00401224" w:rsidP="001277CF">
      <w:pPr>
        <w:spacing w:after="0" w:line="240" w:lineRule="auto"/>
        <w:jc w:val="center"/>
        <w:rPr>
          <w:rFonts w:ascii="Times New Roman" w:hAnsi="Times New Roman" w:cs="Times New Roman"/>
          <w:b/>
          <w:sz w:val="36"/>
          <w:szCs w:val="36"/>
        </w:rPr>
      </w:pPr>
    </w:p>
    <w:p w14:paraId="003D9C1D" w14:textId="3A7D0A38" w:rsidR="00401224" w:rsidRPr="00F73CF8" w:rsidRDefault="0023D18C" w:rsidP="0023D18C">
      <w:pPr>
        <w:spacing w:after="0" w:line="240" w:lineRule="auto"/>
        <w:jc w:val="center"/>
        <w:rPr>
          <w:rFonts w:ascii="Times New Roman" w:hAnsi="Times New Roman" w:cs="Times New Roman"/>
          <w:b/>
          <w:bCs/>
          <w:sz w:val="36"/>
          <w:szCs w:val="36"/>
        </w:rPr>
      </w:pPr>
      <w:r w:rsidRPr="0023D18C">
        <w:rPr>
          <w:rFonts w:ascii="Times New Roman" w:hAnsi="Times New Roman" w:cs="Times New Roman"/>
          <w:b/>
          <w:bCs/>
          <w:sz w:val="36"/>
          <w:szCs w:val="36"/>
        </w:rPr>
        <w:t>Referentna oznaka: KK.0</w:t>
      </w:r>
      <w:r w:rsidR="00AA6D08">
        <w:rPr>
          <w:rFonts w:ascii="Times New Roman" w:hAnsi="Times New Roman" w:cs="Times New Roman"/>
          <w:b/>
          <w:bCs/>
          <w:sz w:val="36"/>
          <w:szCs w:val="36"/>
        </w:rPr>
        <w:t>9.1.2.01</w:t>
      </w:r>
    </w:p>
    <w:p w14:paraId="67711CF8" w14:textId="77777777" w:rsidR="00CF0A4B" w:rsidRPr="00F73CF8" w:rsidRDefault="00CF0A4B" w:rsidP="001277CF">
      <w:pPr>
        <w:spacing w:after="0" w:line="240" w:lineRule="auto"/>
        <w:jc w:val="center"/>
        <w:rPr>
          <w:rFonts w:ascii="Times New Roman" w:hAnsi="Times New Roman" w:cs="Times New Roman"/>
          <w:b/>
          <w:i/>
          <w:sz w:val="24"/>
          <w:szCs w:val="24"/>
        </w:rPr>
      </w:pPr>
    </w:p>
    <w:p w14:paraId="5E485E2C" w14:textId="77777777" w:rsidR="002D4820" w:rsidRPr="00F73CF8" w:rsidRDefault="002D4820"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76F93302" w14:textId="77777777" w:rsidR="002D4820" w:rsidRPr="00F73CF8" w:rsidRDefault="002D4820"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3DB2D58D" w14:textId="77777777" w:rsidR="002D4820" w:rsidRPr="00F73CF8" w:rsidRDefault="002D4820"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0D77398D" w14:textId="77777777" w:rsidR="002D4820" w:rsidRPr="00F73CF8" w:rsidRDefault="002D4820"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4308FDF6" w14:textId="77777777" w:rsidR="00CF75F9" w:rsidRPr="00F73CF8" w:rsidRDefault="00CF75F9" w:rsidP="001277CF">
      <w:pPr>
        <w:tabs>
          <w:tab w:val="center" w:pos="4320"/>
          <w:tab w:val="right" w:pos="8640"/>
        </w:tabs>
        <w:spacing w:after="0" w:line="240" w:lineRule="auto"/>
        <w:jc w:val="both"/>
        <w:rPr>
          <w:rFonts w:ascii="Times New Roman" w:hAnsi="Times New Roman" w:cs="Times New Roman"/>
          <w:i/>
          <w:sz w:val="24"/>
          <w:szCs w:val="24"/>
          <w:lang w:eastAsia="zh-CN"/>
        </w:rPr>
      </w:pPr>
    </w:p>
    <w:p w14:paraId="7B9F02D2" w14:textId="77777777" w:rsidR="00CF0A4B" w:rsidRPr="00F73CF8" w:rsidRDefault="00CF0A4B" w:rsidP="001277CF">
      <w:pPr>
        <w:tabs>
          <w:tab w:val="center" w:pos="4320"/>
          <w:tab w:val="right" w:pos="8640"/>
        </w:tabs>
        <w:spacing w:after="0" w:line="240" w:lineRule="auto"/>
        <w:jc w:val="both"/>
        <w:rPr>
          <w:rFonts w:ascii="Times New Roman" w:hAnsi="Times New Roman" w:cs="Times New Roman"/>
          <w:i/>
          <w:sz w:val="24"/>
          <w:szCs w:val="24"/>
          <w:lang w:eastAsia="zh-CN"/>
        </w:rPr>
      </w:pPr>
    </w:p>
    <w:p w14:paraId="4EB93178" w14:textId="77777777" w:rsidR="00CF0A4B" w:rsidRPr="00F73CF8" w:rsidRDefault="00CF0A4B" w:rsidP="001277CF">
      <w:pPr>
        <w:tabs>
          <w:tab w:val="center" w:pos="4320"/>
          <w:tab w:val="right" w:pos="8640"/>
        </w:tabs>
        <w:spacing w:after="0" w:line="240" w:lineRule="auto"/>
        <w:jc w:val="both"/>
        <w:rPr>
          <w:rFonts w:ascii="Times New Roman" w:hAnsi="Times New Roman" w:cs="Times New Roman"/>
          <w:i/>
          <w:sz w:val="24"/>
          <w:szCs w:val="24"/>
          <w:lang w:eastAsia="zh-CN"/>
        </w:rPr>
      </w:pPr>
    </w:p>
    <w:p w14:paraId="5DDBD168" w14:textId="77777777" w:rsidR="00CF0A4B" w:rsidRPr="00F73CF8" w:rsidRDefault="00CF0A4B" w:rsidP="001277CF">
      <w:pPr>
        <w:tabs>
          <w:tab w:val="center" w:pos="4320"/>
          <w:tab w:val="right" w:pos="8640"/>
        </w:tabs>
        <w:spacing w:after="0" w:line="240" w:lineRule="auto"/>
        <w:jc w:val="both"/>
        <w:rPr>
          <w:rFonts w:ascii="Times New Roman" w:hAnsi="Times New Roman" w:cs="Times New Roman"/>
          <w:i/>
          <w:sz w:val="24"/>
          <w:szCs w:val="24"/>
          <w:lang w:eastAsia="zh-CN"/>
        </w:rPr>
      </w:pPr>
    </w:p>
    <w:p w14:paraId="624492B6" w14:textId="77777777" w:rsidR="00CF0A4B" w:rsidRPr="00F73CF8" w:rsidRDefault="00CF0A4B"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2AE28FB9" w14:textId="77777777" w:rsidR="00EF5C41" w:rsidRPr="00F73CF8" w:rsidRDefault="00EF5C41"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6655B4BD" w14:textId="77777777" w:rsidR="00CF75F9" w:rsidRPr="00F73CF8" w:rsidRDefault="00CF75F9"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4910169E" w14:textId="77777777" w:rsidR="00CF75F9" w:rsidRPr="00F73CF8" w:rsidRDefault="00CF75F9"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5E6BFE2A" w14:textId="77777777" w:rsidR="00EF5C41" w:rsidRPr="00F73CF8" w:rsidRDefault="00EF5C41" w:rsidP="001277CF">
      <w:pPr>
        <w:tabs>
          <w:tab w:val="center" w:pos="4320"/>
          <w:tab w:val="right" w:pos="8640"/>
        </w:tabs>
        <w:spacing w:after="0" w:line="240" w:lineRule="auto"/>
        <w:jc w:val="both"/>
        <w:rPr>
          <w:rFonts w:ascii="Times New Roman" w:hAnsi="Times New Roman" w:cs="Times New Roman"/>
          <w:noProof/>
        </w:rPr>
      </w:pPr>
    </w:p>
    <w:p w14:paraId="79E4BF27"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0B4165AB"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10833A65"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57451E77"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1F15259C"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0D8A1CD2"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44FAE588" w14:textId="77777777" w:rsidR="001277CF" w:rsidRPr="00F73CF8" w:rsidRDefault="001277CF">
      <w:pPr>
        <w:rPr>
          <w:rFonts w:ascii="Times New Roman" w:hAnsi="Times New Roman" w:cs="Times New Roman"/>
          <w:noProof/>
        </w:rPr>
      </w:pPr>
      <w:r w:rsidRPr="00F73CF8">
        <w:rPr>
          <w:rFonts w:ascii="Times New Roman" w:hAnsi="Times New Roman" w:cs="Times New Roman"/>
          <w:noProof/>
        </w:rPr>
        <w:br w:type="page"/>
      </w:r>
    </w:p>
    <w:p w14:paraId="73118C44" w14:textId="77777777" w:rsidR="002348E7" w:rsidRPr="00F73CF8" w:rsidRDefault="002348E7" w:rsidP="001277CF">
      <w:pPr>
        <w:spacing w:after="0" w:line="240" w:lineRule="auto"/>
        <w:jc w:val="both"/>
        <w:rPr>
          <w:rFonts w:ascii="Times New Roman" w:hAnsi="Times New Roman" w:cs="Times New Roman"/>
          <w:noProof/>
        </w:rPr>
      </w:pPr>
    </w:p>
    <w:p w14:paraId="0D21E843" w14:textId="6D493844" w:rsidR="009D6B30" w:rsidRPr="00F73CF8" w:rsidRDefault="499DB1B5" w:rsidP="002A1B22">
      <w:pPr>
        <w:jc w:val="both"/>
        <w:rPr>
          <w:rFonts w:ascii="Times New Roman" w:hAnsi="Times New Roman" w:cs="Times New Roman"/>
          <w:sz w:val="24"/>
          <w:szCs w:val="24"/>
        </w:rPr>
      </w:pPr>
      <w:r w:rsidRPr="499DB1B5">
        <w:rPr>
          <w:rFonts w:ascii="Times New Roman" w:hAnsi="Times New Roman" w:cs="Times New Roman"/>
          <w:sz w:val="24"/>
          <w:szCs w:val="24"/>
        </w:rPr>
        <w:t xml:space="preserve">U Pozivu na dostavu projektnih prijedloga </w:t>
      </w:r>
      <w:r w:rsidR="00C15253">
        <w:rPr>
          <w:rFonts w:ascii="Times New Roman" w:hAnsi="Times New Roman" w:cs="Times New Roman"/>
          <w:i/>
          <w:iCs/>
          <w:sz w:val="24"/>
          <w:szCs w:val="24"/>
        </w:rPr>
        <w:t>Modernizacija, unapređenje i proširenje infrastrukture studentskog smještaja za studente u nepovoljnom položaju</w:t>
      </w:r>
      <w:r w:rsidRPr="499DB1B5">
        <w:rPr>
          <w:rFonts w:ascii="Times New Roman" w:hAnsi="Times New Roman" w:cs="Times New Roman"/>
          <w:sz w:val="24"/>
          <w:szCs w:val="24"/>
        </w:rPr>
        <w:t>, referentna oznaka: KK.0</w:t>
      </w:r>
      <w:r w:rsidR="00C15253">
        <w:rPr>
          <w:rFonts w:ascii="Times New Roman" w:hAnsi="Times New Roman" w:cs="Times New Roman"/>
          <w:sz w:val="24"/>
          <w:szCs w:val="24"/>
        </w:rPr>
        <w:t xml:space="preserve">9.1.2.01 </w:t>
      </w:r>
      <w:r w:rsidRPr="499DB1B5">
        <w:rPr>
          <w:rFonts w:ascii="Times New Roman" w:hAnsi="Times New Roman" w:cs="Times New Roman"/>
          <w:sz w:val="24"/>
          <w:szCs w:val="24"/>
        </w:rPr>
        <w:t xml:space="preserve">objavljenom </w:t>
      </w:r>
      <w:r w:rsidR="000F6F87" w:rsidRPr="000F6F87">
        <w:rPr>
          <w:rFonts w:ascii="Times New Roman" w:hAnsi="Times New Roman" w:cs="Times New Roman"/>
          <w:sz w:val="24"/>
          <w:szCs w:val="24"/>
        </w:rPr>
        <w:t>8</w:t>
      </w:r>
      <w:r w:rsidRPr="000F6F87">
        <w:rPr>
          <w:rFonts w:ascii="Times New Roman" w:hAnsi="Times New Roman" w:cs="Times New Roman"/>
          <w:sz w:val="24"/>
          <w:szCs w:val="24"/>
        </w:rPr>
        <w:t xml:space="preserve">. </w:t>
      </w:r>
      <w:r w:rsidR="00C15253" w:rsidRPr="000F6F87">
        <w:rPr>
          <w:rFonts w:ascii="Times New Roman" w:hAnsi="Times New Roman" w:cs="Times New Roman"/>
          <w:sz w:val="24"/>
          <w:szCs w:val="24"/>
        </w:rPr>
        <w:t>rujna</w:t>
      </w:r>
      <w:r w:rsidRPr="000F6F87">
        <w:rPr>
          <w:rFonts w:ascii="Times New Roman" w:hAnsi="Times New Roman" w:cs="Times New Roman"/>
          <w:sz w:val="24"/>
          <w:szCs w:val="24"/>
        </w:rPr>
        <w:t xml:space="preserve"> 201</w:t>
      </w:r>
      <w:r w:rsidR="00C15253" w:rsidRPr="000F6F87">
        <w:rPr>
          <w:rFonts w:ascii="Times New Roman" w:hAnsi="Times New Roman" w:cs="Times New Roman"/>
          <w:sz w:val="24"/>
          <w:szCs w:val="24"/>
        </w:rPr>
        <w:t>5</w:t>
      </w:r>
      <w:r w:rsidRPr="000F6F87">
        <w:rPr>
          <w:rFonts w:ascii="Times New Roman" w:hAnsi="Times New Roman" w:cs="Times New Roman"/>
          <w:sz w:val="24"/>
          <w:szCs w:val="24"/>
        </w:rPr>
        <w:t>.</w:t>
      </w:r>
      <w:r w:rsidRPr="499DB1B5">
        <w:rPr>
          <w:rFonts w:ascii="Times New Roman" w:hAnsi="Times New Roman" w:cs="Times New Roman"/>
          <w:sz w:val="24"/>
          <w:szCs w:val="24"/>
        </w:rPr>
        <w:t xml:space="preserve"> godine, mijenja se </w:t>
      </w:r>
      <w:r w:rsidR="005C158B" w:rsidRPr="00FF524E">
        <w:rPr>
          <w:rFonts w:ascii="Times New Roman" w:hAnsi="Times New Roman" w:cs="Times New Roman"/>
        </w:rPr>
        <w:t>ukupan raspoloživ iznos bespovratnih sredstava za dodjelu</w:t>
      </w:r>
      <w:r w:rsidR="007F3C14" w:rsidRPr="00FF524E">
        <w:rPr>
          <w:rFonts w:ascii="Times New Roman" w:hAnsi="Times New Roman" w:cs="Times New Roman"/>
        </w:rPr>
        <w:t xml:space="preserve"> sa 1.184.000.000.00 HRK na </w:t>
      </w:r>
      <w:r w:rsidR="002A1B22">
        <w:rPr>
          <w:rFonts w:ascii="Times New Roman" w:hAnsi="Times New Roman" w:cs="Times New Roman"/>
          <w:lang w:eastAsia="zh-CN"/>
        </w:rPr>
        <w:t>1.200.7</w:t>
      </w:r>
      <w:r w:rsidR="007F3C14" w:rsidRPr="00CE7A00">
        <w:rPr>
          <w:rFonts w:ascii="Times New Roman" w:hAnsi="Times New Roman" w:cs="Times New Roman"/>
          <w:lang w:eastAsia="zh-CN"/>
        </w:rPr>
        <w:t>00.000,00 HRK.</w:t>
      </w:r>
      <w:r w:rsidR="002A1B22">
        <w:rPr>
          <w:rFonts w:ascii="Times New Roman" w:hAnsi="Times New Roman" w:cs="Times New Roman"/>
          <w:sz w:val="24"/>
          <w:szCs w:val="24"/>
        </w:rPr>
        <w:t xml:space="preserve"> </w:t>
      </w:r>
      <w:r w:rsidR="000F6F87">
        <w:rPr>
          <w:rFonts w:ascii="Times New Roman" w:hAnsi="Times New Roman" w:cs="Times New Roman"/>
          <w:sz w:val="24"/>
          <w:szCs w:val="24"/>
        </w:rPr>
        <w:t>Sukladno navedenome, ažurirane</w:t>
      </w:r>
      <w:r w:rsidR="005C158B">
        <w:rPr>
          <w:rFonts w:ascii="Times New Roman" w:hAnsi="Times New Roman" w:cs="Times New Roman"/>
          <w:sz w:val="24"/>
          <w:szCs w:val="24"/>
        </w:rPr>
        <w:t xml:space="preserve"> su Uput</w:t>
      </w:r>
      <w:r w:rsidR="00CE7A00">
        <w:rPr>
          <w:rFonts w:ascii="Times New Roman" w:hAnsi="Times New Roman" w:cs="Times New Roman"/>
          <w:sz w:val="24"/>
          <w:szCs w:val="24"/>
        </w:rPr>
        <w:t>e za prijavitelje kako slijedi:</w:t>
      </w:r>
    </w:p>
    <w:p w14:paraId="3B58B81A" w14:textId="77777777" w:rsidR="00CE7A00" w:rsidRDefault="0023D18C" w:rsidP="0023D18C">
      <w:pPr>
        <w:pStyle w:val="ListParagraph"/>
        <w:numPr>
          <w:ilvl w:val="0"/>
          <w:numId w:val="27"/>
        </w:numPr>
        <w:spacing w:after="0" w:line="240" w:lineRule="auto"/>
        <w:jc w:val="both"/>
        <w:rPr>
          <w:rFonts w:ascii="Times New Roman" w:hAnsi="Times New Roman" w:cs="Times New Roman"/>
          <w:b/>
          <w:bCs/>
          <w:sz w:val="28"/>
          <w:szCs w:val="28"/>
        </w:rPr>
      </w:pPr>
      <w:r w:rsidRPr="0023D18C">
        <w:rPr>
          <w:rFonts w:ascii="Times New Roman" w:hAnsi="Times New Roman" w:cs="Times New Roman"/>
          <w:b/>
          <w:bCs/>
          <w:sz w:val="28"/>
          <w:szCs w:val="28"/>
        </w:rPr>
        <w:t>Upute za prijavitelje</w:t>
      </w:r>
    </w:p>
    <w:p w14:paraId="4F23E6EB" w14:textId="559B9C3B" w:rsidR="00CE7A00" w:rsidRPr="005B7163" w:rsidRDefault="00F45EB6" w:rsidP="002A1B22">
      <w:pPr>
        <w:spacing w:after="0" w:line="240" w:lineRule="auto"/>
        <w:jc w:val="both"/>
        <w:rPr>
          <w:rFonts w:cstheme="minorHAnsi"/>
          <w:sz w:val="24"/>
          <w:szCs w:val="24"/>
          <w:lang w:eastAsia="zh-CN"/>
        </w:rPr>
      </w:pPr>
      <w:r>
        <w:br/>
      </w:r>
      <w:r w:rsidR="00CE7A00" w:rsidRPr="005B7163">
        <w:rPr>
          <w:rFonts w:cstheme="minorHAnsi"/>
          <w:sz w:val="24"/>
          <w:szCs w:val="24"/>
          <w:lang w:eastAsia="zh-CN"/>
        </w:rPr>
        <w:t>1. TEMELJI I OPĆE ODREDBE</w:t>
      </w:r>
    </w:p>
    <w:p w14:paraId="42E6B058" w14:textId="77777777" w:rsidR="002A1B22" w:rsidRPr="002A1B22" w:rsidRDefault="002A1B22" w:rsidP="002A1B22">
      <w:pPr>
        <w:spacing w:after="0" w:line="240" w:lineRule="auto"/>
        <w:jc w:val="both"/>
        <w:rPr>
          <w:rFonts w:ascii="Times New Roman" w:hAnsi="Times New Roman" w:cs="Times New Roman"/>
          <w:b/>
          <w:bCs/>
          <w:sz w:val="28"/>
          <w:szCs w:val="28"/>
        </w:rPr>
      </w:pPr>
    </w:p>
    <w:p w14:paraId="61EA0A30" w14:textId="7CBF9925" w:rsidR="00B640E3" w:rsidRPr="00F73CF8" w:rsidRDefault="0023D18C" w:rsidP="00F46C36">
      <w:pPr>
        <w:pStyle w:val="ListParagraph"/>
        <w:spacing w:after="0" w:line="240" w:lineRule="auto"/>
        <w:ind w:left="0"/>
        <w:jc w:val="both"/>
        <w:rPr>
          <w:rFonts w:ascii="Times New Roman" w:hAnsi="Times New Roman" w:cs="Times New Roman"/>
          <w:sz w:val="24"/>
          <w:szCs w:val="24"/>
          <w:u w:val="single"/>
        </w:rPr>
      </w:pPr>
      <w:r w:rsidRPr="0023D18C">
        <w:rPr>
          <w:rFonts w:ascii="Times New Roman" w:hAnsi="Times New Roman" w:cs="Times New Roman"/>
          <w:b/>
          <w:bCs/>
          <w:sz w:val="28"/>
          <w:szCs w:val="28"/>
          <w:u w:val="single"/>
        </w:rPr>
        <w:t>STARI TEKST:</w:t>
      </w:r>
    </w:p>
    <w:p w14:paraId="2159AC71" w14:textId="77777777" w:rsidR="00CE7A00" w:rsidRPr="00CE7A00" w:rsidRDefault="00CE7A00" w:rsidP="00CE7A00">
      <w:pPr>
        <w:numPr>
          <w:ilvl w:val="1"/>
          <w:numId w:val="1"/>
        </w:numPr>
        <w:spacing w:before="240" w:after="240"/>
        <w:ind w:left="720"/>
        <w:contextualSpacing/>
        <w:outlineLvl w:val="1"/>
        <w:rPr>
          <w:rFonts w:cs="Lucida Sans Unicode"/>
          <w:b/>
          <w:lang w:eastAsia="zh-CN"/>
        </w:rPr>
      </w:pPr>
      <w:bookmarkStart w:id="0" w:name="_Toc423702367"/>
      <w:bookmarkStart w:id="1" w:name="_Toc425930840"/>
      <w:r w:rsidRPr="00CE7A00">
        <w:rPr>
          <w:rFonts w:cs="Lucida Sans Unicode"/>
          <w:b/>
          <w:lang w:eastAsia="zh-CN"/>
        </w:rPr>
        <w:t>Iznos bespovratnih sredstava</w:t>
      </w:r>
      <w:bookmarkEnd w:id="0"/>
      <w:bookmarkEnd w:id="1"/>
    </w:p>
    <w:p w14:paraId="08393C0D" w14:textId="77777777" w:rsidR="00CE7A00" w:rsidRPr="00CE7A00" w:rsidRDefault="00CE7A00" w:rsidP="00CE7A00">
      <w:pPr>
        <w:spacing w:after="0"/>
        <w:jc w:val="both"/>
        <w:rPr>
          <w:rFonts w:eastAsia="Calibri" w:cs="Tahoma"/>
          <w:lang w:eastAsia="lt-LT"/>
        </w:rPr>
      </w:pPr>
      <w:r w:rsidRPr="00CE7A00">
        <w:rPr>
          <w:rFonts w:eastAsia="Calibri" w:cs="Tahoma"/>
          <w:lang w:eastAsia="lt-LT"/>
        </w:rPr>
        <w:t xml:space="preserve">Ukupan raspoloživ iznos bespovratnih sredstava za dodjelu u okviru ovog Poziva je </w:t>
      </w:r>
      <w:r w:rsidRPr="00CE7A00">
        <w:rPr>
          <w:lang w:eastAsia="zh-CN"/>
        </w:rPr>
        <w:t>1.184.000.000,00 HRK.</w:t>
      </w:r>
    </w:p>
    <w:p w14:paraId="16C17FC3" w14:textId="77777777" w:rsidR="00CE7A00" w:rsidRPr="00CE7A00" w:rsidRDefault="00CE7A00" w:rsidP="00CE7A00">
      <w:pPr>
        <w:spacing w:after="0"/>
        <w:jc w:val="both"/>
        <w:rPr>
          <w:rFonts w:eastAsia="Calibri" w:cs="Tahoma"/>
          <w:lang w:eastAsia="lt-LT"/>
        </w:rPr>
      </w:pPr>
      <w:r w:rsidRPr="00CE7A00">
        <w:rPr>
          <w:rFonts w:eastAsia="Calibri" w:cs="Tahoma"/>
          <w:lang w:eastAsia="lt-LT"/>
        </w:rPr>
        <w:t>Maksimalno 25 % sredstava od ukupne financijske alokacije u okviru ovog Poziva dodijelit će se za provedbu aktivnosti koje uključuju rekonstrukciju postojećih studentskih domova odnosno za projekte iz podskupine 2.</w:t>
      </w:r>
    </w:p>
    <w:p w14:paraId="184F28CB" w14:textId="77777777" w:rsidR="00CE7A00" w:rsidRPr="00CE7A00" w:rsidRDefault="00CE7A00" w:rsidP="00CE7A00">
      <w:pPr>
        <w:spacing w:after="0"/>
        <w:rPr>
          <w:rFonts w:eastAsia="Calibri" w:cs="Tahoma"/>
          <w:lang w:eastAsia="lt-LT"/>
        </w:rPr>
      </w:pPr>
    </w:p>
    <w:tbl>
      <w:tblPr>
        <w:tblStyle w:val="LightList-Accent1"/>
        <w:tblW w:w="0" w:type="auto"/>
        <w:tblLook w:val="04E0" w:firstRow="1" w:lastRow="1" w:firstColumn="1" w:lastColumn="0" w:noHBand="0" w:noVBand="1"/>
      </w:tblPr>
      <w:tblGrid>
        <w:gridCol w:w="1526"/>
        <w:gridCol w:w="2268"/>
        <w:gridCol w:w="2693"/>
        <w:gridCol w:w="2801"/>
      </w:tblGrid>
      <w:tr w:rsidR="00CE7A00" w:rsidRPr="00CE7A00" w14:paraId="0FAB7B30" w14:textId="77777777" w:rsidTr="00A53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FDCBC21" w14:textId="77777777" w:rsidR="00CE7A00" w:rsidRPr="00CE7A00" w:rsidRDefault="00CE7A00" w:rsidP="00CE7A00">
            <w:pPr>
              <w:spacing w:after="200" w:line="276" w:lineRule="auto"/>
            </w:pPr>
          </w:p>
        </w:tc>
        <w:tc>
          <w:tcPr>
            <w:tcW w:w="2268" w:type="dxa"/>
          </w:tcPr>
          <w:p w14:paraId="422A034C" w14:textId="77777777" w:rsidR="00CE7A00" w:rsidRPr="00CE7A00" w:rsidRDefault="00CE7A00" w:rsidP="00CE7A00">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rsidRPr="00CE7A00">
              <w:t>Ukupna alokacija</w:t>
            </w:r>
          </w:p>
        </w:tc>
        <w:tc>
          <w:tcPr>
            <w:tcW w:w="2693" w:type="dxa"/>
          </w:tcPr>
          <w:p w14:paraId="60CD551F" w14:textId="77777777" w:rsidR="00CE7A00" w:rsidRPr="00CE7A00" w:rsidRDefault="00CE7A00" w:rsidP="00CE7A00">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rsidRPr="00CE7A00">
              <w:t>Minimalni iznos bespovratnih sredstava po projektu</w:t>
            </w:r>
          </w:p>
        </w:tc>
        <w:tc>
          <w:tcPr>
            <w:tcW w:w="2801" w:type="dxa"/>
          </w:tcPr>
          <w:p w14:paraId="40477049" w14:textId="77777777" w:rsidR="00CE7A00" w:rsidRPr="00CE7A00" w:rsidRDefault="00CE7A00" w:rsidP="00CE7A00">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rsidRPr="00CE7A00">
              <w:t>Maksimalni iznos bespovratnih sredstava po projektu</w:t>
            </w:r>
          </w:p>
        </w:tc>
      </w:tr>
      <w:tr w:rsidR="00CE7A00" w:rsidRPr="00CE7A00" w14:paraId="32ACFCEE" w14:textId="77777777" w:rsidTr="00A53A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0A18BAC" w14:textId="77777777" w:rsidR="00CE7A00" w:rsidRPr="00CE7A00" w:rsidRDefault="00CE7A00" w:rsidP="00CE7A00">
            <w:pPr>
              <w:tabs>
                <w:tab w:val="center" w:pos="4536"/>
                <w:tab w:val="right" w:pos="9072"/>
              </w:tabs>
            </w:pPr>
            <w:r w:rsidRPr="00CE7A00">
              <w:t xml:space="preserve">Podskupina 1 </w:t>
            </w:r>
          </w:p>
        </w:tc>
        <w:tc>
          <w:tcPr>
            <w:tcW w:w="2268" w:type="dxa"/>
          </w:tcPr>
          <w:p w14:paraId="107817E9" w14:textId="77777777" w:rsidR="00CE7A00" w:rsidRPr="00CE7A00" w:rsidRDefault="00CE7A00" w:rsidP="00CE7A00">
            <w:pPr>
              <w:jc w:val="center"/>
              <w:cnfStyle w:val="000000100000" w:firstRow="0" w:lastRow="0" w:firstColumn="0" w:lastColumn="0" w:oddVBand="0" w:evenVBand="0" w:oddHBand="1" w:evenHBand="0" w:firstRowFirstColumn="0" w:firstRowLastColumn="0" w:lastRowFirstColumn="0" w:lastRowLastColumn="0"/>
              <w:rPr>
                <w:color w:val="000000"/>
              </w:rPr>
            </w:pPr>
            <w:r w:rsidRPr="00CE7A00">
              <w:rPr>
                <w:color w:val="000000"/>
              </w:rPr>
              <w:t>888.000.000,00 HRK</w:t>
            </w:r>
          </w:p>
        </w:tc>
        <w:tc>
          <w:tcPr>
            <w:tcW w:w="2693" w:type="dxa"/>
          </w:tcPr>
          <w:p w14:paraId="6A39F1A0" w14:textId="77777777" w:rsidR="00CE7A00" w:rsidRPr="00CE7A00" w:rsidRDefault="00CE7A00" w:rsidP="00CE7A00">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rsidRPr="00CE7A00">
              <w:t>7.600.000,00 HRK</w:t>
            </w:r>
          </w:p>
        </w:tc>
        <w:tc>
          <w:tcPr>
            <w:tcW w:w="2801" w:type="dxa"/>
          </w:tcPr>
          <w:p w14:paraId="4BF778DE" w14:textId="77777777" w:rsidR="00CE7A00" w:rsidRPr="00CE7A00" w:rsidRDefault="00CE7A00" w:rsidP="00CE7A00">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rsidRPr="00CE7A00">
              <w:t>Do ukupno 225.000.000,00 HRK i</w:t>
            </w:r>
          </w:p>
          <w:p w14:paraId="6FE4AC25" w14:textId="77777777" w:rsidR="00CE7A00" w:rsidRPr="00CE7A00" w:rsidRDefault="00CE7A00" w:rsidP="00CE7A00">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rsidRPr="00CE7A00">
              <w:t xml:space="preserve"> do 240.000,00 HRK (uključujući PDV) jediničnog troška po krevetu</w:t>
            </w:r>
            <w:r w:rsidRPr="00CE7A00">
              <w:rPr>
                <w:vertAlign w:val="superscript"/>
              </w:rPr>
              <w:footnoteReference w:id="1"/>
            </w:r>
            <w:r w:rsidRPr="00CE7A00">
              <w:t xml:space="preserve"> u slučaju izgradnje studentskog doma kada u mjestu provedbe projekta studentski dom već postoji odnosno do 300.000,00 HRK (uključujući PDV) jediničnog troška po krevetu u slučaju izgradnje studentskog doma kada u mjestu provedbe projekta studentski dom još ne postoji</w:t>
            </w:r>
          </w:p>
        </w:tc>
      </w:tr>
      <w:tr w:rsidR="00CE7A00" w:rsidRPr="00CE7A00" w14:paraId="69108145" w14:textId="77777777" w:rsidTr="00A53ABF">
        <w:tc>
          <w:tcPr>
            <w:cnfStyle w:val="001000000000" w:firstRow="0" w:lastRow="0" w:firstColumn="1" w:lastColumn="0" w:oddVBand="0" w:evenVBand="0" w:oddHBand="0" w:evenHBand="0" w:firstRowFirstColumn="0" w:firstRowLastColumn="0" w:lastRowFirstColumn="0" w:lastRowLastColumn="0"/>
            <w:tcW w:w="1526" w:type="dxa"/>
          </w:tcPr>
          <w:p w14:paraId="3170091C" w14:textId="77777777" w:rsidR="00CE7A00" w:rsidRPr="00CE7A00" w:rsidRDefault="00CE7A00" w:rsidP="00CE7A00">
            <w:pPr>
              <w:tabs>
                <w:tab w:val="center" w:pos="4536"/>
                <w:tab w:val="right" w:pos="9072"/>
              </w:tabs>
            </w:pPr>
            <w:r w:rsidRPr="00CE7A00">
              <w:t xml:space="preserve">Podskupina 2 </w:t>
            </w:r>
          </w:p>
        </w:tc>
        <w:tc>
          <w:tcPr>
            <w:tcW w:w="2268" w:type="dxa"/>
          </w:tcPr>
          <w:p w14:paraId="321A3810" w14:textId="77777777" w:rsidR="00CE7A00" w:rsidRPr="00CE7A00" w:rsidRDefault="00CE7A00" w:rsidP="00CE7A00">
            <w:pPr>
              <w:jc w:val="center"/>
              <w:cnfStyle w:val="000000000000" w:firstRow="0" w:lastRow="0" w:firstColumn="0" w:lastColumn="0" w:oddVBand="0" w:evenVBand="0" w:oddHBand="0" w:evenHBand="0" w:firstRowFirstColumn="0" w:firstRowLastColumn="0" w:lastRowFirstColumn="0" w:lastRowLastColumn="0"/>
              <w:rPr>
                <w:color w:val="000000"/>
              </w:rPr>
            </w:pPr>
            <w:r w:rsidRPr="00CE7A00">
              <w:rPr>
                <w:color w:val="000000"/>
              </w:rPr>
              <w:t>296.000.000,00 HRK</w:t>
            </w:r>
          </w:p>
        </w:tc>
        <w:tc>
          <w:tcPr>
            <w:tcW w:w="2693" w:type="dxa"/>
          </w:tcPr>
          <w:p w14:paraId="32E57CD4" w14:textId="77777777" w:rsidR="00CE7A00" w:rsidRPr="00CE7A00" w:rsidRDefault="00CE7A00" w:rsidP="00CE7A00">
            <w:pPr>
              <w:tabs>
                <w:tab w:val="center" w:pos="4536"/>
                <w:tab w:val="right" w:pos="9072"/>
              </w:tabs>
              <w:jc w:val="center"/>
              <w:cnfStyle w:val="000000000000" w:firstRow="0" w:lastRow="0" w:firstColumn="0" w:lastColumn="0" w:oddVBand="0" w:evenVBand="0" w:oddHBand="0" w:evenHBand="0" w:firstRowFirstColumn="0" w:firstRowLastColumn="0" w:lastRowFirstColumn="0" w:lastRowLastColumn="0"/>
            </w:pPr>
            <w:r w:rsidRPr="00CE7A00">
              <w:t>7.600.000,00 HRK</w:t>
            </w:r>
          </w:p>
        </w:tc>
        <w:tc>
          <w:tcPr>
            <w:tcW w:w="2801" w:type="dxa"/>
          </w:tcPr>
          <w:p w14:paraId="28F2A1A4" w14:textId="77777777" w:rsidR="00CE7A00" w:rsidRPr="00CE7A00" w:rsidRDefault="00CE7A00" w:rsidP="00CE7A00">
            <w:pPr>
              <w:jc w:val="center"/>
              <w:cnfStyle w:val="000000000000" w:firstRow="0" w:lastRow="0" w:firstColumn="0" w:lastColumn="0" w:oddVBand="0" w:evenVBand="0" w:oddHBand="0" w:evenHBand="0" w:firstRowFirstColumn="0" w:firstRowLastColumn="0" w:lastRowFirstColumn="0" w:lastRowLastColumn="0"/>
            </w:pPr>
            <w:r w:rsidRPr="00CE7A00">
              <w:t xml:space="preserve"> Do ukupno 230.000.000,00 HRK i </w:t>
            </w:r>
          </w:p>
          <w:p w14:paraId="7F2FD522" w14:textId="77777777" w:rsidR="00CE7A00" w:rsidRPr="00CE7A00" w:rsidRDefault="00CE7A00" w:rsidP="00CE7A00">
            <w:pPr>
              <w:jc w:val="center"/>
              <w:cnfStyle w:val="000000000000" w:firstRow="0" w:lastRow="0" w:firstColumn="0" w:lastColumn="0" w:oddVBand="0" w:evenVBand="0" w:oddHBand="0" w:evenHBand="0" w:firstRowFirstColumn="0" w:firstRowLastColumn="0" w:lastRowFirstColumn="0" w:lastRowLastColumn="0"/>
            </w:pPr>
            <w:r w:rsidRPr="00CE7A00">
              <w:t>do 70.000,00 HRK (uključujući PDV) jediničnog troška po obnovljenom krevetu</w:t>
            </w:r>
            <w:r w:rsidRPr="00CE7A00">
              <w:rPr>
                <w:vertAlign w:val="superscript"/>
              </w:rPr>
              <w:footnoteReference w:id="2"/>
            </w:r>
          </w:p>
        </w:tc>
      </w:tr>
      <w:tr w:rsidR="00CE7A00" w:rsidRPr="00CE7A00" w14:paraId="15CB5F92" w14:textId="77777777" w:rsidTr="00A53AB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93C2116" w14:textId="77777777" w:rsidR="00CE7A00" w:rsidRPr="00CE7A00" w:rsidRDefault="00CE7A00" w:rsidP="00CE7A00">
            <w:pPr>
              <w:spacing w:after="200" w:line="276" w:lineRule="auto"/>
            </w:pPr>
          </w:p>
        </w:tc>
        <w:tc>
          <w:tcPr>
            <w:tcW w:w="2268" w:type="dxa"/>
          </w:tcPr>
          <w:p w14:paraId="52CE2DD8" w14:textId="77777777" w:rsidR="00CE7A00" w:rsidRPr="00CE7A00" w:rsidRDefault="00CE7A00" w:rsidP="00CE7A00">
            <w:pPr>
              <w:tabs>
                <w:tab w:val="center" w:pos="4536"/>
                <w:tab w:val="right" w:pos="9072"/>
              </w:tabs>
              <w:jc w:val="center"/>
              <w:cnfStyle w:val="010000000000" w:firstRow="0" w:lastRow="1" w:firstColumn="0" w:lastColumn="0" w:oddVBand="0" w:evenVBand="0" w:oddHBand="0" w:evenHBand="0" w:firstRowFirstColumn="0" w:firstRowLastColumn="0" w:lastRowFirstColumn="0" w:lastRowLastColumn="0"/>
            </w:pPr>
            <w:r w:rsidRPr="00CE7A00">
              <w:t xml:space="preserve">1.184.000.000,00 HRK  </w:t>
            </w:r>
          </w:p>
        </w:tc>
        <w:tc>
          <w:tcPr>
            <w:tcW w:w="2693" w:type="dxa"/>
          </w:tcPr>
          <w:p w14:paraId="4AC1A40A" w14:textId="77777777" w:rsidR="00CE7A00" w:rsidRPr="00CE7A00" w:rsidRDefault="00CE7A00" w:rsidP="00CE7A00">
            <w:pPr>
              <w:spacing w:after="200" w:line="276" w:lineRule="auto"/>
              <w:jc w:val="center"/>
              <w:cnfStyle w:val="010000000000" w:firstRow="0" w:lastRow="1" w:firstColumn="0" w:lastColumn="0" w:oddVBand="0" w:evenVBand="0" w:oddHBand="0" w:evenHBand="0" w:firstRowFirstColumn="0" w:firstRowLastColumn="0" w:lastRowFirstColumn="0" w:lastRowLastColumn="0"/>
            </w:pPr>
          </w:p>
        </w:tc>
        <w:tc>
          <w:tcPr>
            <w:tcW w:w="2801" w:type="dxa"/>
          </w:tcPr>
          <w:p w14:paraId="01BEF50B" w14:textId="77777777" w:rsidR="00CE7A00" w:rsidRPr="00CE7A00" w:rsidRDefault="00CE7A00" w:rsidP="00CE7A00">
            <w:pPr>
              <w:spacing w:after="200" w:line="276" w:lineRule="auto"/>
              <w:jc w:val="center"/>
              <w:cnfStyle w:val="010000000000" w:firstRow="0" w:lastRow="1" w:firstColumn="0" w:lastColumn="0" w:oddVBand="0" w:evenVBand="0" w:oddHBand="0" w:evenHBand="0" w:firstRowFirstColumn="0" w:firstRowLastColumn="0" w:lastRowFirstColumn="0" w:lastRowLastColumn="0"/>
            </w:pPr>
          </w:p>
        </w:tc>
      </w:tr>
    </w:tbl>
    <w:p w14:paraId="361E1CD7" w14:textId="77777777" w:rsidR="00CE7A00" w:rsidRPr="00CE7A00" w:rsidRDefault="00CE7A00" w:rsidP="00CE7A00">
      <w:pPr>
        <w:spacing w:after="0"/>
        <w:jc w:val="both"/>
        <w:rPr>
          <w:lang w:eastAsia="zh-CN"/>
        </w:rPr>
      </w:pPr>
    </w:p>
    <w:p w14:paraId="135A0544" w14:textId="77777777" w:rsidR="00F86660" w:rsidRPr="00F86660" w:rsidRDefault="00F86660" w:rsidP="00F86660">
      <w:pPr>
        <w:rPr>
          <w:lang w:eastAsia="zh-CN"/>
        </w:rPr>
      </w:pPr>
    </w:p>
    <w:p w14:paraId="0981DBD7" w14:textId="77777777" w:rsidR="008D1A5A" w:rsidRDefault="0023D18C" w:rsidP="0023D18C">
      <w:pPr>
        <w:pStyle w:val="ListParagraph"/>
        <w:spacing w:after="0" w:line="240" w:lineRule="auto"/>
        <w:ind w:left="0"/>
        <w:jc w:val="both"/>
        <w:rPr>
          <w:rFonts w:ascii="Times New Roman" w:hAnsi="Times New Roman" w:cs="Times New Roman"/>
          <w:b/>
          <w:bCs/>
          <w:sz w:val="28"/>
          <w:szCs w:val="28"/>
          <w:u w:val="single"/>
        </w:rPr>
      </w:pPr>
      <w:r w:rsidRPr="0023D18C">
        <w:rPr>
          <w:rFonts w:ascii="Times New Roman" w:hAnsi="Times New Roman" w:cs="Times New Roman"/>
          <w:b/>
          <w:bCs/>
          <w:sz w:val="28"/>
          <w:szCs w:val="28"/>
          <w:u w:val="single"/>
        </w:rPr>
        <w:t>NOVI TEKST:</w:t>
      </w:r>
    </w:p>
    <w:p w14:paraId="5442DE4F" w14:textId="77777777" w:rsidR="008D1A5A" w:rsidRDefault="008D1A5A" w:rsidP="008D1A5A">
      <w:pPr>
        <w:pStyle w:val="ListParagraph"/>
        <w:spacing w:after="0" w:line="240" w:lineRule="auto"/>
        <w:ind w:left="0"/>
        <w:jc w:val="both"/>
        <w:rPr>
          <w:rFonts w:ascii="Times New Roman" w:hAnsi="Times New Roman" w:cs="Times New Roman"/>
          <w:b/>
          <w:sz w:val="28"/>
          <w:szCs w:val="28"/>
          <w:u w:val="single"/>
        </w:rPr>
      </w:pPr>
    </w:p>
    <w:p w14:paraId="4C341050" w14:textId="4E416164" w:rsidR="00CE7A00" w:rsidRPr="00B30465" w:rsidRDefault="00CE7A00" w:rsidP="00B30465">
      <w:pPr>
        <w:jc w:val="both"/>
        <w:rPr>
          <w:rFonts w:ascii="Times New Roman" w:hAnsi="Times New Roman" w:cs="Times New Roman"/>
          <w:sz w:val="24"/>
          <w:szCs w:val="24"/>
          <w:lang w:eastAsia="zh-CN"/>
        </w:rPr>
      </w:pPr>
      <w:r>
        <w:rPr>
          <w:rFonts w:ascii="Times New Roman" w:hAnsi="Times New Roman" w:cs="Times New Roman"/>
          <w:sz w:val="24"/>
          <w:szCs w:val="24"/>
          <w:lang w:eastAsia="zh-CN"/>
        </w:rPr>
        <w:t>1.4. Iznos bespovratnih sredstava</w:t>
      </w:r>
    </w:p>
    <w:p w14:paraId="4B0EA743" w14:textId="77777777" w:rsidR="00CE7A00" w:rsidRPr="00CE7A00" w:rsidRDefault="00CE7A00" w:rsidP="00CE7A00">
      <w:pPr>
        <w:spacing w:after="0"/>
        <w:jc w:val="both"/>
        <w:rPr>
          <w:highlight w:val="yellow"/>
          <w:lang w:eastAsia="zh-CN"/>
        </w:rPr>
      </w:pPr>
      <w:r w:rsidRPr="00CE7A00">
        <w:rPr>
          <w:rFonts w:eastAsia="Calibri" w:cs="Tahoma"/>
          <w:lang w:eastAsia="lt-LT"/>
        </w:rPr>
        <w:t xml:space="preserve">Ukupan raspoloživ iznos bespovratnih sredstava za dodjelu u okviru ovog Poziva je </w:t>
      </w:r>
      <w:r w:rsidRPr="00CE7A00">
        <w:rPr>
          <w:highlight w:val="yellow"/>
          <w:lang w:eastAsia="zh-CN"/>
        </w:rPr>
        <w:t>1.200.700.000,00 HRK.</w:t>
      </w:r>
    </w:p>
    <w:p w14:paraId="0C339002" w14:textId="77777777" w:rsidR="00CE7A00" w:rsidRPr="00CE7A00" w:rsidRDefault="00CE7A00" w:rsidP="00CE7A00">
      <w:pPr>
        <w:spacing w:after="0"/>
        <w:jc w:val="both"/>
        <w:rPr>
          <w:rFonts w:eastAsia="Calibri" w:cs="Tahoma"/>
          <w:lang w:eastAsia="lt-LT"/>
        </w:rPr>
      </w:pPr>
      <w:r w:rsidRPr="00CE7A00">
        <w:rPr>
          <w:rFonts w:eastAsia="Calibri" w:cs="Tahoma"/>
          <w:lang w:eastAsia="lt-LT"/>
        </w:rPr>
        <w:t>Maksimalno 25 % sredstava od ukupne financijske alokacije u okviru ovog Poziva dodijelit će se za provedbu aktivnosti koje uključuju rekonstrukciju postojećih studentskih domova odnosno za projekte iz podskupine 2.</w:t>
      </w:r>
    </w:p>
    <w:p w14:paraId="312847F6" w14:textId="77777777" w:rsidR="00CE7A00" w:rsidRPr="00CE7A00" w:rsidRDefault="00CE7A00" w:rsidP="00CE7A00">
      <w:pPr>
        <w:spacing w:after="0"/>
        <w:rPr>
          <w:rFonts w:eastAsia="Calibri" w:cs="Tahoma"/>
          <w:lang w:eastAsia="lt-LT"/>
        </w:rPr>
      </w:pPr>
    </w:p>
    <w:tbl>
      <w:tblPr>
        <w:tblStyle w:val="LightList-Accent1"/>
        <w:tblW w:w="0" w:type="auto"/>
        <w:tblLook w:val="04E0" w:firstRow="1" w:lastRow="1" w:firstColumn="1" w:lastColumn="0" w:noHBand="0" w:noVBand="1"/>
      </w:tblPr>
      <w:tblGrid>
        <w:gridCol w:w="1526"/>
        <w:gridCol w:w="2268"/>
        <w:gridCol w:w="2693"/>
        <w:gridCol w:w="2801"/>
      </w:tblGrid>
      <w:tr w:rsidR="00CE7A00" w:rsidRPr="00CE7A00" w14:paraId="04420F55" w14:textId="77777777" w:rsidTr="00A53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15D7AC9" w14:textId="77777777" w:rsidR="00CE7A00" w:rsidRPr="00CE7A00" w:rsidRDefault="00CE7A00" w:rsidP="00CE7A00">
            <w:pPr>
              <w:spacing w:after="200" w:line="276" w:lineRule="auto"/>
            </w:pPr>
          </w:p>
        </w:tc>
        <w:tc>
          <w:tcPr>
            <w:tcW w:w="2268" w:type="dxa"/>
          </w:tcPr>
          <w:p w14:paraId="2A3C69BB" w14:textId="77777777" w:rsidR="00CE7A00" w:rsidRPr="00CE7A00" w:rsidRDefault="00CE7A00" w:rsidP="00CE7A00">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rsidRPr="00CE7A00">
              <w:t>Ukupna alokacija</w:t>
            </w:r>
          </w:p>
        </w:tc>
        <w:tc>
          <w:tcPr>
            <w:tcW w:w="2693" w:type="dxa"/>
          </w:tcPr>
          <w:p w14:paraId="6AB0F662" w14:textId="77777777" w:rsidR="00CE7A00" w:rsidRPr="00CE7A00" w:rsidRDefault="00CE7A00" w:rsidP="00CE7A00">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rsidRPr="00CE7A00">
              <w:t>Minimalni iznos bespovratnih sredstava po projektu</w:t>
            </w:r>
          </w:p>
        </w:tc>
        <w:tc>
          <w:tcPr>
            <w:tcW w:w="2801" w:type="dxa"/>
          </w:tcPr>
          <w:p w14:paraId="21E90A6F" w14:textId="77777777" w:rsidR="00CE7A00" w:rsidRPr="00CE7A00" w:rsidRDefault="00CE7A00" w:rsidP="00CE7A00">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rsidRPr="00CE7A00">
              <w:t>Maksimalni iznos bespovratnih sredstava po projektu</w:t>
            </w:r>
          </w:p>
        </w:tc>
      </w:tr>
      <w:tr w:rsidR="00CE7A00" w:rsidRPr="00CE7A00" w14:paraId="43DBCBF8" w14:textId="77777777" w:rsidTr="00A53A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552DC89" w14:textId="77777777" w:rsidR="00CE7A00" w:rsidRPr="00CE7A00" w:rsidRDefault="00CE7A00" w:rsidP="00CE7A00">
            <w:pPr>
              <w:tabs>
                <w:tab w:val="center" w:pos="4536"/>
                <w:tab w:val="right" w:pos="9072"/>
              </w:tabs>
            </w:pPr>
            <w:r w:rsidRPr="00CE7A00">
              <w:t xml:space="preserve">Podskupina 1 </w:t>
            </w:r>
          </w:p>
        </w:tc>
        <w:tc>
          <w:tcPr>
            <w:tcW w:w="2268" w:type="dxa"/>
          </w:tcPr>
          <w:p w14:paraId="06E35781" w14:textId="77777777" w:rsidR="00CE7A00" w:rsidRPr="00CE7A00" w:rsidRDefault="00CE7A00" w:rsidP="00CE7A00">
            <w:pPr>
              <w:jc w:val="center"/>
              <w:cnfStyle w:val="000000100000" w:firstRow="0" w:lastRow="0" w:firstColumn="0" w:lastColumn="0" w:oddVBand="0" w:evenVBand="0" w:oddHBand="1" w:evenHBand="0" w:firstRowFirstColumn="0" w:firstRowLastColumn="0" w:lastRowFirstColumn="0" w:lastRowLastColumn="0"/>
              <w:rPr>
                <w:color w:val="000000"/>
                <w:highlight w:val="yellow"/>
              </w:rPr>
            </w:pPr>
            <w:r w:rsidRPr="00CE7A00">
              <w:rPr>
                <w:color w:val="000000"/>
                <w:highlight w:val="yellow"/>
              </w:rPr>
              <w:t>934.650.000,00 HRK</w:t>
            </w:r>
          </w:p>
        </w:tc>
        <w:tc>
          <w:tcPr>
            <w:tcW w:w="2693" w:type="dxa"/>
          </w:tcPr>
          <w:p w14:paraId="5AA09A59" w14:textId="77777777" w:rsidR="00CE7A00" w:rsidRPr="00CE7A00" w:rsidRDefault="00CE7A00" w:rsidP="00CE7A00">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rsidRPr="00CE7A00">
              <w:t>7.600.000,00 HRK</w:t>
            </w:r>
          </w:p>
        </w:tc>
        <w:tc>
          <w:tcPr>
            <w:tcW w:w="2801" w:type="dxa"/>
          </w:tcPr>
          <w:p w14:paraId="5E4E21CB" w14:textId="77777777" w:rsidR="00CE7A00" w:rsidRPr="00CE7A00" w:rsidRDefault="00CE7A00" w:rsidP="00CE7A00">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rsidRPr="00CE7A00">
              <w:t>Do ukupno 225.000.000,00 HRK i</w:t>
            </w:r>
          </w:p>
          <w:p w14:paraId="7673644D" w14:textId="77777777" w:rsidR="00CE7A00" w:rsidRPr="00CE7A00" w:rsidRDefault="00CE7A00" w:rsidP="00CE7A00">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rsidRPr="00CE7A00">
              <w:t xml:space="preserve"> do 240.000,00 HRK (uključujući PDV) jediničnog troška po krevetu</w:t>
            </w:r>
            <w:r w:rsidRPr="00CE7A00">
              <w:rPr>
                <w:vertAlign w:val="superscript"/>
              </w:rPr>
              <w:footnoteReference w:id="3"/>
            </w:r>
            <w:r w:rsidRPr="00CE7A00">
              <w:t xml:space="preserve"> u slučaju izgradnje studentskog doma kada u mjestu provedbe projekta studentski dom već postoji odnosno do 300.000,00 HRK (uključujući PDV) jediničnog troška po krevetu u slučaju izgradnje studentskog doma kada u mjestu provedbe projekta studentski dom još ne postoji</w:t>
            </w:r>
          </w:p>
        </w:tc>
      </w:tr>
      <w:tr w:rsidR="00CE7A00" w:rsidRPr="00CE7A00" w14:paraId="657EE51B" w14:textId="77777777" w:rsidTr="00A53ABF">
        <w:tc>
          <w:tcPr>
            <w:cnfStyle w:val="001000000000" w:firstRow="0" w:lastRow="0" w:firstColumn="1" w:lastColumn="0" w:oddVBand="0" w:evenVBand="0" w:oddHBand="0" w:evenHBand="0" w:firstRowFirstColumn="0" w:firstRowLastColumn="0" w:lastRowFirstColumn="0" w:lastRowLastColumn="0"/>
            <w:tcW w:w="1526" w:type="dxa"/>
          </w:tcPr>
          <w:p w14:paraId="622CB572" w14:textId="77777777" w:rsidR="00CE7A00" w:rsidRPr="00CE7A00" w:rsidRDefault="00CE7A00" w:rsidP="00CE7A00">
            <w:pPr>
              <w:tabs>
                <w:tab w:val="center" w:pos="4536"/>
                <w:tab w:val="right" w:pos="9072"/>
              </w:tabs>
            </w:pPr>
            <w:r w:rsidRPr="00CE7A00">
              <w:t xml:space="preserve">Podskupina 2 </w:t>
            </w:r>
          </w:p>
        </w:tc>
        <w:tc>
          <w:tcPr>
            <w:tcW w:w="2268" w:type="dxa"/>
          </w:tcPr>
          <w:p w14:paraId="6839B3C6" w14:textId="77777777" w:rsidR="00CE7A00" w:rsidRPr="00CE7A00" w:rsidRDefault="00CE7A00" w:rsidP="00CE7A00">
            <w:pPr>
              <w:jc w:val="center"/>
              <w:cnfStyle w:val="000000000000" w:firstRow="0" w:lastRow="0" w:firstColumn="0" w:lastColumn="0" w:oddVBand="0" w:evenVBand="0" w:oddHBand="0" w:evenHBand="0" w:firstRowFirstColumn="0" w:firstRowLastColumn="0" w:lastRowFirstColumn="0" w:lastRowLastColumn="0"/>
              <w:rPr>
                <w:color w:val="000000"/>
                <w:highlight w:val="yellow"/>
              </w:rPr>
            </w:pPr>
            <w:r w:rsidRPr="00CE7A00">
              <w:rPr>
                <w:color w:val="000000"/>
                <w:highlight w:val="yellow"/>
              </w:rPr>
              <w:t>266.050.000,00 HRK</w:t>
            </w:r>
          </w:p>
        </w:tc>
        <w:tc>
          <w:tcPr>
            <w:tcW w:w="2693" w:type="dxa"/>
          </w:tcPr>
          <w:p w14:paraId="08B29936" w14:textId="77777777" w:rsidR="00CE7A00" w:rsidRPr="00CE7A00" w:rsidRDefault="00CE7A00" w:rsidP="00CE7A00">
            <w:pPr>
              <w:tabs>
                <w:tab w:val="center" w:pos="4536"/>
                <w:tab w:val="right" w:pos="9072"/>
              </w:tabs>
              <w:jc w:val="center"/>
              <w:cnfStyle w:val="000000000000" w:firstRow="0" w:lastRow="0" w:firstColumn="0" w:lastColumn="0" w:oddVBand="0" w:evenVBand="0" w:oddHBand="0" w:evenHBand="0" w:firstRowFirstColumn="0" w:firstRowLastColumn="0" w:lastRowFirstColumn="0" w:lastRowLastColumn="0"/>
            </w:pPr>
            <w:r w:rsidRPr="00CE7A00">
              <w:t>7.600.000,00 HRK</w:t>
            </w:r>
          </w:p>
        </w:tc>
        <w:tc>
          <w:tcPr>
            <w:tcW w:w="2801" w:type="dxa"/>
          </w:tcPr>
          <w:p w14:paraId="46AC5DC5" w14:textId="77777777" w:rsidR="00CE7A00" w:rsidRPr="00CE7A00" w:rsidRDefault="00CE7A00" w:rsidP="00CE7A00">
            <w:pPr>
              <w:jc w:val="center"/>
              <w:cnfStyle w:val="000000000000" w:firstRow="0" w:lastRow="0" w:firstColumn="0" w:lastColumn="0" w:oddVBand="0" w:evenVBand="0" w:oddHBand="0" w:evenHBand="0" w:firstRowFirstColumn="0" w:firstRowLastColumn="0" w:lastRowFirstColumn="0" w:lastRowLastColumn="0"/>
            </w:pPr>
            <w:r w:rsidRPr="00CE7A00">
              <w:t xml:space="preserve"> Do ukupno 230.000.000,00 HRK i </w:t>
            </w:r>
          </w:p>
          <w:p w14:paraId="5D962E66" w14:textId="77777777" w:rsidR="00CE7A00" w:rsidRPr="00CE7A00" w:rsidRDefault="00CE7A00" w:rsidP="00CE7A00">
            <w:pPr>
              <w:jc w:val="center"/>
              <w:cnfStyle w:val="000000000000" w:firstRow="0" w:lastRow="0" w:firstColumn="0" w:lastColumn="0" w:oddVBand="0" w:evenVBand="0" w:oddHBand="0" w:evenHBand="0" w:firstRowFirstColumn="0" w:firstRowLastColumn="0" w:lastRowFirstColumn="0" w:lastRowLastColumn="0"/>
            </w:pPr>
            <w:r w:rsidRPr="00CE7A00">
              <w:t>do 70.000,00 HRK (uključujući PDV) jediničnog troška po obnovljenom krevetu</w:t>
            </w:r>
            <w:r w:rsidRPr="00CE7A00">
              <w:rPr>
                <w:vertAlign w:val="superscript"/>
              </w:rPr>
              <w:footnoteReference w:id="4"/>
            </w:r>
          </w:p>
        </w:tc>
      </w:tr>
      <w:tr w:rsidR="00CE7A00" w:rsidRPr="00CE7A00" w14:paraId="2E9F9FC9" w14:textId="77777777" w:rsidTr="00A53AB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02825C8" w14:textId="77777777" w:rsidR="00CE7A00" w:rsidRPr="00CE7A00" w:rsidRDefault="00CE7A00" w:rsidP="00CE7A00">
            <w:pPr>
              <w:spacing w:after="200" w:line="276" w:lineRule="auto"/>
            </w:pPr>
          </w:p>
        </w:tc>
        <w:tc>
          <w:tcPr>
            <w:tcW w:w="2268" w:type="dxa"/>
          </w:tcPr>
          <w:p w14:paraId="2F3E55DB" w14:textId="77777777" w:rsidR="00CE7A00" w:rsidRPr="00CE7A00" w:rsidRDefault="00CE7A00" w:rsidP="00CE7A00">
            <w:pPr>
              <w:jc w:val="both"/>
              <w:cnfStyle w:val="010000000000" w:firstRow="0" w:lastRow="1" w:firstColumn="0" w:lastColumn="0" w:oddVBand="0" w:evenVBand="0" w:oddHBand="0" w:evenHBand="0" w:firstRowFirstColumn="0" w:firstRowLastColumn="0" w:lastRowFirstColumn="0" w:lastRowLastColumn="0"/>
              <w:rPr>
                <w:highlight w:val="yellow"/>
              </w:rPr>
            </w:pPr>
            <w:r w:rsidRPr="00CE7A00">
              <w:rPr>
                <w:highlight w:val="yellow"/>
              </w:rPr>
              <w:t>1.200.700.000,00 HRK</w:t>
            </w:r>
          </w:p>
          <w:p w14:paraId="05707121" w14:textId="77777777" w:rsidR="00CE7A00" w:rsidRPr="00CE7A00" w:rsidRDefault="00CE7A00" w:rsidP="00CE7A00">
            <w:pPr>
              <w:tabs>
                <w:tab w:val="center" w:pos="4536"/>
                <w:tab w:val="right" w:pos="9072"/>
              </w:tabs>
              <w:jc w:val="center"/>
              <w:cnfStyle w:val="010000000000" w:firstRow="0" w:lastRow="1" w:firstColumn="0" w:lastColumn="0" w:oddVBand="0" w:evenVBand="0" w:oddHBand="0" w:evenHBand="0" w:firstRowFirstColumn="0" w:firstRowLastColumn="0" w:lastRowFirstColumn="0" w:lastRowLastColumn="0"/>
            </w:pPr>
          </w:p>
        </w:tc>
        <w:tc>
          <w:tcPr>
            <w:tcW w:w="2693" w:type="dxa"/>
          </w:tcPr>
          <w:p w14:paraId="45B0A5CD" w14:textId="77777777" w:rsidR="00CE7A00" w:rsidRPr="00CE7A00" w:rsidRDefault="00CE7A00" w:rsidP="00CE7A00">
            <w:pPr>
              <w:spacing w:after="200" w:line="276" w:lineRule="auto"/>
              <w:jc w:val="center"/>
              <w:cnfStyle w:val="010000000000" w:firstRow="0" w:lastRow="1" w:firstColumn="0" w:lastColumn="0" w:oddVBand="0" w:evenVBand="0" w:oddHBand="0" w:evenHBand="0" w:firstRowFirstColumn="0" w:firstRowLastColumn="0" w:lastRowFirstColumn="0" w:lastRowLastColumn="0"/>
            </w:pPr>
          </w:p>
        </w:tc>
        <w:tc>
          <w:tcPr>
            <w:tcW w:w="2801" w:type="dxa"/>
          </w:tcPr>
          <w:p w14:paraId="24D586C3" w14:textId="77777777" w:rsidR="00CE7A00" w:rsidRPr="00CE7A00" w:rsidRDefault="00CE7A00" w:rsidP="00CE7A00">
            <w:pPr>
              <w:spacing w:after="200" w:line="276" w:lineRule="auto"/>
              <w:jc w:val="center"/>
              <w:cnfStyle w:val="010000000000" w:firstRow="0" w:lastRow="1" w:firstColumn="0" w:lastColumn="0" w:oddVBand="0" w:evenVBand="0" w:oddHBand="0" w:evenHBand="0" w:firstRowFirstColumn="0" w:firstRowLastColumn="0" w:lastRowFirstColumn="0" w:lastRowLastColumn="0"/>
            </w:pPr>
          </w:p>
        </w:tc>
      </w:tr>
    </w:tbl>
    <w:p w14:paraId="7F90ED2D" w14:textId="77777777" w:rsidR="008D1A5A" w:rsidRPr="00BE6E30" w:rsidRDefault="008D1A5A" w:rsidP="00BE6E30">
      <w:pPr>
        <w:jc w:val="both"/>
        <w:rPr>
          <w:rFonts w:ascii="Times New Roman" w:hAnsi="Times New Roman" w:cs="Times New Roman"/>
          <w:sz w:val="24"/>
          <w:szCs w:val="24"/>
        </w:rPr>
      </w:pPr>
    </w:p>
    <w:p w14:paraId="3DC96BFE" w14:textId="77777777" w:rsidR="000D4089" w:rsidRDefault="000D4089" w:rsidP="00CE7A00">
      <w:pPr>
        <w:spacing w:after="0" w:line="240" w:lineRule="auto"/>
        <w:contextualSpacing/>
        <w:jc w:val="both"/>
        <w:rPr>
          <w:rFonts w:ascii="Times New Roman" w:hAnsi="Times New Roman" w:cs="Times New Roman"/>
          <w:strike/>
          <w:sz w:val="24"/>
          <w:szCs w:val="24"/>
        </w:rPr>
      </w:pPr>
    </w:p>
    <w:p w14:paraId="54C1E006" w14:textId="77777777" w:rsidR="005B7163" w:rsidRDefault="005B7163" w:rsidP="00CE7A00">
      <w:pPr>
        <w:spacing w:after="0" w:line="240" w:lineRule="auto"/>
        <w:contextualSpacing/>
        <w:jc w:val="both"/>
        <w:rPr>
          <w:rFonts w:ascii="Times New Roman" w:hAnsi="Times New Roman" w:cs="Times New Roman"/>
          <w:strike/>
          <w:sz w:val="24"/>
          <w:szCs w:val="24"/>
        </w:rPr>
      </w:pPr>
    </w:p>
    <w:p w14:paraId="2CBC2005" w14:textId="77777777" w:rsidR="005B7163" w:rsidRDefault="005B7163" w:rsidP="00CE7A00">
      <w:pPr>
        <w:spacing w:after="0" w:line="240" w:lineRule="auto"/>
        <w:contextualSpacing/>
        <w:jc w:val="both"/>
        <w:rPr>
          <w:rFonts w:ascii="Times New Roman" w:hAnsi="Times New Roman" w:cs="Times New Roman"/>
          <w:strike/>
          <w:sz w:val="24"/>
          <w:szCs w:val="24"/>
        </w:rPr>
      </w:pPr>
    </w:p>
    <w:p w14:paraId="4825317D" w14:textId="77777777" w:rsidR="005B7163" w:rsidRDefault="005B7163" w:rsidP="00CE7A00">
      <w:pPr>
        <w:spacing w:after="0" w:line="240" w:lineRule="auto"/>
        <w:contextualSpacing/>
        <w:jc w:val="both"/>
        <w:rPr>
          <w:rFonts w:ascii="Times New Roman" w:hAnsi="Times New Roman" w:cs="Times New Roman"/>
          <w:strike/>
          <w:sz w:val="24"/>
          <w:szCs w:val="24"/>
        </w:rPr>
      </w:pPr>
    </w:p>
    <w:p w14:paraId="55E861CC" w14:textId="77777777" w:rsidR="005B7163" w:rsidRDefault="005B7163" w:rsidP="00CE7A00">
      <w:pPr>
        <w:spacing w:after="0" w:line="240" w:lineRule="auto"/>
        <w:contextualSpacing/>
        <w:jc w:val="both"/>
        <w:rPr>
          <w:rFonts w:ascii="Times New Roman" w:hAnsi="Times New Roman" w:cs="Times New Roman"/>
          <w:strike/>
          <w:sz w:val="24"/>
          <w:szCs w:val="24"/>
        </w:rPr>
      </w:pPr>
    </w:p>
    <w:p w14:paraId="4EFCC3B2" w14:textId="77777777" w:rsidR="005B7163" w:rsidRDefault="005B7163" w:rsidP="00CE7A00">
      <w:pPr>
        <w:spacing w:after="0" w:line="240" w:lineRule="auto"/>
        <w:contextualSpacing/>
        <w:jc w:val="both"/>
        <w:rPr>
          <w:rFonts w:ascii="Times New Roman" w:hAnsi="Times New Roman" w:cs="Times New Roman"/>
          <w:strike/>
          <w:sz w:val="24"/>
          <w:szCs w:val="24"/>
        </w:rPr>
      </w:pPr>
    </w:p>
    <w:p w14:paraId="067C5F91" w14:textId="1B32EAF5" w:rsidR="005B7163" w:rsidRPr="005B7163" w:rsidRDefault="005B7163" w:rsidP="005B7163">
      <w:pPr>
        <w:pStyle w:val="ListParagraph"/>
        <w:spacing w:after="0" w:line="240" w:lineRule="auto"/>
        <w:ind w:left="0"/>
        <w:jc w:val="both"/>
        <w:rPr>
          <w:rFonts w:cstheme="minorHAnsi"/>
          <w:bCs/>
          <w:sz w:val="24"/>
          <w:szCs w:val="24"/>
        </w:rPr>
      </w:pPr>
      <w:r w:rsidRPr="005B7163">
        <w:rPr>
          <w:rFonts w:cstheme="minorHAnsi"/>
          <w:bCs/>
          <w:sz w:val="24"/>
          <w:szCs w:val="24"/>
        </w:rPr>
        <w:lastRenderedPageBreak/>
        <w:t>5. POSTUPAK DODJELE BESPOVRATNIH SREDSTAVA</w:t>
      </w:r>
    </w:p>
    <w:p w14:paraId="5BE92B67" w14:textId="77777777" w:rsidR="005B7163" w:rsidRDefault="005B7163" w:rsidP="005B7163">
      <w:pPr>
        <w:pStyle w:val="ListParagraph"/>
        <w:spacing w:after="0" w:line="240" w:lineRule="auto"/>
        <w:ind w:left="0"/>
        <w:jc w:val="both"/>
        <w:rPr>
          <w:rFonts w:ascii="Times New Roman" w:hAnsi="Times New Roman" w:cs="Times New Roman"/>
          <w:b/>
          <w:bCs/>
          <w:sz w:val="28"/>
          <w:szCs w:val="28"/>
          <w:u w:val="single"/>
        </w:rPr>
      </w:pPr>
    </w:p>
    <w:p w14:paraId="776F45A1" w14:textId="77777777" w:rsidR="005B7163" w:rsidRPr="00F73CF8" w:rsidRDefault="005B7163" w:rsidP="005B7163">
      <w:pPr>
        <w:pStyle w:val="ListParagraph"/>
        <w:spacing w:after="0" w:line="240" w:lineRule="auto"/>
        <w:ind w:left="0"/>
        <w:jc w:val="both"/>
        <w:rPr>
          <w:rFonts w:ascii="Times New Roman" w:hAnsi="Times New Roman" w:cs="Times New Roman"/>
          <w:sz w:val="24"/>
          <w:szCs w:val="24"/>
          <w:u w:val="single"/>
        </w:rPr>
      </w:pPr>
      <w:r w:rsidRPr="0023D18C">
        <w:rPr>
          <w:rFonts w:ascii="Times New Roman" w:hAnsi="Times New Roman" w:cs="Times New Roman"/>
          <w:b/>
          <w:bCs/>
          <w:sz w:val="28"/>
          <w:szCs w:val="28"/>
          <w:u w:val="single"/>
        </w:rPr>
        <w:t>STARI TEKST:</w:t>
      </w:r>
    </w:p>
    <w:p w14:paraId="283A7003" w14:textId="77777777" w:rsidR="005B7163" w:rsidRDefault="005B7163" w:rsidP="00CE7A00">
      <w:pPr>
        <w:spacing w:after="0" w:line="240" w:lineRule="auto"/>
        <w:contextualSpacing/>
        <w:jc w:val="both"/>
        <w:rPr>
          <w:rFonts w:ascii="Times New Roman" w:hAnsi="Times New Roman" w:cs="Times New Roman"/>
          <w:strike/>
          <w:sz w:val="24"/>
          <w:szCs w:val="24"/>
        </w:rPr>
      </w:pPr>
    </w:p>
    <w:p w14:paraId="44521F3E" w14:textId="77777777" w:rsidR="005B7163" w:rsidRPr="005B7163" w:rsidRDefault="005B7163" w:rsidP="005B7163">
      <w:pPr>
        <w:widowControl w:val="0"/>
        <w:autoSpaceDE w:val="0"/>
        <w:autoSpaceDN w:val="0"/>
        <w:adjustRightInd w:val="0"/>
        <w:spacing w:after="0"/>
        <w:jc w:val="both"/>
        <w:rPr>
          <w:rFonts w:ascii="Calibri" w:hAnsi="Calibri" w:cs="Times New Roman"/>
          <w:b/>
          <w:color w:val="000000"/>
        </w:rPr>
      </w:pPr>
      <w:r w:rsidRPr="005B7163">
        <w:rPr>
          <w:rFonts w:ascii="Calibri" w:hAnsi="Calibri" w:cs="Times New Roman"/>
          <w:b/>
          <w:color w:val="000000"/>
        </w:rPr>
        <w:t>5.2. Prigovori</w:t>
      </w:r>
    </w:p>
    <w:p w14:paraId="207F5C1C" w14:textId="77777777" w:rsidR="005B7163" w:rsidRDefault="005B7163" w:rsidP="005B7163">
      <w:pPr>
        <w:widowControl w:val="0"/>
        <w:autoSpaceDE w:val="0"/>
        <w:autoSpaceDN w:val="0"/>
        <w:adjustRightInd w:val="0"/>
        <w:spacing w:after="0"/>
        <w:jc w:val="both"/>
        <w:rPr>
          <w:rFonts w:ascii="Calibri" w:hAnsi="Calibri" w:cs="Times New Roman"/>
          <w:color w:val="000000"/>
        </w:rPr>
      </w:pPr>
    </w:p>
    <w:p w14:paraId="319756E1" w14:textId="1D855E4C" w:rsidR="005B7163" w:rsidRPr="008677E0" w:rsidRDefault="005B7163" w:rsidP="005B7163">
      <w:pPr>
        <w:widowControl w:val="0"/>
        <w:autoSpaceDE w:val="0"/>
        <w:autoSpaceDN w:val="0"/>
        <w:adjustRightInd w:val="0"/>
        <w:spacing w:after="0"/>
        <w:jc w:val="both"/>
        <w:rPr>
          <w:rFonts w:ascii="Calibri" w:hAnsi="Calibri" w:cs="Times New Roman"/>
          <w:color w:val="000000"/>
        </w:rPr>
      </w:pPr>
      <w:r w:rsidRPr="008677E0">
        <w:rPr>
          <w:rFonts w:ascii="Calibri" w:hAnsi="Calibri" w:cs="Times New Roman"/>
          <w:color w:val="000000"/>
        </w:rPr>
        <w:t>Prigovori se podnose Komisiji preporučenom pošiljkom s povratnicom u dva istovjetna primjerka na adresu: Ministarstvo regionalnog</w:t>
      </w:r>
      <w:r>
        <w:rPr>
          <w:rFonts w:ascii="Calibri" w:hAnsi="Calibri" w:cs="Times New Roman"/>
          <w:color w:val="000000"/>
        </w:rPr>
        <w:t>a</w:t>
      </w:r>
      <w:r w:rsidRPr="008677E0">
        <w:rPr>
          <w:rFonts w:ascii="Calibri" w:hAnsi="Calibri" w:cs="Times New Roman"/>
          <w:color w:val="000000"/>
        </w:rPr>
        <w:t xml:space="preserve"> razvoja i fondova Europske unije, Upravljačko tijelo za Operativni program Konkurentnost i </w:t>
      </w:r>
      <w:r>
        <w:rPr>
          <w:rFonts w:ascii="Calibri" w:hAnsi="Calibri" w:cs="Times New Roman"/>
          <w:color w:val="000000"/>
        </w:rPr>
        <w:t>k</w:t>
      </w:r>
      <w:r w:rsidRPr="002F5376">
        <w:rPr>
          <w:rFonts w:ascii="Calibri" w:hAnsi="Calibri" w:cs="Times New Roman"/>
          <w:color w:val="000000"/>
        </w:rPr>
        <w:t>ohezija 2014</w:t>
      </w:r>
      <w:r>
        <w:rPr>
          <w:rFonts w:ascii="Calibri" w:hAnsi="Calibri" w:cs="Times New Roman"/>
          <w:color w:val="000000"/>
        </w:rPr>
        <w:t>.</w:t>
      </w:r>
      <w:r w:rsidRPr="002F5376">
        <w:rPr>
          <w:rFonts w:ascii="Calibri" w:hAnsi="Calibri" w:cs="Times New Roman"/>
          <w:color w:val="000000"/>
        </w:rPr>
        <w:t xml:space="preserve">-2020., Komisija za odlučivanje o prigovorima, Račkoga 6, 10000 Zagreb, </w:t>
      </w:r>
      <w:r w:rsidRPr="00EF17D9">
        <w:rPr>
          <w:rFonts w:ascii="Calibri" w:hAnsi="Calibri" w:cs="Times New Roman"/>
          <w:color w:val="000000"/>
        </w:rPr>
        <w:t>a</w:t>
      </w:r>
      <w:r w:rsidRPr="007F3D76">
        <w:rPr>
          <w:rFonts w:ascii="Calibri" w:hAnsi="Calibri" w:cs="Times New Roman"/>
          <w:color w:val="000000"/>
        </w:rPr>
        <w:t xml:space="preserve"> Središnjoj agenciji za financiranje i ugovaranje </w:t>
      </w:r>
      <w:r w:rsidRPr="008677E0">
        <w:rPr>
          <w:rFonts w:ascii="Calibri" w:hAnsi="Calibri" w:cs="Times New Roman"/>
          <w:color w:val="000000"/>
        </w:rPr>
        <w:t xml:space="preserve">u preslici u jednom primjerku. </w:t>
      </w:r>
    </w:p>
    <w:p w14:paraId="64E7F463" w14:textId="77777777" w:rsidR="005B7163" w:rsidRDefault="005B7163" w:rsidP="00CE7A00">
      <w:pPr>
        <w:spacing w:after="0" w:line="240" w:lineRule="auto"/>
        <w:contextualSpacing/>
        <w:jc w:val="both"/>
        <w:rPr>
          <w:rFonts w:ascii="Times New Roman" w:hAnsi="Times New Roman" w:cs="Times New Roman"/>
          <w:strike/>
          <w:sz w:val="24"/>
          <w:szCs w:val="24"/>
        </w:rPr>
      </w:pPr>
    </w:p>
    <w:p w14:paraId="499DA6F0" w14:textId="77777777" w:rsidR="005B7163" w:rsidRDefault="005B7163" w:rsidP="005B7163">
      <w:pPr>
        <w:pStyle w:val="ListParagraph"/>
        <w:spacing w:after="0" w:line="240" w:lineRule="auto"/>
        <w:ind w:left="0"/>
        <w:jc w:val="both"/>
        <w:rPr>
          <w:rFonts w:ascii="Times New Roman" w:hAnsi="Times New Roman" w:cs="Times New Roman"/>
          <w:b/>
          <w:bCs/>
          <w:sz w:val="28"/>
          <w:szCs w:val="28"/>
          <w:u w:val="single"/>
        </w:rPr>
      </w:pPr>
      <w:r w:rsidRPr="0023D18C">
        <w:rPr>
          <w:rFonts w:ascii="Times New Roman" w:hAnsi="Times New Roman" w:cs="Times New Roman"/>
          <w:b/>
          <w:bCs/>
          <w:sz w:val="28"/>
          <w:szCs w:val="28"/>
          <w:u w:val="single"/>
        </w:rPr>
        <w:t>NOVI TEKST:</w:t>
      </w:r>
    </w:p>
    <w:p w14:paraId="15ECB235" w14:textId="77777777" w:rsidR="005B7163" w:rsidRDefault="005B7163" w:rsidP="00CE7A00">
      <w:pPr>
        <w:spacing w:after="0" w:line="240" w:lineRule="auto"/>
        <w:contextualSpacing/>
        <w:jc w:val="both"/>
        <w:rPr>
          <w:rFonts w:ascii="Times New Roman" w:hAnsi="Times New Roman" w:cs="Times New Roman"/>
          <w:strike/>
          <w:sz w:val="24"/>
          <w:szCs w:val="24"/>
        </w:rPr>
      </w:pPr>
    </w:p>
    <w:p w14:paraId="1457DDA4" w14:textId="77777777" w:rsidR="005B7163" w:rsidRPr="005B7163" w:rsidRDefault="005B7163" w:rsidP="005B7163">
      <w:pPr>
        <w:widowControl w:val="0"/>
        <w:autoSpaceDE w:val="0"/>
        <w:autoSpaceDN w:val="0"/>
        <w:adjustRightInd w:val="0"/>
        <w:spacing w:after="0"/>
        <w:jc w:val="both"/>
        <w:rPr>
          <w:rFonts w:ascii="Calibri" w:hAnsi="Calibri" w:cs="Times New Roman"/>
          <w:b/>
          <w:color w:val="000000"/>
        </w:rPr>
      </w:pPr>
      <w:r w:rsidRPr="005B7163">
        <w:rPr>
          <w:rFonts w:ascii="Calibri" w:hAnsi="Calibri" w:cs="Times New Roman"/>
          <w:b/>
          <w:color w:val="000000"/>
        </w:rPr>
        <w:t>5.2. Prigovori</w:t>
      </w:r>
    </w:p>
    <w:p w14:paraId="211DFFE2" w14:textId="77777777" w:rsidR="005B7163" w:rsidRDefault="005B7163" w:rsidP="00CE7A00">
      <w:pPr>
        <w:spacing w:after="0" w:line="240" w:lineRule="auto"/>
        <w:contextualSpacing/>
        <w:jc w:val="both"/>
        <w:rPr>
          <w:rFonts w:ascii="Times New Roman" w:hAnsi="Times New Roman" w:cs="Times New Roman"/>
          <w:strike/>
          <w:sz w:val="24"/>
          <w:szCs w:val="24"/>
        </w:rPr>
      </w:pPr>
    </w:p>
    <w:p w14:paraId="600A5DB2" w14:textId="486B16B1" w:rsidR="005B7163" w:rsidRPr="008677E0" w:rsidRDefault="005B7163" w:rsidP="005B7163">
      <w:pPr>
        <w:widowControl w:val="0"/>
        <w:autoSpaceDE w:val="0"/>
        <w:autoSpaceDN w:val="0"/>
        <w:adjustRightInd w:val="0"/>
        <w:spacing w:after="0"/>
        <w:jc w:val="both"/>
        <w:rPr>
          <w:rFonts w:ascii="Calibri" w:hAnsi="Calibri" w:cs="Times New Roman"/>
          <w:color w:val="000000"/>
        </w:rPr>
      </w:pPr>
      <w:r w:rsidRPr="008677E0">
        <w:rPr>
          <w:rFonts w:ascii="Calibri" w:hAnsi="Calibri" w:cs="Times New Roman"/>
          <w:color w:val="000000"/>
        </w:rPr>
        <w:t>Prigovori se podnose Komisi</w:t>
      </w:r>
      <w:bookmarkStart w:id="2" w:name="_GoBack"/>
      <w:bookmarkEnd w:id="2"/>
      <w:r w:rsidRPr="008677E0">
        <w:rPr>
          <w:rFonts w:ascii="Calibri" w:hAnsi="Calibri" w:cs="Times New Roman"/>
          <w:color w:val="000000"/>
        </w:rPr>
        <w:t>ji preporučenom pošiljkom s povratnicom u dva istovjetna primjerka na adresu: Ministarstvo regionalnog</w:t>
      </w:r>
      <w:r>
        <w:rPr>
          <w:rFonts w:ascii="Calibri" w:hAnsi="Calibri" w:cs="Times New Roman"/>
          <w:color w:val="000000"/>
        </w:rPr>
        <w:t>a</w:t>
      </w:r>
      <w:r w:rsidRPr="008677E0">
        <w:rPr>
          <w:rFonts w:ascii="Calibri" w:hAnsi="Calibri" w:cs="Times New Roman"/>
          <w:color w:val="000000"/>
        </w:rPr>
        <w:t xml:space="preserve"> razvoja i fondova Europske unije, Upravljačko tijelo za Operativni program Konkurentnost i </w:t>
      </w:r>
      <w:r>
        <w:rPr>
          <w:rFonts w:ascii="Calibri" w:hAnsi="Calibri" w:cs="Times New Roman"/>
          <w:color w:val="000000"/>
        </w:rPr>
        <w:t>k</w:t>
      </w:r>
      <w:r w:rsidRPr="002F5376">
        <w:rPr>
          <w:rFonts w:ascii="Calibri" w:hAnsi="Calibri" w:cs="Times New Roman"/>
          <w:color w:val="000000"/>
        </w:rPr>
        <w:t>ohezija 2014</w:t>
      </w:r>
      <w:r>
        <w:rPr>
          <w:rFonts w:ascii="Calibri" w:hAnsi="Calibri" w:cs="Times New Roman"/>
          <w:color w:val="000000"/>
        </w:rPr>
        <w:t>.</w:t>
      </w:r>
      <w:r w:rsidRPr="002F5376">
        <w:rPr>
          <w:rFonts w:ascii="Calibri" w:hAnsi="Calibri" w:cs="Times New Roman"/>
          <w:color w:val="000000"/>
        </w:rPr>
        <w:t xml:space="preserve">-2020., Komisija za odlučivanje o prigovorima, </w:t>
      </w:r>
      <w:r w:rsidRPr="005B7163">
        <w:rPr>
          <w:rFonts w:ascii="Calibri" w:hAnsi="Calibri" w:cs="Times New Roman"/>
          <w:color w:val="000000"/>
          <w:highlight w:val="yellow"/>
        </w:rPr>
        <w:t>Miramarska cesta 22</w:t>
      </w:r>
      <w:r w:rsidRPr="005B7163">
        <w:rPr>
          <w:rFonts w:ascii="Calibri" w:hAnsi="Calibri" w:cs="Times New Roman"/>
          <w:color w:val="000000"/>
          <w:highlight w:val="yellow"/>
        </w:rPr>
        <w:t>,</w:t>
      </w:r>
      <w:r w:rsidRPr="002F5376">
        <w:rPr>
          <w:rFonts w:ascii="Calibri" w:hAnsi="Calibri" w:cs="Times New Roman"/>
          <w:color w:val="000000"/>
        </w:rPr>
        <w:t xml:space="preserve"> 10000 Zagreb, </w:t>
      </w:r>
      <w:r w:rsidRPr="00EF17D9">
        <w:rPr>
          <w:rFonts w:ascii="Calibri" w:hAnsi="Calibri" w:cs="Times New Roman"/>
          <w:color w:val="000000"/>
        </w:rPr>
        <w:t>a</w:t>
      </w:r>
      <w:r w:rsidRPr="007F3D76">
        <w:rPr>
          <w:rFonts w:ascii="Calibri" w:hAnsi="Calibri" w:cs="Times New Roman"/>
          <w:color w:val="000000"/>
        </w:rPr>
        <w:t xml:space="preserve"> Središnjoj agenciji za financiranje i ugovaranje </w:t>
      </w:r>
      <w:r w:rsidRPr="008677E0">
        <w:rPr>
          <w:rFonts w:ascii="Calibri" w:hAnsi="Calibri" w:cs="Times New Roman"/>
          <w:color w:val="000000"/>
        </w:rPr>
        <w:t xml:space="preserve">u preslici u jednom primjerku. </w:t>
      </w:r>
    </w:p>
    <w:p w14:paraId="446489E1" w14:textId="77777777" w:rsidR="005B7163" w:rsidRPr="00BE6E30" w:rsidRDefault="005B7163" w:rsidP="00CE7A00">
      <w:pPr>
        <w:spacing w:after="0" w:line="240" w:lineRule="auto"/>
        <w:contextualSpacing/>
        <w:jc w:val="both"/>
        <w:rPr>
          <w:rFonts w:ascii="Times New Roman" w:hAnsi="Times New Roman" w:cs="Times New Roman"/>
          <w:strike/>
          <w:sz w:val="24"/>
          <w:szCs w:val="24"/>
        </w:rPr>
      </w:pPr>
    </w:p>
    <w:sectPr w:rsidR="005B7163" w:rsidRPr="00BE6E30" w:rsidSect="00CF0A4B">
      <w:footerReference w:type="default" r:id="rId12"/>
      <w:footerReference w:type="first" r:id="rId13"/>
      <w:pgSz w:w="11906" w:h="16838"/>
      <w:pgMar w:top="851" w:right="1417" w:bottom="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C9235" w14:textId="77777777" w:rsidR="006C2C8E" w:rsidRDefault="006C2C8E" w:rsidP="005B0573">
      <w:pPr>
        <w:spacing w:after="0" w:line="240" w:lineRule="auto"/>
      </w:pPr>
      <w:r>
        <w:separator/>
      </w:r>
    </w:p>
  </w:endnote>
  <w:endnote w:type="continuationSeparator" w:id="0">
    <w:p w14:paraId="71BF0DA9" w14:textId="77777777" w:rsidR="006C2C8E" w:rsidRDefault="006C2C8E"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altName w:val="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538896"/>
      <w:docPartObj>
        <w:docPartGallery w:val="Page Numbers (Bottom of Page)"/>
        <w:docPartUnique/>
      </w:docPartObj>
    </w:sdtPr>
    <w:sdtEndPr>
      <w:rPr>
        <w:noProof/>
      </w:rPr>
    </w:sdtEndPr>
    <w:sdtContent>
      <w:p w14:paraId="05783D4C" w14:textId="75AFDB42" w:rsidR="00600778" w:rsidRDefault="00600778">
        <w:pPr>
          <w:pStyle w:val="Footer"/>
          <w:jc w:val="center"/>
        </w:pPr>
        <w:r>
          <w:fldChar w:fldCharType="begin"/>
        </w:r>
        <w:r>
          <w:instrText xml:space="preserve"> PAGE   \* MERGEFORMAT </w:instrText>
        </w:r>
        <w:r>
          <w:fldChar w:fldCharType="separate"/>
        </w:r>
        <w:r w:rsidR="005B7163">
          <w:rPr>
            <w:noProof/>
          </w:rPr>
          <w:t>2</w:t>
        </w:r>
        <w:r>
          <w:rPr>
            <w:noProof/>
          </w:rPr>
          <w:fldChar w:fldCharType="end"/>
        </w:r>
      </w:p>
    </w:sdtContent>
  </w:sdt>
  <w:p w14:paraId="1AEFE089" w14:textId="77777777" w:rsidR="00600778" w:rsidRDefault="006007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F5D0D" w14:textId="77777777" w:rsidR="00CF0A4B" w:rsidRPr="00222D8C" w:rsidRDefault="0023D18C" w:rsidP="0023D18C">
    <w:pPr>
      <w:spacing w:after="0" w:line="240" w:lineRule="auto"/>
      <w:jc w:val="center"/>
      <w:rPr>
        <w:rFonts w:ascii="Calibri" w:hAnsi="Calibri" w:cs="Lucida Sans Unicode"/>
        <w:i/>
        <w:iCs/>
        <w:sz w:val="20"/>
        <w:szCs w:val="20"/>
      </w:rPr>
    </w:pPr>
    <w:r w:rsidRPr="0023D18C">
      <w:rPr>
        <w:rFonts w:ascii="Calibri" w:hAnsi="Calibri" w:cs="Lucida Sans Unicode"/>
        <w:i/>
        <w:iCs/>
        <w:sz w:val="20"/>
        <w:szCs w:val="20"/>
      </w:rPr>
      <w:t>Ovaj poziv financira se iz Europskog fonda za regionalni razvoj</w:t>
    </w:r>
  </w:p>
  <w:p w14:paraId="5A6701D2" w14:textId="77777777" w:rsidR="00943330" w:rsidRPr="00943330" w:rsidRDefault="00943330" w:rsidP="00943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E8933" w14:textId="77777777" w:rsidR="006C2C8E" w:rsidRDefault="006C2C8E" w:rsidP="005B0573">
      <w:pPr>
        <w:spacing w:after="0" w:line="240" w:lineRule="auto"/>
      </w:pPr>
      <w:r>
        <w:separator/>
      </w:r>
    </w:p>
  </w:footnote>
  <w:footnote w:type="continuationSeparator" w:id="0">
    <w:p w14:paraId="3890185F" w14:textId="77777777" w:rsidR="006C2C8E" w:rsidRDefault="006C2C8E" w:rsidP="005B0573">
      <w:pPr>
        <w:spacing w:after="0" w:line="240" w:lineRule="auto"/>
      </w:pPr>
      <w:r>
        <w:continuationSeparator/>
      </w:r>
    </w:p>
  </w:footnote>
  <w:footnote w:id="1">
    <w:p w14:paraId="3C452272" w14:textId="77777777" w:rsidR="00CE7A00" w:rsidRDefault="00CE7A00" w:rsidP="00CE7A00">
      <w:pPr>
        <w:pStyle w:val="FootnoteText"/>
      </w:pPr>
      <w:r>
        <w:rPr>
          <w:rStyle w:val="FootnoteReference"/>
        </w:rPr>
        <w:footnoteRef/>
      </w:r>
      <w:r>
        <w:t xml:space="preserve"> Jedinični trošak po krevetu</w:t>
      </w:r>
      <w:r w:rsidRPr="008232DA">
        <w:t xml:space="preserve"> </w:t>
      </w:r>
      <w:r>
        <w:t xml:space="preserve">izražava se prema sljedećem izračunu: </w:t>
      </w:r>
      <w:r w:rsidRPr="00D132C5">
        <w:rPr>
          <w:i/>
        </w:rPr>
        <w:t>ukupni prihvatljivi troškovi / broj (novih) kreveta u okviru projekta.</w:t>
      </w:r>
    </w:p>
  </w:footnote>
  <w:footnote w:id="2">
    <w:p w14:paraId="43474E0C" w14:textId="77777777" w:rsidR="00CE7A00" w:rsidRDefault="00CE7A00" w:rsidP="00CE7A00">
      <w:pPr>
        <w:pStyle w:val="FootnoteText"/>
      </w:pPr>
      <w:r>
        <w:rPr>
          <w:rStyle w:val="FootnoteReference"/>
        </w:rPr>
        <w:footnoteRef/>
      </w:r>
      <w:r>
        <w:t xml:space="preserve"> Jedinični trošak po krevetu</w:t>
      </w:r>
      <w:r w:rsidRPr="008232DA">
        <w:t xml:space="preserve"> </w:t>
      </w:r>
      <w:r>
        <w:t xml:space="preserve">izražava se prema sljedećem izračunu: </w:t>
      </w:r>
      <w:r w:rsidRPr="00D132C5">
        <w:rPr>
          <w:i/>
        </w:rPr>
        <w:t>ukupni prihvatljivi troškovi / broj obnovljenih kreveta u okviru projekta.</w:t>
      </w:r>
    </w:p>
  </w:footnote>
  <w:footnote w:id="3">
    <w:p w14:paraId="3CC1BDA8" w14:textId="77777777" w:rsidR="00CE7A00" w:rsidRDefault="00CE7A00" w:rsidP="00CE7A00">
      <w:pPr>
        <w:pStyle w:val="FootnoteText"/>
      </w:pPr>
      <w:r>
        <w:rPr>
          <w:rStyle w:val="FootnoteReference"/>
        </w:rPr>
        <w:footnoteRef/>
      </w:r>
      <w:r>
        <w:t xml:space="preserve"> Jedinični trošak po krevetu</w:t>
      </w:r>
      <w:r w:rsidRPr="008232DA">
        <w:t xml:space="preserve"> </w:t>
      </w:r>
      <w:r>
        <w:t xml:space="preserve">izražava se prema sljedećem izračunu: </w:t>
      </w:r>
      <w:r w:rsidRPr="00D132C5">
        <w:rPr>
          <w:i/>
        </w:rPr>
        <w:t>ukupni prihvatljivi troškovi / broj (novih) kreveta u okviru projekta.</w:t>
      </w:r>
    </w:p>
  </w:footnote>
  <w:footnote w:id="4">
    <w:p w14:paraId="6F95B57D" w14:textId="77777777" w:rsidR="00CE7A00" w:rsidRDefault="00CE7A00" w:rsidP="00CE7A00">
      <w:pPr>
        <w:pStyle w:val="FootnoteText"/>
      </w:pPr>
      <w:r>
        <w:rPr>
          <w:rStyle w:val="FootnoteReference"/>
        </w:rPr>
        <w:footnoteRef/>
      </w:r>
      <w:r>
        <w:t xml:space="preserve"> Jedinični trošak po krevetu</w:t>
      </w:r>
      <w:r w:rsidRPr="008232DA">
        <w:t xml:space="preserve"> </w:t>
      </w:r>
      <w:r>
        <w:t xml:space="preserve">izražava se prema sljedećem izračunu: </w:t>
      </w:r>
      <w:r w:rsidRPr="00D132C5">
        <w:rPr>
          <w:i/>
        </w:rPr>
        <w:t>ukupni prihvatljivi troškovi / broj obnovljenih kreveta u okviru projekta.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470B"/>
    <w:multiLevelType w:val="hybridMultilevel"/>
    <w:tmpl w:val="D3C02D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CB3173"/>
    <w:multiLevelType w:val="hybridMultilevel"/>
    <w:tmpl w:val="85569F82"/>
    <w:lvl w:ilvl="0" w:tplc="7E727B88">
      <w:numFmt w:val="bullet"/>
      <w:lvlText w:val="-"/>
      <w:lvlJc w:val="left"/>
      <w:pPr>
        <w:ind w:left="1068" w:hanging="360"/>
      </w:pPr>
      <w:rPr>
        <w:rFonts w:ascii="Calibri" w:eastAsiaTheme="minorEastAsia" w:hAnsi="Calibri" w:cs="Times New Roman" w:hint="default"/>
        <w:b w:val="0"/>
        <w:u w:val="none"/>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4AB4757"/>
    <w:multiLevelType w:val="hybridMultilevel"/>
    <w:tmpl w:val="41D01E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F568B"/>
    <w:multiLevelType w:val="hybridMultilevel"/>
    <w:tmpl w:val="BD96AD96"/>
    <w:lvl w:ilvl="0" w:tplc="041A0011">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120614"/>
    <w:multiLevelType w:val="hybridMultilevel"/>
    <w:tmpl w:val="A672FE8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0A61F0"/>
    <w:multiLevelType w:val="multilevel"/>
    <w:tmpl w:val="E78EF41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6754C9"/>
    <w:multiLevelType w:val="hybridMultilevel"/>
    <w:tmpl w:val="BBC6281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925BA0"/>
    <w:multiLevelType w:val="hybridMultilevel"/>
    <w:tmpl w:val="C5D88CD4"/>
    <w:lvl w:ilvl="0" w:tplc="041A0017">
      <w:start w:val="1"/>
      <w:numFmt w:val="lowerLetter"/>
      <w:lvlText w:val="%1)"/>
      <w:lvlJc w:val="left"/>
      <w:pPr>
        <w:ind w:left="720" w:hanging="360"/>
      </w:pPr>
    </w:lvl>
    <w:lvl w:ilvl="1" w:tplc="0E5A0D1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82519C"/>
    <w:multiLevelType w:val="hybridMultilevel"/>
    <w:tmpl w:val="046272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2B6BA5"/>
    <w:multiLevelType w:val="hybridMultilevel"/>
    <w:tmpl w:val="BDA87AF8"/>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36995D13"/>
    <w:multiLevelType w:val="hybridMultilevel"/>
    <w:tmpl w:val="B1547E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BA857E1"/>
    <w:multiLevelType w:val="hybridMultilevel"/>
    <w:tmpl w:val="AAF610BE"/>
    <w:lvl w:ilvl="0" w:tplc="ACE8C5D2">
      <w:start w:val="5"/>
      <w:numFmt w:val="bullet"/>
      <w:lvlText w:val="-"/>
      <w:lvlJc w:val="left"/>
      <w:pPr>
        <w:ind w:left="720" w:hanging="360"/>
      </w:pPr>
      <w:rPr>
        <w:rFonts w:ascii="Times New Roman" w:eastAsiaTheme="minorEastAsia" w:hAnsi="Times New Roman" w:cs="Times New Roman" w:hint="default"/>
        <w:b/>
        <w:sz w:val="28"/>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3BB416DE"/>
    <w:multiLevelType w:val="multilevel"/>
    <w:tmpl w:val="9B74327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C914BAC"/>
    <w:multiLevelType w:val="hybridMultilevel"/>
    <w:tmpl w:val="05CCD890"/>
    <w:lvl w:ilvl="0" w:tplc="2160D3BA">
      <w:start w:val="1"/>
      <w:numFmt w:val="bullet"/>
      <w:lvlText w:val="-"/>
      <w:lvlJc w:val="left"/>
      <w:pPr>
        <w:ind w:left="1080" w:hanging="360"/>
      </w:pPr>
      <w:rPr>
        <w:rFonts w:ascii="Calibri" w:eastAsia="Calibri" w:hAnsi="Calibri"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3E725440"/>
    <w:multiLevelType w:val="hybridMultilevel"/>
    <w:tmpl w:val="E76E10F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7816510"/>
    <w:multiLevelType w:val="hybridMultilevel"/>
    <w:tmpl w:val="20469760"/>
    <w:lvl w:ilvl="0" w:tplc="041A000F">
      <w:start w:val="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F74320"/>
    <w:multiLevelType w:val="hybridMultilevel"/>
    <w:tmpl w:val="5C26B048"/>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A622341"/>
    <w:multiLevelType w:val="hybridMultilevel"/>
    <w:tmpl w:val="6DBE8680"/>
    <w:lvl w:ilvl="0" w:tplc="0E5A0D16">
      <w:start w:val="1"/>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A6D56B4"/>
    <w:multiLevelType w:val="hybridMultilevel"/>
    <w:tmpl w:val="F14ECC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CFD2FF8"/>
    <w:multiLevelType w:val="hybridMultilevel"/>
    <w:tmpl w:val="EC1687F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9008B1"/>
    <w:multiLevelType w:val="hybridMultilevel"/>
    <w:tmpl w:val="36B2D52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E9D7AAE"/>
    <w:multiLevelType w:val="hybridMultilevel"/>
    <w:tmpl w:val="93A8F72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3" w15:restartNumberingAfterBreak="0">
    <w:nsid w:val="6C107415"/>
    <w:multiLevelType w:val="hybridMultilevel"/>
    <w:tmpl w:val="99829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3392FD9"/>
    <w:multiLevelType w:val="hybridMultilevel"/>
    <w:tmpl w:val="5C8AA150"/>
    <w:lvl w:ilvl="0" w:tplc="4D20137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D849F3"/>
    <w:multiLevelType w:val="hybridMultilevel"/>
    <w:tmpl w:val="5C26B048"/>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22"/>
  </w:num>
  <w:num w:numId="3">
    <w:abstractNumId w:val="1"/>
  </w:num>
  <w:num w:numId="4">
    <w:abstractNumId w:val="15"/>
  </w:num>
  <w:num w:numId="5">
    <w:abstractNumId w:val="0"/>
  </w:num>
  <w:num w:numId="6">
    <w:abstractNumId w:val="14"/>
  </w:num>
  <w:num w:numId="7">
    <w:abstractNumId w:val="18"/>
  </w:num>
  <w:num w:numId="8">
    <w:abstractNumId w:val="20"/>
  </w:num>
  <w:num w:numId="9">
    <w:abstractNumId w:val="21"/>
  </w:num>
  <w:num w:numId="10">
    <w:abstractNumId w:val="19"/>
  </w:num>
  <w:num w:numId="11">
    <w:abstractNumId w:val="6"/>
  </w:num>
  <w:num w:numId="12">
    <w:abstractNumId w:val="9"/>
  </w:num>
  <w:num w:numId="13">
    <w:abstractNumId w:val="3"/>
  </w:num>
  <w:num w:numId="14">
    <w:abstractNumId w:val="16"/>
  </w:num>
  <w:num w:numId="15">
    <w:abstractNumId w:val="4"/>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5"/>
  </w:num>
  <w:num w:numId="20">
    <w:abstractNumId w:val="7"/>
  </w:num>
  <w:num w:numId="21">
    <w:abstractNumId w:val="17"/>
  </w:num>
  <w:num w:numId="22">
    <w:abstractNumId w:val="8"/>
  </w:num>
  <w:num w:numId="23">
    <w:abstractNumId w:val="24"/>
  </w:num>
  <w:num w:numId="24">
    <w:abstractNumId w:val="13"/>
  </w:num>
  <w:num w:numId="25">
    <w:abstractNumId w:val="2"/>
  </w:num>
  <w:num w:numId="26">
    <w:abstractNumId w:val="5"/>
  </w:num>
  <w:num w:numId="2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EE"/>
    <w:rsid w:val="000014C2"/>
    <w:rsid w:val="0000288E"/>
    <w:rsid w:val="00002C30"/>
    <w:rsid w:val="00002F20"/>
    <w:rsid w:val="00005F5D"/>
    <w:rsid w:val="000106B1"/>
    <w:rsid w:val="00022105"/>
    <w:rsid w:val="000228D6"/>
    <w:rsid w:val="00024069"/>
    <w:rsid w:val="00024804"/>
    <w:rsid w:val="0002487C"/>
    <w:rsid w:val="00035001"/>
    <w:rsid w:val="000524BE"/>
    <w:rsid w:val="0005299D"/>
    <w:rsid w:val="00067457"/>
    <w:rsid w:val="00084E64"/>
    <w:rsid w:val="00085BD7"/>
    <w:rsid w:val="0008704D"/>
    <w:rsid w:val="00091FD5"/>
    <w:rsid w:val="00095DB7"/>
    <w:rsid w:val="000C1A40"/>
    <w:rsid w:val="000D4089"/>
    <w:rsid w:val="000D7618"/>
    <w:rsid w:val="000E15DA"/>
    <w:rsid w:val="000E580B"/>
    <w:rsid w:val="000F42A7"/>
    <w:rsid w:val="000F69DF"/>
    <w:rsid w:val="000F6F87"/>
    <w:rsid w:val="00102517"/>
    <w:rsid w:val="00106A4D"/>
    <w:rsid w:val="00116D18"/>
    <w:rsid w:val="001223EB"/>
    <w:rsid w:val="001277CF"/>
    <w:rsid w:val="00134B54"/>
    <w:rsid w:val="00145051"/>
    <w:rsid w:val="00167087"/>
    <w:rsid w:val="00170054"/>
    <w:rsid w:val="00171DC2"/>
    <w:rsid w:val="00192EAE"/>
    <w:rsid w:val="001A0EC4"/>
    <w:rsid w:val="001B1428"/>
    <w:rsid w:val="001C5064"/>
    <w:rsid w:val="001D348D"/>
    <w:rsid w:val="001E1DA8"/>
    <w:rsid w:val="001E5546"/>
    <w:rsid w:val="001F00F3"/>
    <w:rsid w:val="001F1419"/>
    <w:rsid w:val="001F4550"/>
    <w:rsid w:val="001F76F2"/>
    <w:rsid w:val="00223A55"/>
    <w:rsid w:val="0023253F"/>
    <w:rsid w:val="002348E7"/>
    <w:rsid w:val="0023D18C"/>
    <w:rsid w:val="00246B06"/>
    <w:rsid w:val="0025022D"/>
    <w:rsid w:val="0025121F"/>
    <w:rsid w:val="0025292F"/>
    <w:rsid w:val="002537C8"/>
    <w:rsid w:val="0025627A"/>
    <w:rsid w:val="00257682"/>
    <w:rsid w:val="00262223"/>
    <w:rsid w:val="002661AC"/>
    <w:rsid w:val="00271586"/>
    <w:rsid w:val="002856D6"/>
    <w:rsid w:val="00287C4B"/>
    <w:rsid w:val="002947CF"/>
    <w:rsid w:val="00295613"/>
    <w:rsid w:val="002A1B22"/>
    <w:rsid w:val="002A7263"/>
    <w:rsid w:val="002B16A4"/>
    <w:rsid w:val="002C3B87"/>
    <w:rsid w:val="002C4A89"/>
    <w:rsid w:val="002C7A8D"/>
    <w:rsid w:val="002D4820"/>
    <w:rsid w:val="002D5EF4"/>
    <w:rsid w:val="002F4F29"/>
    <w:rsid w:val="002F62E8"/>
    <w:rsid w:val="00304DD1"/>
    <w:rsid w:val="003177E4"/>
    <w:rsid w:val="0032079F"/>
    <w:rsid w:val="0032366E"/>
    <w:rsid w:val="00323AEB"/>
    <w:rsid w:val="00324C64"/>
    <w:rsid w:val="00335055"/>
    <w:rsid w:val="003418E7"/>
    <w:rsid w:val="003521EE"/>
    <w:rsid w:val="00353911"/>
    <w:rsid w:val="00353A37"/>
    <w:rsid w:val="003644D0"/>
    <w:rsid w:val="00364D07"/>
    <w:rsid w:val="00377284"/>
    <w:rsid w:val="003831C6"/>
    <w:rsid w:val="003A7AC7"/>
    <w:rsid w:val="003B4D8E"/>
    <w:rsid w:val="003C0590"/>
    <w:rsid w:val="003C34C0"/>
    <w:rsid w:val="003C470C"/>
    <w:rsid w:val="003D5B3F"/>
    <w:rsid w:val="003E0B3F"/>
    <w:rsid w:val="003E4902"/>
    <w:rsid w:val="003F173B"/>
    <w:rsid w:val="00401224"/>
    <w:rsid w:val="00401337"/>
    <w:rsid w:val="004023AF"/>
    <w:rsid w:val="00404694"/>
    <w:rsid w:val="00407743"/>
    <w:rsid w:val="00410BA8"/>
    <w:rsid w:val="00423DBE"/>
    <w:rsid w:val="00430D2C"/>
    <w:rsid w:val="004343B8"/>
    <w:rsid w:val="00440612"/>
    <w:rsid w:val="004427E4"/>
    <w:rsid w:val="00442C59"/>
    <w:rsid w:val="00443347"/>
    <w:rsid w:val="00450852"/>
    <w:rsid w:val="004531F9"/>
    <w:rsid w:val="004618E4"/>
    <w:rsid w:val="00463868"/>
    <w:rsid w:val="004719E5"/>
    <w:rsid w:val="004A2119"/>
    <w:rsid w:val="004B22FF"/>
    <w:rsid w:val="004C4CF0"/>
    <w:rsid w:val="004C62A6"/>
    <w:rsid w:val="004E31E0"/>
    <w:rsid w:val="004E60C2"/>
    <w:rsid w:val="004E696E"/>
    <w:rsid w:val="004F423B"/>
    <w:rsid w:val="0051147D"/>
    <w:rsid w:val="00511B8B"/>
    <w:rsid w:val="00522B99"/>
    <w:rsid w:val="00525921"/>
    <w:rsid w:val="00561B8C"/>
    <w:rsid w:val="005648E6"/>
    <w:rsid w:val="005653A4"/>
    <w:rsid w:val="00576E6F"/>
    <w:rsid w:val="00584F38"/>
    <w:rsid w:val="005857E0"/>
    <w:rsid w:val="00590FA5"/>
    <w:rsid w:val="005914D1"/>
    <w:rsid w:val="005965C6"/>
    <w:rsid w:val="005A0632"/>
    <w:rsid w:val="005B0573"/>
    <w:rsid w:val="005B1BFB"/>
    <w:rsid w:val="005B7163"/>
    <w:rsid w:val="005B718E"/>
    <w:rsid w:val="005C158B"/>
    <w:rsid w:val="005C4803"/>
    <w:rsid w:val="005D33B1"/>
    <w:rsid w:val="005F23C4"/>
    <w:rsid w:val="00600778"/>
    <w:rsid w:val="00632BA0"/>
    <w:rsid w:val="00634CD2"/>
    <w:rsid w:val="0064574A"/>
    <w:rsid w:val="006524A1"/>
    <w:rsid w:val="006538DE"/>
    <w:rsid w:val="0066007F"/>
    <w:rsid w:val="00672ECA"/>
    <w:rsid w:val="00676698"/>
    <w:rsid w:val="0068679E"/>
    <w:rsid w:val="00691E41"/>
    <w:rsid w:val="006C2C8E"/>
    <w:rsid w:val="006C4A9A"/>
    <w:rsid w:val="006C51B4"/>
    <w:rsid w:val="006D1DA2"/>
    <w:rsid w:val="006D42A9"/>
    <w:rsid w:val="006F3C9F"/>
    <w:rsid w:val="006F7BEE"/>
    <w:rsid w:val="007272E9"/>
    <w:rsid w:val="007314C8"/>
    <w:rsid w:val="00734DF3"/>
    <w:rsid w:val="00756027"/>
    <w:rsid w:val="00764691"/>
    <w:rsid w:val="0076736B"/>
    <w:rsid w:val="00767C4E"/>
    <w:rsid w:val="007863F1"/>
    <w:rsid w:val="0079134B"/>
    <w:rsid w:val="00795741"/>
    <w:rsid w:val="007A3F8F"/>
    <w:rsid w:val="007C2200"/>
    <w:rsid w:val="007C4022"/>
    <w:rsid w:val="007D564F"/>
    <w:rsid w:val="007D57FA"/>
    <w:rsid w:val="007D5F32"/>
    <w:rsid w:val="007D6047"/>
    <w:rsid w:val="007D7C30"/>
    <w:rsid w:val="007E5AE9"/>
    <w:rsid w:val="007F2A74"/>
    <w:rsid w:val="007F3C14"/>
    <w:rsid w:val="008050A8"/>
    <w:rsid w:val="00805B53"/>
    <w:rsid w:val="00811A39"/>
    <w:rsid w:val="00817315"/>
    <w:rsid w:val="008358E1"/>
    <w:rsid w:val="008360F9"/>
    <w:rsid w:val="00840F24"/>
    <w:rsid w:val="008518A2"/>
    <w:rsid w:val="00852813"/>
    <w:rsid w:val="0086311D"/>
    <w:rsid w:val="00876E7F"/>
    <w:rsid w:val="00880315"/>
    <w:rsid w:val="00883151"/>
    <w:rsid w:val="00895FC8"/>
    <w:rsid w:val="008A205F"/>
    <w:rsid w:val="008B103F"/>
    <w:rsid w:val="008C5C06"/>
    <w:rsid w:val="008C76A4"/>
    <w:rsid w:val="008D1A5A"/>
    <w:rsid w:val="008D71BB"/>
    <w:rsid w:val="008E3BF4"/>
    <w:rsid w:val="008F54CA"/>
    <w:rsid w:val="008F56EA"/>
    <w:rsid w:val="008F58A0"/>
    <w:rsid w:val="008F7F81"/>
    <w:rsid w:val="00916A94"/>
    <w:rsid w:val="00916ACA"/>
    <w:rsid w:val="009210E8"/>
    <w:rsid w:val="00934433"/>
    <w:rsid w:val="009345F5"/>
    <w:rsid w:val="00943330"/>
    <w:rsid w:val="00962113"/>
    <w:rsid w:val="00975714"/>
    <w:rsid w:val="0098043B"/>
    <w:rsid w:val="0098278E"/>
    <w:rsid w:val="009835C5"/>
    <w:rsid w:val="0098440B"/>
    <w:rsid w:val="00985649"/>
    <w:rsid w:val="00994989"/>
    <w:rsid w:val="00995525"/>
    <w:rsid w:val="009A5752"/>
    <w:rsid w:val="009C0BB9"/>
    <w:rsid w:val="009D2917"/>
    <w:rsid w:val="009D6B30"/>
    <w:rsid w:val="009E2A35"/>
    <w:rsid w:val="009E30AF"/>
    <w:rsid w:val="009F53A3"/>
    <w:rsid w:val="00A04F38"/>
    <w:rsid w:val="00A06DD9"/>
    <w:rsid w:val="00A071BC"/>
    <w:rsid w:val="00A20B76"/>
    <w:rsid w:val="00A24C72"/>
    <w:rsid w:val="00A4078B"/>
    <w:rsid w:val="00A4408A"/>
    <w:rsid w:val="00A45F87"/>
    <w:rsid w:val="00A464C5"/>
    <w:rsid w:val="00A506CE"/>
    <w:rsid w:val="00A668F1"/>
    <w:rsid w:val="00A77C5E"/>
    <w:rsid w:val="00A93335"/>
    <w:rsid w:val="00AA6D08"/>
    <w:rsid w:val="00AB2D1A"/>
    <w:rsid w:val="00AB6B6A"/>
    <w:rsid w:val="00AC497C"/>
    <w:rsid w:val="00AC632A"/>
    <w:rsid w:val="00AC79E7"/>
    <w:rsid w:val="00AD073A"/>
    <w:rsid w:val="00AE1712"/>
    <w:rsid w:val="00B016E1"/>
    <w:rsid w:val="00B024D6"/>
    <w:rsid w:val="00B15096"/>
    <w:rsid w:val="00B30465"/>
    <w:rsid w:val="00B3541B"/>
    <w:rsid w:val="00B36D58"/>
    <w:rsid w:val="00B550CC"/>
    <w:rsid w:val="00B56E4C"/>
    <w:rsid w:val="00B61A4A"/>
    <w:rsid w:val="00B640E3"/>
    <w:rsid w:val="00B74E50"/>
    <w:rsid w:val="00B75304"/>
    <w:rsid w:val="00B82DED"/>
    <w:rsid w:val="00B8337A"/>
    <w:rsid w:val="00B9154C"/>
    <w:rsid w:val="00B93CC2"/>
    <w:rsid w:val="00B948BF"/>
    <w:rsid w:val="00BA774E"/>
    <w:rsid w:val="00BD708C"/>
    <w:rsid w:val="00BE6E30"/>
    <w:rsid w:val="00BF18E3"/>
    <w:rsid w:val="00BF2400"/>
    <w:rsid w:val="00C145CC"/>
    <w:rsid w:val="00C15253"/>
    <w:rsid w:val="00C33191"/>
    <w:rsid w:val="00C33B8C"/>
    <w:rsid w:val="00C52652"/>
    <w:rsid w:val="00C63AF7"/>
    <w:rsid w:val="00C82551"/>
    <w:rsid w:val="00C93D04"/>
    <w:rsid w:val="00C960C7"/>
    <w:rsid w:val="00CA2338"/>
    <w:rsid w:val="00CB4FB9"/>
    <w:rsid w:val="00CC32A5"/>
    <w:rsid w:val="00CD46DF"/>
    <w:rsid w:val="00CD7CE6"/>
    <w:rsid w:val="00CE7A00"/>
    <w:rsid w:val="00CF0727"/>
    <w:rsid w:val="00CF0A4B"/>
    <w:rsid w:val="00CF5512"/>
    <w:rsid w:val="00CF75F9"/>
    <w:rsid w:val="00D031B8"/>
    <w:rsid w:val="00D05C61"/>
    <w:rsid w:val="00D13F16"/>
    <w:rsid w:val="00D2281E"/>
    <w:rsid w:val="00D44101"/>
    <w:rsid w:val="00D52FE9"/>
    <w:rsid w:val="00D629A2"/>
    <w:rsid w:val="00D6315D"/>
    <w:rsid w:val="00D639BF"/>
    <w:rsid w:val="00D64C1D"/>
    <w:rsid w:val="00D72510"/>
    <w:rsid w:val="00D73884"/>
    <w:rsid w:val="00D86E03"/>
    <w:rsid w:val="00D9094A"/>
    <w:rsid w:val="00D9691E"/>
    <w:rsid w:val="00DA4C55"/>
    <w:rsid w:val="00DA68BB"/>
    <w:rsid w:val="00DA719B"/>
    <w:rsid w:val="00DA75D6"/>
    <w:rsid w:val="00DB591B"/>
    <w:rsid w:val="00DD625E"/>
    <w:rsid w:val="00DE0EE3"/>
    <w:rsid w:val="00DF45E6"/>
    <w:rsid w:val="00DF7AE3"/>
    <w:rsid w:val="00E007B2"/>
    <w:rsid w:val="00E05741"/>
    <w:rsid w:val="00E10D5B"/>
    <w:rsid w:val="00E17140"/>
    <w:rsid w:val="00E17BC7"/>
    <w:rsid w:val="00E25099"/>
    <w:rsid w:val="00E43FB9"/>
    <w:rsid w:val="00E5683A"/>
    <w:rsid w:val="00E832D7"/>
    <w:rsid w:val="00E9728C"/>
    <w:rsid w:val="00EA17C2"/>
    <w:rsid w:val="00EA22FB"/>
    <w:rsid w:val="00EC5D58"/>
    <w:rsid w:val="00EE5E22"/>
    <w:rsid w:val="00EF0B5C"/>
    <w:rsid w:val="00EF12B5"/>
    <w:rsid w:val="00EF5C41"/>
    <w:rsid w:val="00EF5E58"/>
    <w:rsid w:val="00F015F8"/>
    <w:rsid w:val="00F3383D"/>
    <w:rsid w:val="00F45EB6"/>
    <w:rsid w:val="00F46C36"/>
    <w:rsid w:val="00F50BBE"/>
    <w:rsid w:val="00F6003C"/>
    <w:rsid w:val="00F65C6F"/>
    <w:rsid w:val="00F668ED"/>
    <w:rsid w:val="00F73AF0"/>
    <w:rsid w:val="00F73CF8"/>
    <w:rsid w:val="00F85765"/>
    <w:rsid w:val="00F86660"/>
    <w:rsid w:val="00F91B96"/>
    <w:rsid w:val="00F9317C"/>
    <w:rsid w:val="00FA0F55"/>
    <w:rsid w:val="00FA2B00"/>
    <w:rsid w:val="00FA5ABD"/>
    <w:rsid w:val="00FB020A"/>
    <w:rsid w:val="00FB6C01"/>
    <w:rsid w:val="00FC1637"/>
    <w:rsid w:val="00FD32DE"/>
    <w:rsid w:val="00FD3B1B"/>
    <w:rsid w:val="00FD65B7"/>
    <w:rsid w:val="00FE0BD6"/>
    <w:rsid w:val="00FE321D"/>
    <w:rsid w:val="00FE7D6E"/>
    <w:rsid w:val="00FF524E"/>
    <w:rsid w:val="499DB1B5"/>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3EBF"/>
  <w15:docId w15:val="{7E31CFE0-5569-46B4-80EF-6742EF55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A8D"/>
  </w:style>
  <w:style w:type="paragraph" w:styleId="Heading1">
    <w:name w:val="heading 1"/>
    <w:basedOn w:val="ListParagraph"/>
    <w:next w:val="Normal"/>
    <w:link w:val="Heading1Char"/>
    <w:uiPriority w:val="9"/>
    <w:qFormat/>
    <w:rsid w:val="00F6003C"/>
    <w:pPr>
      <w:numPr>
        <w:numId w:val="1"/>
      </w:numPr>
      <w:spacing w:after="0"/>
      <w:outlineLvl w:val="0"/>
    </w:pPr>
    <w:rPr>
      <w:rFonts w:cs="Lucida Sans Unicode"/>
      <w:b/>
      <w:sz w:val="24"/>
      <w:lang w:eastAsia="zh-CN"/>
    </w:rPr>
  </w:style>
  <w:style w:type="paragraph" w:styleId="Heading2">
    <w:name w:val="heading 2"/>
    <w:basedOn w:val="ListParagraph"/>
    <w:next w:val="Normal"/>
    <w:link w:val="Heading2Char"/>
    <w:uiPriority w:val="9"/>
    <w:unhideWhenUsed/>
    <w:qFormat/>
    <w:rsid w:val="00F6003C"/>
    <w:pPr>
      <w:numPr>
        <w:ilvl w:val="1"/>
        <w:numId w:val="1"/>
      </w:numPr>
      <w:spacing w:before="240" w:after="240"/>
      <w:ind w:left="567" w:hanging="567"/>
      <w:outlineLvl w:val="1"/>
    </w:pPr>
    <w:rPr>
      <w:rFonts w:cs="Lucida Sans Unicode"/>
      <w:b/>
      <w:lang w:eastAsia="zh-CN"/>
    </w:rPr>
  </w:style>
  <w:style w:type="paragraph" w:styleId="Heading9">
    <w:name w:val="heading 9"/>
    <w:basedOn w:val="Normal"/>
    <w:next w:val="Normal"/>
    <w:link w:val="Heading9Char"/>
    <w:uiPriority w:val="9"/>
    <w:semiHidden/>
    <w:unhideWhenUsed/>
    <w:qFormat/>
    <w:rsid w:val="00CF0A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uiPriority w:val="99"/>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3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2FE9"/>
    <w:pPr>
      <w:ind w:left="720"/>
      <w:contextualSpacing/>
    </w:pPr>
  </w:style>
  <w:style w:type="character" w:customStyle="1" w:styleId="Bodytext285pt">
    <w:name w:val="Body text (2) + 8;5 pt"/>
    <w:basedOn w:val="DefaultParagraphFont"/>
    <w:rsid w:val="00EF5C4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EF5C41"/>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EF5C41"/>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BD708C"/>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BD708C"/>
    <w:rPr>
      <w:sz w:val="20"/>
      <w:szCs w:val="20"/>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BD708C"/>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BD708C"/>
    <w:pPr>
      <w:spacing w:before="120" w:after="160" w:line="240" w:lineRule="exact"/>
      <w:jc w:val="both"/>
    </w:pPr>
    <w:rPr>
      <w:vertAlign w:val="superscript"/>
    </w:rPr>
  </w:style>
  <w:style w:type="character" w:customStyle="1" w:styleId="longtext">
    <w:name w:val="long_text"/>
    <w:basedOn w:val="DefaultParagraphFont"/>
    <w:uiPriority w:val="99"/>
    <w:rsid w:val="00F6003C"/>
    <w:rPr>
      <w:rFonts w:cs="Times New Roman"/>
    </w:rPr>
  </w:style>
  <w:style w:type="character" w:customStyle="1" w:styleId="Heading1Char">
    <w:name w:val="Heading 1 Char"/>
    <w:basedOn w:val="DefaultParagraphFont"/>
    <w:link w:val="Heading1"/>
    <w:uiPriority w:val="9"/>
    <w:rsid w:val="00F6003C"/>
    <w:rPr>
      <w:rFonts w:cs="Lucida Sans Unicode"/>
      <w:b/>
      <w:sz w:val="24"/>
      <w:lang w:eastAsia="zh-CN"/>
    </w:rPr>
  </w:style>
  <w:style w:type="character" w:customStyle="1" w:styleId="Heading2Char">
    <w:name w:val="Heading 2 Char"/>
    <w:basedOn w:val="DefaultParagraphFont"/>
    <w:link w:val="Heading2"/>
    <w:uiPriority w:val="9"/>
    <w:rsid w:val="00F6003C"/>
    <w:rPr>
      <w:rFonts w:cs="Lucida Sans Unicode"/>
      <w:b/>
      <w:lang w:eastAsia="zh-CN"/>
    </w:rPr>
  </w:style>
  <w:style w:type="character" w:styleId="CommentReference">
    <w:name w:val="annotation reference"/>
    <w:basedOn w:val="DefaultParagraphFont"/>
    <w:uiPriority w:val="99"/>
    <w:unhideWhenUsed/>
    <w:rsid w:val="00F6003C"/>
    <w:rPr>
      <w:sz w:val="18"/>
      <w:szCs w:val="18"/>
    </w:rPr>
  </w:style>
  <w:style w:type="paragraph" w:styleId="CommentText">
    <w:name w:val="annotation text"/>
    <w:basedOn w:val="Normal"/>
    <w:link w:val="CommentTextChar"/>
    <w:uiPriority w:val="99"/>
    <w:unhideWhenUsed/>
    <w:rsid w:val="00F6003C"/>
    <w:pPr>
      <w:spacing w:line="240" w:lineRule="auto"/>
    </w:pPr>
    <w:rPr>
      <w:sz w:val="24"/>
      <w:szCs w:val="24"/>
      <w:lang w:eastAsia="zh-CN"/>
    </w:rPr>
  </w:style>
  <w:style w:type="character" w:customStyle="1" w:styleId="CommentTextChar">
    <w:name w:val="Comment Text Char"/>
    <w:basedOn w:val="DefaultParagraphFont"/>
    <w:link w:val="CommentText"/>
    <w:uiPriority w:val="99"/>
    <w:rsid w:val="00F6003C"/>
    <w:rPr>
      <w:sz w:val="24"/>
      <w:szCs w:val="24"/>
      <w:lang w:eastAsia="zh-CN"/>
    </w:rPr>
  </w:style>
  <w:style w:type="paragraph" w:customStyle="1" w:styleId="Cmsor3">
    <w:name w:val="Címsor3"/>
    <w:basedOn w:val="Normal"/>
    <w:uiPriority w:val="99"/>
    <w:rsid w:val="00F6003C"/>
    <w:pPr>
      <w:spacing w:after="0" w:line="240" w:lineRule="auto"/>
    </w:pPr>
    <w:rPr>
      <w:rFonts w:ascii="Tahoma" w:eastAsia="Times New Roman" w:hAnsi="Tahoma" w:cs="Tahoma"/>
      <w:noProof/>
      <w:lang w:val="hu-HU" w:eastAsia="en-US"/>
    </w:rPr>
  </w:style>
  <w:style w:type="paragraph" w:customStyle="1" w:styleId="Normal1">
    <w:name w:val="Normal1"/>
    <w:basedOn w:val="Normal"/>
    <w:semiHidden/>
    <w:rsid w:val="00D6315D"/>
    <w:pPr>
      <w:spacing w:before="120" w:after="120" w:line="260" w:lineRule="atLeast"/>
      <w:jc w:val="both"/>
    </w:pPr>
    <w:rPr>
      <w:rFonts w:ascii="Calibri" w:eastAsia="Calibri" w:hAnsi="Calibri" w:cs="Times New Roman"/>
      <w:lang w:val="en-GB" w:eastAsia="en-GB"/>
    </w:rPr>
  </w:style>
  <w:style w:type="character" w:customStyle="1" w:styleId="ListParagraphChar">
    <w:name w:val="List Paragraph Char"/>
    <w:link w:val="ListParagraph"/>
    <w:uiPriority w:val="34"/>
    <w:locked/>
    <w:rsid w:val="00D6315D"/>
  </w:style>
  <w:style w:type="paragraph" w:customStyle="1" w:styleId="bullets">
    <w:name w:val="bullets"/>
    <w:basedOn w:val="ListParagraph"/>
    <w:link w:val="bulletsChar"/>
    <w:qFormat/>
    <w:rsid w:val="00304DD1"/>
    <w:pPr>
      <w:numPr>
        <w:numId w:val="2"/>
      </w:numPr>
      <w:spacing w:after="0" w:line="240" w:lineRule="auto"/>
      <w:ind w:left="295" w:hanging="283"/>
    </w:pPr>
    <w:rPr>
      <w:rFonts w:eastAsiaTheme="minorHAnsi"/>
      <w:lang w:val="en-GB" w:eastAsia="en-US"/>
    </w:rPr>
  </w:style>
  <w:style w:type="character" w:customStyle="1" w:styleId="bulletsChar">
    <w:name w:val="bullets Char"/>
    <w:link w:val="bullets"/>
    <w:rsid w:val="00304DD1"/>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916ACA"/>
    <w:rPr>
      <w:b/>
      <w:bCs/>
      <w:sz w:val="20"/>
      <w:szCs w:val="20"/>
      <w:lang w:eastAsia="hr-HR"/>
    </w:rPr>
  </w:style>
  <w:style w:type="character" w:customStyle="1" w:styleId="CommentSubjectChar">
    <w:name w:val="Comment Subject Char"/>
    <w:basedOn w:val="CommentTextChar"/>
    <w:link w:val="CommentSubject"/>
    <w:uiPriority w:val="99"/>
    <w:semiHidden/>
    <w:rsid w:val="00916ACA"/>
    <w:rPr>
      <w:b/>
      <w:bCs/>
      <w:sz w:val="20"/>
      <w:szCs w:val="20"/>
      <w:lang w:eastAsia="zh-CN"/>
    </w:rPr>
  </w:style>
  <w:style w:type="character" w:customStyle="1" w:styleId="Bodytext2">
    <w:name w:val="Body text (2)"/>
    <w:basedOn w:val="DefaultParagraphFont"/>
    <w:rsid w:val="00CF75F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ListBullet">
    <w:name w:val="List Bullet"/>
    <w:basedOn w:val="Normal"/>
    <w:uiPriority w:val="99"/>
    <w:unhideWhenUsed/>
    <w:rsid w:val="00CF75F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styleId="BodyText">
    <w:name w:val="Body Text"/>
    <w:basedOn w:val="Normal"/>
    <w:link w:val="BodyTextChar"/>
    <w:uiPriority w:val="1"/>
    <w:rsid w:val="003A7AC7"/>
    <w:pPr>
      <w:spacing w:before="120"/>
      <w:ind w:left="116"/>
    </w:pPr>
    <w:rPr>
      <w:lang w:eastAsia="en-US"/>
    </w:rPr>
  </w:style>
  <w:style w:type="character" w:customStyle="1" w:styleId="BodyTextChar">
    <w:name w:val="Body Text Char"/>
    <w:basedOn w:val="DefaultParagraphFont"/>
    <w:link w:val="BodyText"/>
    <w:uiPriority w:val="1"/>
    <w:rsid w:val="003A7AC7"/>
    <w:rPr>
      <w:lang w:eastAsia="en-US"/>
    </w:rPr>
  </w:style>
  <w:style w:type="character" w:styleId="Hyperlink">
    <w:name w:val="Hyperlink"/>
    <w:uiPriority w:val="99"/>
    <w:rsid w:val="00F668ED"/>
    <w:rPr>
      <w:rFonts w:cs="Times New Roman"/>
      <w:color w:val="0000FF"/>
      <w:u w:val="single"/>
    </w:rPr>
  </w:style>
  <w:style w:type="character" w:customStyle="1" w:styleId="Bodytext3">
    <w:name w:val="Body text (3)_"/>
    <w:basedOn w:val="DefaultParagraphFont"/>
    <w:link w:val="Bodytext30"/>
    <w:rsid w:val="00F668ED"/>
    <w:rPr>
      <w:rFonts w:ascii="Times New Roman" w:eastAsia="Times New Roman" w:hAnsi="Times New Roman"/>
      <w:b/>
      <w:bCs/>
      <w:sz w:val="17"/>
      <w:szCs w:val="17"/>
      <w:shd w:val="clear" w:color="auto" w:fill="FFFFFF"/>
    </w:rPr>
  </w:style>
  <w:style w:type="paragraph" w:customStyle="1" w:styleId="Bodytext30">
    <w:name w:val="Body text (3)"/>
    <w:basedOn w:val="Normal"/>
    <w:link w:val="Bodytext3"/>
    <w:rsid w:val="00F668ED"/>
    <w:pPr>
      <w:widowControl w:val="0"/>
      <w:shd w:val="clear" w:color="auto" w:fill="FFFFFF"/>
      <w:spacing w:after="0" w:line="0" w:lineRule="atLeast"/>
    </w:pPr>
    <w:rPr>
      <w:rFonts w:ascii="Times New Roman" w:eastAsia="Times New Roman" w:hAnsi="Times New Roman"/>
      <w:b/>
      <w:bCs/>
      <w:sz w:val="17"/>
      <w:szCs w:val="17"/>
    </w:rPr>
  </w:style>
  <w:style w:type="paragraph" w:customStyle="1" w:styleId="Default">
    <w:name w:val="Default"/>
    <w:rsid w:val="00423DBE"/>
    <w:pPr>
      <w:widowControl w:val="0"/>
      <w:autoSpaceDE w:val="0"/>
      <w:autoSpaceDN w:val="0"/>
      <w:adjustRightInd w:val="0"/>
      <w:spacing w:after="0" w:line="240" w:lineRule="auto"/>
    </w:pPr>
    <w:rPr>
      <w:rFonts w:ascii="Times New Roman" w:hAnsi="Times New Roman" w:cs="Times New Roman"/>
      <w:color w:val="000000"/>
      <w:sz w:val="24"/>
      <w:szCs w:val="24"/>
      <w:lang w:val="en-US" w:eastAsia="zh-CN"/>
    </w:rPr>
  </w:style>
  <w:style w:type="character" w:customStyle="1" w:styleId="Heading9Char">
    <w:name w:val="Heading 9 Char"/>
    <w:basedOn w:val="DefaultParagraphFont"/>
    <w:link w:val="Heading9"/>
    <w:uiPriority w:val="9"/>
    <w:semiHidden/>
    <w:rsid w:val="00CF0A4B"/>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401224"/>
    <w:pPr>
      <w:numPr>
        <w:ilvl w:val="1"/>
      </w:numPr>
      <w:spacing w:after="120" w:line="240" w:lineRule="auto"/>
      <w:jc w:val="both"/>
    </w:pPr>
    <w:rPr>
      <w:rFonts w:asciiTheme="majorHAnsi" w:eastAsiaTheme="majorEastAsia" w:hAnsiTheme="majorHAnsi" w:cstheme="majorBidi"/>
      <w:sz w:val="30"/>
      <w:szCs w:val="30"/>
      <w:lang w:eastAsia="zh-CN"/>
    </w:rPr>
  </w:style>
  <w:style w:type="character" w:customStyle="1" w:styleId="SubtitleChar">
    <w:name w:val="Subtitle Char"/>
    <w:basedOn w:val="DefaultParagraphFont"/>
    <w:link w:val="Subtitle"/>
    <w:uiPriority w:val="11"/>
    <w:rsid w:val="00401224"/>
    <w:rPr>
      <w:rFonts w:asciiTheme="majorHAnsi" w:eastAsiaTheme="majorEastAsia" w:hAnsiTheme="majorHAnsi" w:cstheme="majorBidi"/>
      <w:sz w:val="30"/>
      <w:szCs w:val="30"/>
      <w:lang w:eastAsia="zh-CN"/>
    </w:rPr>
  </w:style>
  <w:style w:type="paragraph" w:styleId="Title">
    <w:name w:val="Title"/>
    <w:basedOn w:val="Normal"/>
    <w:next w:val="Normal"/>
    <w:link w:val="TitleChar"/>
    <w:uiPriority w:val="10"/>
    <w:qFormat/>
    <w:rsid w:val="00401224"/>
    <w:pPr>
      <w:spacing w:after="0" w:line="240" w:lineRule="auto"/>
      <w:contextualSpacing/>
      <w:jc w:val="both"/>
    </w:pPr>
    <w:rPr>
      <w:rFonts w:asciiTheme="majorHAnsi" w:eastAsiaTheme="majorEastAsia" w:hAnsiTheme="majorHAnsi" w:cstheme="majorBidi"/>
      <w:color w:val="262626" w:themeColor="text1" w:themeTint="D9"/>
      <w:spacing w:val="-15"/>
      <w:sz w:val="72"/>
      <w:szCs w:val="96"/>
      <w:lang w:eastAsia="zh-CN"/>
    </w:rPr>
  </w:style>
  <w:style w:type="character" w:customStyle="1" w:styleId="TitleChar">
    <w:name w:val="Title Char"/>
    <w:basedOn w:val="DefaultParagraphFont"/>
    <w:link w:val="Title"/>
    <w:uiPriority w:val="10"/>
    <w:rsid w:val="00401224"/>
    <w:rPr>
      <w:rFonts w:asciiTheme="majorHAnsi" w:eastAsiaTheme="majorEastAsia" w:hAnsiTheme="majorHAnsi" w:cstheme="majorBidi"/>
      <w:color w:val="262626" w:themeColor="text1" w:themeTint="D9"/>
      <w:spacing w:val="-15"/>
      <w:sz w:val="72"/>
      <w:szCs w:val="96"/>
      <w:lang w:eastAsia="zh-CN"/>
    </w:rPr>
  </w:style>
  <w:style w:type="character" w:customStyle="1" w:styleId="st1">
    <w:name w:val="st1"/>
    <w:basedOn w:val="DefaultParagraphFont"/>
    <w:rsid w:val="00401224"/>
  </w:style>
  <w:style w:type="table" w:customStyle="1" w:styleId="GridTable4-Accent61">
    <w:name w:val="Grid Table 4 - Accent 61"/>
    <w:basedOn w:val="TableNormal"/>
    <w:uiPriority w:val="49"/>
    <w:rsid w:val="00A04F38"/>
    <w:pPr>
      <w:spacing w:after="0" w:line="240" w:lineRule="auto"/>
    </w:pPr>
    <w:rPr>
      <w:sz w:val="21"/>
      <w:szCs w:val="21"/>
      <w:lang w:eastAsia="zh-C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6">
    <w:name w:val="Grid Table 4 Accent 6"/>
    <w:basedOn w:val="TableNormal"/>
    <w:uiPriority w:val="49"/>
    <w:rsid w:val="00975714"/>
    <w:pPr>
      <w:spacing w:before="100" w:after="0" w:line="240" w:lineRule="auto"/>
    </w:pPr>
    <w:rPr>
      <w:sz w:val="20"/>
      <w:szCs w:val="20"/>
      <w:lang w:eastAsia="zh-C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E007B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62113"/>
    <w:pPr>
      <w:spacing w:after="0" w:line="240" w:lineRule="auto"/>
    </w:pPr>
  </w:style>
  <w:style w:type="table" w:styleId="LightList-Accent1">
    <w:name w:val="Light List Accent 1"/>
    <w:basedOn w:val="TableNormal"/>
    <w:uiPriority w:val="61"/>
    <w:rsid w:val="00CE7A00"/>
    <w:pPr>
      <w:spacing w:after="0" w:line="240" w:lineRule="auto"/>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377243739">
      <w:bodyDiv w:val="1"/>
      <w:marLeft w:val="0"/>
      <w:marRight w:val="0"/>
      <w:marTop w:val="0"/>
      <w:marBottom w:val="0"/>
      <w:divBdr>
        <w:top w:val="none" w:sz="0" w:space="0" w:color="auto"/>
        <w:left w:val="none" w:sz="0" w:space="0" w:color="auto"/>
        <w:bottom w:val="none" w:sz="0" w:space="0" w:color="auto"/>
        <w:right w:val="none" w:sz="0" w:space="0" w:color="auto"/>
      </w:divBdr>
    </w:div>
    <w:div w:id="478306403">
      <w:bodyDiv w:val="1"/>
      <w:marLeft w:val="0"/>
      <w:marRight w:val="0"/>
      <w:marTop w:val="0"/>
      <w:marBottom w:val="0"/>
      <w:divBdr>
        <w:top w:val="none" w:sz="0" w:space="0" w:color="auto"/>
        <w:left w:val="none" w:sz="0" w:space="0" w:color="auto"/>
        <w:bottom w:val="none" w:sz="0" w:space="0" w:color="auto"/>
        <w:right w:val="none" w:sz="0" w:space="0" w:color="auto"/>
      </w:divBdr>
    </w:div>
    <w:div w:id="503932375">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 w:id="1101755075">
      <w:bodyDiv w:val="1"/>
      <w:marLeft w:val="0"/>
      <w:marRight w:val="0"/>
      <w:marTop w:val="0"/>
      <w:marBottom w:val="0"/>
      <w:divBdr>
        <w:top w:val="none" w:sz="0" w:space="0" w:color="auto"/>
        <w:left w:val="none" w:sz="0" w:space="0" w:color="auto"/>
        <w:bottom w:val="none" w:sz="0" w:space="0" w:color="auto"/>
        <w:right w:val="none" w:sz="0" w:space="0" w:color="auto"/>
      </w:divBdr>
    </w:div>
    <w:div w:id="1538198139">
      <w:bodyDiv w:val="1"/>
      <w:marLeft w:val="0"/>
      <w:marRight w:val="0"/>
      <w:marTop w:val="0"/>
      <w:marBottom w:val="0"/>
      <w:divBdr>
        <w:top w:val="none" w:sz="0" w:space="0" w:color="auto"/>
        <w:left w:val="none" w:sz="0" w:space="0" w:color="auto"/>
        <w:bottom w:val="none" w:sz="0" w:space="0" w:color="auto"/>
        <w:right w:val="none" w:sz="0" w:space="0" w:color="auto"/>
      </w:divBdr>
    </w:div>
    <w:div w:id="177585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217D53073132942AF3E2C8593AD53AA" ma:contentTypeVersion="7" ma:contentTypeDescription="Stvaranje novog dokumenta." ma:contentTypeScope="" ma:versionID="83dbe9b3f48f0bdcb8cba3b4566a798f">
  <xsd:schema xmlns:xsd="http://www.w3.org/2001/XMLSchema" xmlns:xs="http://www.w3.org/2001/XMLSchema" xmlns:p="http://schemas.microsoft.com/office/2006/metadata/properties" xmlns:ns2="e7897449-8e6f-4cef-be58-e81a4abd4035" xmlns:ns3="f14e6dd8-7df8-49d8-9541-95452fd4cd12" targetNamespace="http://schemas.microsoft.com/office/2006/metadata/properties" ma:root="true" ma:fieldsID="f7868e5e729d3b784ee0514785486e6b" ns2:_="" ns3:_="">
    <xsd:import namespace="e7897449-8e6f-4cef-be58-e81a4abd4035"/>
    <xsd:import namespace="f14e6dd8-7df8-49d8-9541-95452fd4cd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4e6dd8-7df8-49d8-9541-95452fd4cd1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17552-9C12-4B80-AE40-8B69FF0F82F5}">
  <ds:schemaRefs>
    <ds:schemaRef ds:uri="http://schemas.microsoft.com/sharepoint/v3/contenttype/forms"/>
  </ds:schemaRefs>
</ds:datastoreItem>
</file>

<file path=customXml/itemProps2.xml><?xml version="1.0" encoding="utf-8"?>
<ds:datastoreItem xmlns:ds="http://schemas.openxmlformats.org/officeDocument/2006/customXml" ds:itemID="{66E32854-38EA-43D4-BF79-3FEC77564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f14e6dd8-7df8-49d8-9541-95452fd4c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D45E8-2530-47A9-86C8-C20BFF7C50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BDD9DC-7112-4F00-8A99-7230B1611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Ministarstvo kulture</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Morana Trojak</dc:creator>
  <cp:lastModifiedBy>Iva Rakić</cp:lastModifiedBy>
  <cp:revision>131</cp:revision>
  <cp:lastPrinted>2016-04-28T15:44:00Z</cp:lastPrinted>
  <dcterms:created xsi:type="dcterms:W3CDTF">2016-08-02T12:37:00Z</dcterms:created>
  <dcterms:modified xsi:type="dcterms:W3CDTF">2018-02-01T13:10:00Z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0x0101009217D53073132942AF3E2C8593AD53AA</vt:lpwstr>
  </property>
</Properties>
</file>