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7E2" w:rsidRPr="00826E16" w:rsidRDefault="00F647E2" w:rsidP="00F647E2">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 – PDP</w:t>
      </w:r>
    </w:p>
    <w:p w:rsidR="00F647E2" w:rsidRPr="00826E16" w:rsidRDefault="00BF6BDB" w:rsidP="00F647E2">
      <w:pPr>
        <w:spacing w:after="0" w:line="240" w:lineRule="auto"/>
        <w:jc w:val="center"/>
        <w:rPr>
          <w:rFonts w:ascii="Times New Roman" w:hAnsi="Times New Roman" w:cs="Times New Roman"/>
          <w:b/>
          <w:sz w:val="32"/>
          <w:szCs w:val="32"/>
        </w:rPr>
      </w:pPr>
      <w:hyperlink r:id="rId11" w:history="1">
        <w:r w:rsidR="00F647E2" w:rsidRPr="00826E16">
          <w:rPr>
            <w:rStyle w:val="Hyperlink"/>
            <w:rFonts w:ascii="Times New Roman" w:hAnsi="Times New Roman" w:cs="Times New Roman"/>
            <w:b/>
            <w:sz w:val="32"/>
            <w:szCs w:val="32"/>
          </w:rPr>
          <w:t>www.strukturnifondovi.hr</w:t>
        </w:r>
      </w:hyperlink>
      <w:r w:rsidR="00F647E2" w:rsidRPr="00826E16">
        <w:rPr>
          <w:rFonts w:ascii="Times New Roman" w:hAnsi="Times New Roman" w:cs="Times New Roman"/>
          <w:b/>
          <w:sz w:val="32"/>
          <w:szCs w:val="32"/>
        </w:rPr>
        <w:t xml:space="preserve"> </w:t>
      </w:r>
    </w:p>
    <w:p w:rsidR="00F647E2" w:rsidRPr="00826E16" w:rsidRDefault="00F647E2" w:rsidP="00F647E2">
      <w:pPr>
        <w:spacing w:after="0" w:line="240" w:lineRule="auto"/>
        <w:jc w:val="center"/>
        <w:rPr>
          <w:rFonts w:ascii="Times New Roman" w:hAnsi="Times New Roman" w:cs="Times New Roman"/>
          <w:b/>
          <w:sz w:val="32"/>
          <w:szCs w:val="32"/>
        </w:rPr>
      </w:pPr>
    </w:p>
    <w:p w:rsidR="00F647E2" w:rsidRPr="00826E16" w:rsidRDefault="00F647E2" w:rsidP="00F647E2">
      <w:pPr>
        <w:spacing w:after="0" w:line="240" w:lineRule="auto"/>
        <w:jc w:val="center"/>
        <w:rPr>
          <w:rStyle w:val="Bodytext285pt"/>
          <w:rFonts w:eastAsiaTheme="minorHAnsi"/>
          <w:b/>
          <w:sz w:val="18"/>
          <w:szCs w:val="18"/>
          <w:lang w:val="hr-HR"/>
        </w:rPr>
      </w:pPr>
    </w:p>
    <w:p w:rsidR="00F647E2" w:rsidRPr="00826E16" w:rsidRDefault="00F647E2" w:rsidP="00F647E2">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Pr="00826E16">
        <w:rPr>
          <w:rStyle w:val="Bodytext285pt"/>
          <w:rFonts w:eastAsiaTheme="minorHAnsi"/>
          <w:b/>
          <w:sz w:val="18"/>
          <w:szCs w:val="18"/>
          <w:lang w:val="hr-HR"/>
        </w:rPr>
        <w:tab/>
      </w:r>
      <w:r w:rsidRPr="00D81D33">
        <w:rPr>
          <w:rStyle w:val="Bodytext285pt"/>
          <w:rFonts w:eastAsiaTheme="minorHAnsi"/>
          <w:sz w:val="18"/>
          <w:szCs w:val="18"/>
          <w:lang w:val="hr-HR"/>
        </w:rPr>
        <w:t>Europski fond za regionalni razvoj</w:t>
      </w:r>
      <w:r w:rsidRPr="00D81D33">
        <w:rPr>
          <w:rStyle w:val="Bodytext285pt"/>
          <w:rFonts w:eastAsiaTheme="minorHAnsi"/>
          <w:sz w:val="18"/>
          <w:szCs w:val="18"/>
          <w:lang w:val="hr-HR"/>
        </w:rPr>
        <w:tab/>
      </w:r>
      <w:r w:rsidRPr="00826E16">
        <w:rPr>
          <w:rStyle w:val="Bodytext285pt"/>
          <w:rFonts w:eastAsiaTheme="minorHAnsi"/>
          <w:b/>
          <w:sz w:val="18"/>
          <w:szCs w:val="18"/>
          <w:lang w:val="hr-HR"/>
        </w:rPr>
        <w:tab/>
      </w:r>
      <w:r w:rsidRPr="00826E16">
        <w:rPr>
          <w:rStyle w:val="Bodytext285pt"/>
          <w:rFonts w:eastAsiaTheme="minorHAnsi"/>
          <w:b/>
          <w:sz w:val="18"/>
          <w:szCs w:val="18"/>
          <w:lang w:val="hr-HR"/>
        </w:rPr>
        <w:tab/>
      </w:r>
      <w:r w:rsidRPr="00826E16">
        <w:rPr>
          <w:rStyle w:val="Bodytext285pt"/>
          <w:rFonts w:eastAsiaTheme="minorHAnsi"/>
          <w:sz w:val="18"/>
          <w:szCs w:val="18"/>
          <w:lang w:val="hr-HR"/>
        </w:rPr>
        <w:tab/>
      </w:r>
      <w:r w:rsidRPr="00826E16">
        <w:rPr>
          <w:rStyle w:val="Bodytext285pt"/>
          <w:rFonts w:eastAsiaTheme="minorHAnsi"/>
          <w:sz w:val="18"/>
          <w:szCs w:val="18"/>
          <w:lang w:val="hr-HR"/>
        </w:rPr>
        <w:tab/>
      </w:r>
      <w:r w:rsidRPr="00826E16">
        <w:rPr>
          <w:rStyle w:val="Bodytext285pt"/>
          <w:rFonts w:eastAsiaTheme="minorHAnsi"/>
          <w:sz w:val="18"/>
          <w:szCs w:val="18"/>
          <w:lang w:val="hr-HR"/>
        </w:rPr>
        <w:tab/>
      </w:r>
      <w:r w:rsidRPr="00826E16">
        <w:rPr>
          <w:rStyle w:val="Bodytext285pt"/>
          <w:rFonts w:eastAsiaTheme="minorHAnsi"/>
          <w:sz w:val="18"/>
          <w:szCs w:val="18"/>
          <w:lang w:val="hr-HR"/>
        </w:rPr>
        <w:tab/>
      </w:r>
      <w:r w:rsidRPr="00826E16">
        <w:rPr>
          <w:rFonts w:ascii="Times New Roman" w:hAnsi="Times New Roman" w:cs="Times New Roman"/>
          <w:b/>
          <w:sz w:val="18"/>
          <w:szCs w:val="18"/>
        </w:rPr>
        <w:t>NADLE</w:t>
      </w:r>
      <w:r>
        <w:rPr>
          <w:rFonts w:ascii="Times New Roman" w:hAnsi="Times New Roman" w:cs="Times New Roman"/>
          <w:b/>
          <w:sz w:val="18"/>
          <w:szCs w:val="18"/>
        </w:rPr>
        <w:t>Ž</w:t>
      </w:r>
      <w:r w:rsidRPr="00826E16">
        <w:rPr>
          <w:rFonts w:ascii="Times New Roman" w:hAnsi="Times New Roman" w:cs="Times New Roman"/>
          <w:b/>
          <w:sz w:val="18"/>
          <w:szCs w:val="18"/>
        </w:rPr>
        <w:t xml:space="preserve">NO TIJELO: </w:t>
      </w:r>
      <w:r w:rsidRPr="00D63DF4">
        <w:rPr>
          <w:rFonts w:ascii="Times New Roman" w:hAnsi="Times New Roman" w:cs="Times New Roman"/>
          <w:sz w:val="18"/>
          <w:szCs w:val="18"/>
        </w:rPr>
        <w:t>Ministarstvo regionalnoga razvoja i fondova Europske unije</w:t>
      </w:r>
    </w:p>
    <w:p w:rsidR="00F647E2" w:rsidRPr="00826E16" w:rsidRDefault="00F647E2" w:rsidP="00F647E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PRIORITETNA OS: </w:t>
      </w:r>
      <w:r w:rsidRPr="008A3AFD">
        <w:rPr>
          <w:rFonts w:ascii="Times New Roman" w:hAnsi="Times New Roman" w:cs="Times New Roman"/>
          <w:sz w:val="18"/>
          <w:szCs w:val="18"/>
        </w:rPr>
        <w:t>Prioritetna os 8: Socijalno uključivanje i zdravlje</w:t>
      </w:r>
      <w:r w:rsidRPr="00826E16">
        <w:rPr>
          <w:rFonts w:ascii="Times New Roman" w:hAnsi="Times New Roman" w:cs="Times New Roman"/>
          <w:b/>
          <w:sz w:val="18"/>
          <w:szCs w:val="18"/>
        </w:rPr>
        <w:tab/>
      </w:r>
      <w:r w:rsidRPr="00826E16">
        <w:rPr>
          <w:rFonts w:ascii="Times New Roman" w:hAnsi="Times New Roman" w:cs="Times New Roman"/>
          <w:b/>
          <w:sz w:val="18"/>
          <w:szCs w:val="18"/>
        </w:rPr>
        <w:tab/>
      </w:r>
      <w:r w:rsidRPr="00826E16">
        <w:rPr>
          <w:rFonts w:ascii="Times New Roman" w:hAnsi="Times New Roman" w:cs="Times New Roman"/>
          <w:b/>
          <w:sz w:val="18"/>
          <w:szCs w:val="18"/>
        </w:rPr>
        <w:tab/>
      </w:r>
      <w:r w:rsidRPr="00826E16">
        <w:rPr>
          <w:rFonts w:ascii="Times New Roman" w:hAnsi="Times New Roman" w:cs="Times New Roman"/>
          <w:b/>
          <w:sz w:val="18"/>
          <w:szCs w:val="18"/>
        </w:rPr>
        <w:tab/>
        <w:t xml:space="preserve">ROK ZA PODNOŠENJE PP: </w:t>
      </w:r>
      <w:r w:rsidRPr="008A3AFD">
        <w:rPr>
          <w:rFonts w:ascii="Times New Roman" w:hAnsi="Times New Roman" w:cs="Times New Roman"/>
          <w:sz w:val="18"/>
          <w:szCs w:val="18"/>
        </w:rPr>
        <w:t>31. prosinca 2020. godine</w:t>
      </w:r>
    </w:p>
    <w:p w:rsidR="00F647E2" w:rsidRDefault="00F647E2" w:rsidP="00F647E2">
      <w:pPr>
        <w:spacing w:after="0" w:line="240" w:lineRule="auto"/>
        <w:ind w:left="7785" w:hanging="7785"/>
        <w:rPr>
          <w:rFonts w:ascii="Times New Roman" w:hAnsi="Times New Roman" w:cs="Times New Roman"/>
          <w:sz w:val="18"/>
          <w:szCs w:val="18"/>
        </w:rPr>
      </w:pPr>
      <w:r w:rsidRPr="00826E16">
        <w:rPr>
          <w:rFonts w:ascii="Times New Roman" w:hAnsi="Times New Roman" w:cs="Times New Roman"/>
          <w:b/>
          <w:sz w:val="18"/>
          <w:szCs w:val="18"/>
        </w:rPr>
        <w:t xml:space="preserve">SPECIFIČNI CILJ:  </w:t>
      </w:r>
      <w:r>
        <w:rPr>
          <w:rFonts w:ascii="Times New Roman" w:hAnsi="Times New Roman" w:cs="Times New Roman"/>
          <w:sz w:val="18"/>
          <w:szCs w:val="18"/>
        </w:rPr>
        <w:t>9a1</w:t>
      </w:r>
      <w:r w:rsidRPr="00D63DF4">
        <w:rPr>
          <w:rFonts w:ascii="Times New Roman" w:hAnsi="Times New Roman" w:cs="Times New Roman"/>
          <w:sz w:val="18"/>
          <w:szCs w:val="18"/>
        </w:rPr>
        <w:tab/>
      </w:r>
      <w:r>
        <w:rPr>
          <w:rFonts w:ascii="Times New Roman" w:hAnsi="Times New Roman" w:cs="Times New Roman"/>
          <w:sz w:val="18"/>
          <w:szCs w:val="18"/>
        </w:rPr>
        <w:tab/>
      </w:r>
      <w:r w:rsidRPr="00826E16">
        <w:rPr>
          <w:rFonts w:ascii="Times New Roman" w:hAnsi="Times New Roman" w:cs="Times New Roman"/>
          <w:b/>
          <w:sz w:val="18"/>
          <w:szCs w:val="18"/>
        </w:rPr>
        <w:t xml:space="preserve">ROK ZA ODGOVOR NA PITANJE (UzP): </w:t>
      </w:r>
      <w:r>
        <w:rPr>
          <w:rFonts w:ascii="Times New Roman" w:hAnsi="Times New Roman" w:cs="Times New Roman"/>
          <w:sz w:val="18"/>
          <w:szCs w:val="18"/>
        </w:rPr>
        <w:t>7 (sedam) radnih</w:t>
      </w:r>
      <w:r w:rsidRPr="007C3460">
        <w:rPr>
          <w:rFonts w:ascii="Times New Roman" w:hAnsi="Times New Roman" w:cs="Times New Roman"/>
          <w:sz w:val="18"/>
          <w:szCs w:val="18"/>
        </w:rPr>
        <w:t xml:space="preserve"> dana </w:t>
      </w:r>
    </w:p>
    <w:p w:rsidR="00F647E2" w:rsidRPr="003665E2" w:rsidRDefault="00F647E2" w:rsidP="00EE03E4">
      <w:pPr>
        <w:spacing w:after="0" w:line="240" w:lineRule="auto"/>
        <w:ind w:left="1418" w:right="6207" w:hanging="1418"/>
        <w:rPr>
          <w:rFonts w:ascii="Times New Roman" w:hAnsi="Times New Roman" w:cs="Times New Roman"/>
          <w:b/>
          <w:i/>
          <w:sz w:val="18"/>
          <w:szCs w:val="18"/>
        </w:rPr>
      </w:pPr>
      <w:r w:rsidRPr="00826E16">
        <w:rPr>
          <w:rFonts w:ascii="Times New Roman" w:hAnsi="Times New Roman" w:cs="Times New Roman"/>
          <w:b/>
          <w:sz w:val="18"/>
          <w:szCs w:val="18"/>
        </w:rPr>
        <w:t>NAZIV POZIVA:</w:t>
      </w:r>
      <w:r w:rsidRPr="00EE03E4">
        <w:rPr>
          <w:rFonts w:ascii="Times New Roman" w:hAnsi="Times New Roman" w:cs="Times New Roman"/>
          <w:sz w:val="18"/>
          <w:szCs w:val="18"/>
        </w:rPr>
        <w:t xml:space="preserve"> </w:t>
      </w:r>
      <w:r w:rsidR="00EE03E4" w:rsidRPr="00EE03E4">
        <w:rPr>
          <w:rFonts w:ascii="Times New Roman" w:hAnsi="Times New Roman" w:cs="Times New Roman"/>
          <w:sz w:val="18"/>
          <w:szCs w:val="18"/>
        </w:rPr>
        <w:t>Poboljšanje pristupa hitnoj zdravstvenoj zaštiti</w:t>
      </w:r>
      <w:r w:rsidR="00EE03E4" w:rsidRPr="00EE03E4">
        <w:rPr>
          <w:rFonts w:ascii="Times New Roman" w:hAnsi="Times New Roman" w:cs="Times New Roman"/>
          <w:b/>
          <w:sz w:val="18"/>
          <w:szCs w:val="18"/>
        </w:rPr>
        <w:tab/>
      </w:r>
      <w:r w:rsidR="00EE03E4">
        <w:rPr>
          <w:rFonts w:ascii="Times New Roman" w:hAnsi="Times New Roman" w:cs="Times New Roman"/>
          <w:b/>
          <w:sz w:val="18"/>
          <w:szCs w:val="18"/>
        </w:rPr>
        <w:tab/>
      </w:r>
      <w:r w:rsidR="00EE03E4">
        <w:rPr>
          <w:rFonts w:ascii="Times New Roman" w:hAnsi="Times New Roman" w:cs="Times New Roman"/>
          <w:b/>
          <w:sz w:val="18"/>
          <w:szCs w:val="18"/>
        </w:rPr>
        <w:tab/>
      </w:r>
      <w:r w:rsidR="00EE03E4">
        <w:rPr>
          <w:rFonts w:ascii="Times New Roman" w:hAnsi="Times New Roman" w:cs="Times New Roman"/>
          <w:b/>
          <w:sz w:val="18"/>
          <w:szCs w:val="18"/>
        </w:rPr>
        <w:tab/>
      </w:r>
      <w:r>
        <w:rPr>
          <w:rFonts w:ascii="Times New Roman" w:hAnsi="Times New Roman" w:cs="Times New Roman"/>
          <w:b/>
          <w:sz w:val="18"/>
          <w:szCs w:val="18"/>
        </w:rPr>
        <w:tab/>
      </w:r>
    </w:p>
    <w:p w:rsidR="00F647E2" w:rsidRDefault="00F647E2" w:rsidP="00F647E2">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 xml:space="preserve">REFERENTNI BROJ POZIVA: </w:t>
      </w:r>
      <w:r w:rsidR="00EE03E4">
        <w:rPr>
          <w:rFonts w:ascii="Times New Roman" w:hAnsi="Times New Roman" w:cs="Times New Roman"/>
          <w:sz w:val="18"/>
          <w:szCs w:val="18"/>
        </w:rPr>
        <w:t>08.1.1.03</w:t>
      </w:r>
    </w:p>
    <w:p w:rsidR="00F647E2" w:rsidRDefault="00F647E2" w:rsidP="00F647E2">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TIP NATJEČAJA:</w:t>
      </w:r>
      <w:r w:rsidRPr="00826E16">
        <w:rPr>
          <w:rFonts w:ascii="Times New Roman" w:hAnsi="Times New Roman" w:cs="Times New Roman"/>
          <w:sz w:val="18"/>
          <w:szCs w:val="18"/>
        </w:rPr>
        <w:t xml:space="preserve"> </w:t>
      </w:r>
      <w:r>
        <w:rPr>
          <w:rFonts w:ascii="Times New Roman" w:hAnsi="Times New Roman" w:cs="Times New Roman"/>
          <w:sz w:val="18"/>
          <w:szCs w:val="18"/>
        </w:rPr>
        <w:t>o</w:t>
      </w:r>
      <w:r w:rsidRPr="008A3AFD">
        <w:rPr>
          <w:rFonts w:ascii="Times New Roman" w:hAnsi="Times New Roman" w:cs="Times New Roman"/>
          <w:sz w:val="18"/>
          <w:szCs w:val="18"/>
        </w:rPr>
        <w:t>graničeni poziv na dostavu projektnih prijedloga (bespovratna sredstva)</w:t>
      </w:r>
    </w:p>
    <w:p w:rsidR="00F647E2" w:rsidRPr="00826E16" w:rsidRDefault="00F647E2" w:rsidP="00F647E2">
      <w:pPr>
        <w:spacing w:after="0" w:line="240" w:lineRule="auto"/>
        <w:rPr>
          <w:rFonts w:ascii="Times New Roman" w:hAnsi="Times New Roman" w:cs="Times New Roman"/>
          <w:color w:val="FF0000"/>
          <w:sz w:val="18"/>
          <w:szCs w:val="18"/>
        </w:rPr>
      </w:pPr>
      <w:r w:rsidRPr="00427410">
        <w:rPr>
          <w:rFonts w:ascii="Times New Roman" w:hAnsi="Times New Roman" w:cs="Times New Roman"/>
          <w:b/>
          <w:sz w:val="18"/>
          <w:szCs w:val="18"/>
        </w:rPr>
        <w:t>MODALITET:</w:t>
      </w:r>
      <w:r w:rsidRPr="00427410">
        <w:rPr>
          <w:rFonts w:ascii="Times New Roman" w:hAnsi="Times New Roman" w:cs="Times New Roman"/>
          <w:sz w:val="18"/>
          <w:szCs w:val="18"/>
        </w:rPr>
        <w:t xml:space="preserve"> </w:t>
      </w:r>
      <w:r>
        <w:rPr>
          <w:rFonts w:ascii="Times New Roman" w:hAnsi="Times New Roman" w:cs="Times New Roman"/>
          <w:sz w:val="18"/>
          <w:szCs w:val="18"/>
        </w:rPr>
        <w:t>t</w:t>
      </w:r>
      <w:r w:rsidRPr="00427410">
        <w:rPr>
          <w:rFonts w:ascii="Times New Roman" w:hAnsi="Times New Roman" w:cs="Times New Roman"/>
          <w:sz w:val="18"/>
          <w:szCs w:val="18"/>
        </w:rPr>
        <w:t>rajni</w:t>
      </w:r>
    </w:p>
    <w:p w:rsidR="00F647E2" w:rsidRPr="00826E16" w:rsidRDefault="00F647E2" w:rsidP="00F647E2">
      <w:pPr>
        <w:spacing w:after="0" w:line="240" w:lineRule="auto"/>
        <w:jc w:val="both"/>
        <w:rPr>
          <w:rFonts w:ascii="Times New Roman" w:eastAsia="Times New Roman" w:hAnsi="Times New Roman" w:cs="Times New Roman"/>
          <w:color w:val="000000" w:themeColor="text1"/>
          <w:sz w:val="18"/>
          <w:szCs w:val="18"/>
        </w:rPr>
      </w:pPr>
    </w:p>
    <w:p w:rsidR="00F647E2" w:rsidRPr="00826E16" w:rsidRDefault="00F647E2" w:rsidP="00F647E2">
      <w:pPr>
        <w:spacing w:after="0" w:line="240" w:lineRule="auto"/>
        <w:jc w:val="both"/>
        <w:rPr>
          <w:rFonts w:ascii="Times New Roman" w:eastAsia="Times New Roman" w:hAnsi="Times New Roman" w:cs="Times New Roman"/>
          <w:color w:val="000000" w:themeColor="text1"/>
          <w:sz w:val="18"/>
          <w:szCs w:val="18"/>
        </w:rPr>
      </w:pPr>
      <w:r w:rsidRPr="00826E16">
        <w:rPr>
          <w:rFonts w:ascii="Times New Roman" w:eastAsia="Times New Roman" w:hAnsi="Times New Roman" w:cs="Times New Roman"/>
          <w:color w:val="000000" w:themeColor="text1"/>
          <w:sz w:val="18"/>
          <w:szCs w:val="18"/>
        </w:rPr>
        <w:t>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navodi rok za objavu odgovora 7 kalendarskih dana (KD) od postavljenog pitanja iako ZNP predviđa duži rok u kojem se odgovara na postavljena pitanja), tada prioritet ima rok iz UzP-a.</w:t>
      </w:r>
    </w:p>
    <w:p w:rsidR="00F647E2" w:rsidRPr="00826E16" w:rsidRDefault="00F647E2" w:rsidP="00F647E2">
      <w:pPr>
        <w:widowControl w:val="0"/>
        <w:autoSpaceDE w:val="0"/>
        <w:autoSpaceDN w:val="0"/>
        <w:adjustRightInd w:val="0"/>
        <w:spacing w:after="0"/>
        <w:jc w:val="both"/>
        <w:rPr>
          <w:rFonts w:ascii="Times New Roman" w:eastAsia="Times New Roman" w:hAnsi="Times New Roman" w:cs="Times New Roman"/>
          <w:sz w:val="18"/>
          <w:szCs w:val="18"/>
        </w:rPr>
      </w:pPr>
    </w:p>
    <w:p w:rsidR="00F647E2" w:rsidRPr="00826E16" w:rsidRDefault="00F647E2" w:rsidP="00F647E2">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F647E2" w:rsidRPr="00EC7F45" w:rsidRDefault="00F647E2" w:rsidP="00F647E2">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826E16">
        <w:rPr>
          <w:rFonts w:ascii="Times New Roman" w:eastAsia="Times New Roman" w:hAnsi="Times New Roman" w:cs="Times New Roman"/>
          <w:sz w:val="18"/>
          <w:szCs w:val="18"/>
        </w:rPr>
        <w:t xml:space="preserve">može zamijeniti niti prejudicirati ishod pojedinih faza postupka dodjele kako su opisane u UzP-u. </w:t>
      </w:r>
      <w:r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826E16">
        <w:rPr>
          <w:rFonts w:ascii="Times New Roman" w:eastAsia="Times New Roman" w:hAnsi="Times New Roman" w:cs="Times New Roman"/>
          <w:sz w:val="18"/>
          <w:szCs w:val="18"/>
        </w:rPr>
        <w:t xml:space="preserve"> U slučaju takvih pitanja, odgovor nadležnog tijela će upućivati na relevantni dio dokumentacije PDP-</w:t>
      </w:r>
      <w:r w:rsidRPr="00826E16">
        <w:rPr>
          <w:rFonts w:ascii="Times New Roman" w:hAnsi="Times New Roman" w:cs="Times New Roman"/>
          <w:sz w:val="18"/>
          <w:szCs w:val="18"/>
        </w:rPr>
        <w:t xml:space="preserve">a. </w:t>
      </w:r>
      <w:r w:rsidRPr="00826E16">
        <w:rPr>
          <w:rFonts w:ascii="Times New Roman" w:eastAsia="Times New Roman" w:hAnsi="Times New Roman" w:cs="Times New Roman"/>
          <w:sz w:val="18"/>
          <w:szCs w:val="18"/>
        </w:rPr>
        <w:t xml:space="preserve"> </w:t>
      </w:r>
    </w:p>
    <w:p w:rsidR="00614A18" w:rsidRDefault="00614A18" w:rsidP="00FC265C">
      <w:pPr>
        <w:spacing w:after="0" w:line="240" w:lineRule="auto"/>
        <w:jc w:val="both"/>
        <w:rPr>
          <w:rStyle w:val="Bodytext285pt"/>
          <w:rFonts w:eastAsiaTheme="minorHAnsi"/>
          <w:i/>
          <w:sz w:val="22"/>
          <w:szCs w:val="22"/>
          <w:lang w:val="hr-HR"/>
        </w:rPr>
      </w:pPr>
    </w:p>
    <w:p w:rsidR="00112A25" w:rsidRDefault="00112A25" w:rsidP="00FC265C">
      <w:pPr>
        <w:spacing w:after="0" w:line="240" w:lineRule="auto"/>
        <w:jc w:val="both"/>
        <w:rPr>
          <w:rStyle w:val="Bodytext285pt"/>
          <w:rFonts w:eastAsiaTheme="minorHAnsi"/>
          <w:i/>
          <w:sz w:val="22"/>
          <w:szCs w:val="22"/>
          <w:lang w:val="hr-HR"/>
        </w:rPr>
      </w:pPr>
    </w:p>
    <w:p w:rsidR="008632BF" w:rsidRPr="00F1525B" w:rsidRDefault="008632BF" w:rsidP="00FC265C">
      <w:pPr>
        <w:spacing w:after="0" w:line="240" w:lineRule="auto"/>
        <w:jc w:val="both"/>
        <w:rPr>
          <w:rFonts w:ascii="Times New Roman" w:hAnsi="Times New Roman" w:cs="Times New Roman"/>
          <w:sz w:val="24"/>
          <w:szCs w:val="24"/>
        </w:rPr>
      </w:pPr>
    </w:p>
    <w:tbl>
      <w:tblPr>
        <w:tblStyle w:val="TableGrid"/>
        <w:tblW w:w="13892" w:type="dxa"/>
        <w:tblLayout w:type="fixed"/>
        <w:tblLook w:val="04A0" w:firstRow="1" w:lastRow="0" w:firstColumn="1" w:lastColumn="0" w:noHBand="0" w:noVBand="1"/>
      </w:tblPr>
      <w:tblGrid>
        <w:gridCol w:w="851"/>
        <w:gridCol w:w="6092"/>
        <w:gridCol w:w="6949"/>
      </w:tblGrid>
      <w:tr w:rsidR="00EE03E4" w:rsidRPr="008A3AFD" w:rsidTr="00192D6D">
        <w:trPr>
          <w:trHeight w:val="433"/>
        </w:trPr>
        <w:tc>
          <w:tcPr>
            <w:tcW w:w="851" w:type="dxa"/>
            <w:shd w:val="clear" w:color="auto" w:fill="538135" w:themeFill="accent6" w:themeFillShade="BF"/>
          </w:tcPr>
          <w:p w:rsidR="00EE03E4" w:rsidRPr="008632BF" w:rsidRDefault="00EE03E4" w:rsidP="00316652">
            <w:pPr>
              <w:jc w:val="center"/>
              <w:rPr>
                <w:b/>
                <w:sz w:val="22"/>
                <w:szCs w:val="22"/>
                <w:lang w:val="hr-HR"/>
              </w:rPr>
            </w:pPr>
            <w:bookmarkStart w:id="0" w:name="_Hlk503430035"/>
            <w:r w:rsidRPr="008632BF">
              <w:rPr>
                <w:b/>
                <w:color w:val="FFFFFF" w:themeColor="background1"/>
                <w:sz w:val="22"/>
                <w:szCs w:val="22"/>
                <w:lang w:val="hr-HR"/>
              </w:rPr>
              <w:t>RB</w:t>
            </w:r>
          </w:p>
        </w:tc>
        <w:tc>
          <w:tcPr>
            <w:tcW w:w="6092" w:type="dxa"/>
            <w:shd w:val="clear" w:color="auto" w:fill="538135" w:themeFill="accent6" w:themeFillShade="BF"/>
          </w:tcPr>
          <w:p w:rsidR="00EE03E4" w:rsidRPr="008632BF" w:rsidRDefault="00EE03E4" w:rsidP="00316652">
            <w:pPr>
              <w:rPr>
                <w:b/>
                <w:color w:val="FFFFFF" w:themeColor="background1"/>
                <w:sz w:val="22"/>
                <w:szCs w:val="22"/>
                <w:lang w:val="hr-HR"/>
              </w:rPr>
            </w:pPr>
            <w:r w:rsidRPr="008632BF">
              <w:rPr>
                <w:b/>
                <w:color w:val="FFFFFF" w:themeColor="background1"/>
                <w:sz w:val="22"/>
                <w:szCs w:val="22"/>
                <w:lang w:val="hr-HR"/>
              </w:rPr>
              <w:t>DATUM ZAPRIMANJA PITANJA: 19. srpnja 2016.</w:t>
            </w:r>
          </w:p>
        </w:tc>
        <w:tc>
          <w:tcPr>
            <w:tcW w:w="6949" w:type="dxa"/>
            <w:shd w:val="clear" w:color="auto" w:fill="538135" w:themeFill="accent6" w:themeFillShade="BF"/>
          </w:tcPr>
          <w:p w:rsidR="00EE03E4" w:rsidRPr="008A3AFD" w:rsidRDefault="00EE03E4" w:rsidP="00316652">
            <w:pPr>
              <w:rPr>
                <w:b/>
                <w:sz w:val="22"/>
                <w:szCs w:val="22"/>
                <w:lang w:val="hr-HR"/>
              </w:rPr>
            </w:pPr>
            <w:r w:rsidRPr="008A3AFD">
              <w:rPr>
                <w:b/>
                <w:color w:val="FFFFFF" w:themeColor="background1"/>
                <w:sz w:val="22"/>
                <w:szCs w:val="22"/>
                <w:lang w:val="hr-HR"/>
              </w:rPr>
              <w:t xml:space="preserve">DATUM ODGOVORA NA PITANJE: </w:t>
            </w:r>
          </w:p>
        </w:tc>
      </w:tr>
      <w:bookmarkEnd w:id="0"/>
      <w:tr w:rsidR="00501448" w:rsidRPr="00F1525B" w:rsidTr="00192D6D">
        <w:tblPrEx>
          <w:jc w:val="center"/>
        </w:tblPrEx>
        <w:trPr>
          <w:trHeight w:val="2155"/>
          <w:jc w:val="center"/>
        </w:trPr>
        <w:tc>
          <w:tcPr>
            <w:tcW w:w="851" w:type="dxa"/>
            <w:vAlign w:val="center"/>
          </w:tcPr>
          <w:p w:rsidR="00501448" w:rsidRPr="008632BF" w:rsidRDefault="00501448" w:rsidP="00501448">
            <w:pPr>
              <w:jc w:val="center"/>
              <w:rPr>
                <w:b/>
                <w:sz w:val="22"/>
                <w:szCs w:val="22"/>
              </w:rPr>
            </w:pPr>
            <w:r w:rsidRPr="008632BF">
              <w:rPr>
                <w:b/>
                <w:sz w:val="22"/>
                <w:szCs w:val="22"/>
              </w:rPr>
              <w:t>1.</w:t>
            </w:r>
          </w:p>
        </w:tc>
        <w:tc>
          <w:tcPr>
            <w:tcW w:w="6092" w:type="dxa"/>
          </w:tcPr>
          <w:p w:rsidR="00501448" w:rsidRPr="008632BF" w:rsidRDefault="00501448" w:rsidP="00F1525B">
            <w:pPr>
              <w:jc w:val="both"/>
              <w:rPr>
                <w:sz w:val="22"/>
                <w:szCs w:val="22"/>
                <w:lang w:val="hr-HR"/>
              </w:rPr>
            </w:pPr>
            <w:r w:rsidRPr="008632BF">
              <w:rPr>
                <w:sz w:val="22"/>
                <w:szCs w:val="22"/>
                <w:lang w:val="hr-HR"/>
              </w:rPr>
              <w:t>Za navedeni poziv nije jasno naznačena dokumentacija.</w:t>
            </w:r>
          </w:p>
          <w:p w:rsidR="00501448" w:rsidRPr="008632BF" w:rsidRDefault="00501448" w:rsidP="00F1525B">
            <w:pPr>
              <w:jc w:val="both"/>
              <w:rPr>
                <w:sz w:val="22"/>
                <w:szCs w:val="22"/>
                <w:lang w:val="hr-HR"/>
              </w:rPr>
            </w:pPr>
            <w:r w:rsidRPr="008632BF">
              <w:rPr>
                <w:sz w:val="22"/>
                <w:szCs w:val="22"/>
                <w:lang w:val="hr-HR"/>
              </w:rPr>
              <w:t>Zanima me dali je ili će se za sve ograničene pozive na dostavu projektnih prijedloga dokumentacija direktno prosljeđivati unaprijed definiranim prihvatljivim  prijaviteljima?</w:t>
            </w:r>
          </w:p>
          <w:p w:rsidR="00501448" w:rsidRPr="008632BF" w:rsidRDefault="00501448" w:rsidP="00192D6D">
            <w:pPr>
              <w:jc w:val="both"/>
              <w:rPr>
                <w:sz w:val="22"/>
                <w:szCs w:val="22"/>
                <w:lang w:val="hr-HR"/>
              </w:rPr>
            </w:pPr>
            <w:r w:rsidRPr="008632BF">
              <w:rPr>
                <w:sz w:val="22"/>
                <w:szCs w:val="22"/>
                <w:lang w:val="hr-HR"/>
              </w:rPr>
              <w:t>Na koji način drugi način se može doći do navedene dokumentacije ukoliko je ona definirana?</w:t>
            </w:r>
          </w:p>
        </w:tc>
        <w:tc>
          <w:tcPr>
            <w:tcW w:w="6949" w:type="dxa"/>
          </w:tcPr>
          <w:p w:rsidR="00501448" w:rsidRPr="008632BF" w:rsidRDefault="00501448" w:rsidP="00F1525B">
            <w:pPr>
              <w:jc w:val="both"/>
              <w:rPr>
                <w:sz w:val="22"/>
                <w:szCs w:val="22"/>
                <w:lang w:val="hr-HR" w:eastAsia="lt-LT"/>
              </w:rPr>
            </w:pPr>
            <w:r w:rsidRPr="008632BF">
              <w:rPr>
                <w:sz w:val="22"/>
                <w:szCs w:val="22"/>
                <w:lang w:val="hr-HR" w:eastAsia="lt-LT"/>
              </w:rPr>
              <w:t>Ograničeni postupak je vrsta postupka dodjele bespovratnih sredstava koji se pokreće izravnim slanjem Poziva na dostavu projektnih prijedloga unaprijed određenim prijaviteljima.</w:t>
            </w:r>
          </w:p>
          <w:p w:rsidR="00501448" w:rsidRPr="008632BF" w:rsidRDefault="00501448" w:rsidP="00F1525B">
            <w:pPr>
              <w:pStyle w:val="ListBullet"/>
              <w:spacing w:before="0" w:after="160"/>
              <w:ind w:left="0" w:firstLine="0"/>
              <w:rPr>
                <w:rFonts w:ascii="Times New Roman" w:hAnsi="Times New Roman"/>
                <w:sz w:val="22"/>
                <w:szCs w:val="22"/>
                <w:lang w:val="hr-HR" w:eastAsia="lt-LT"/>
              </w:rPr>
            </w:pPr>
            <w:r w:rsidRPr="008632BF">
              <w:rPr>
                <w:rFonts w:ascii="Times New Roman" w:hAnsi="Times New Roman"/>
                <w:sz w:val="22"/>
                <w:szCs w:val="22"/>
                <w:lang w:val="hr-HR" w:eastAsia="lt-LT"/>
              </w:rPr>
              <w:t xml:space="preserve">Cjelokupna natječajna dokumentacija ovog Poziva je dostavljena prihvatljivim prijaviteljima te ste slobodni </w:t>
            </w:r>
            <w:r w:rsidRPr="008632BF">
              <w:rPr>
                <w:rFonts w:ascii="Times New Roman" w:hAnsi="Times New Roman"/>
                <w:sz w:val="22"/>
                <w:szCs w:val="22"/>
                <w:lang w:val="hr-HR"/>
              </w:rPr>
              <w:t>zatražiti natječajnu dokumentaciju od samih prijavitelja.</w:t>
            </w:r>
          </w:p>
        </w:tc>
      </w:tr>
      <w:tr w:rsidR="00EE03E4" w:rsidRPr="008A3AFD" w:rsidTr="00192D6D">
        <w:trPr>
          <w:trHeight w:val="433"/>
        </w:trPr>
        <w:tc>
          <w:tcPr>
            <w:tcW w:w="851" w:type="dxa"/>
            <w:shd w:val="clear" w:color="auto" w:fill="538135" w:themeFill="accent6" w:themeFillShade="BF"/>
          </w:tcPr>
          <w:p w:rsidR="00EE03E4" w:rsidRPr="008632BF" w:rsidRDefault="00EE03E4" w:rsidP="00316652">
            <w:pPr>
              <w:jc w:val="center"/>
              <w:rPr>
                <w:b/>
                <w:sz w:val="22"/>
                <w:szCs w:val="22"/>
                <w:lang w:val="hr-HR"/>
              </w:rPr>
            </w:pPr>
            <w:bookmarkStart w:id="1" w:name="_Hlk503430670"/>
            <w:r w:rsidRPr="008632BF">
              <w:rPr>
                <w:b/>
                <w:color w:val="FFFFFF" w:themeColor="background1"/>
                <w:sz w:val="22"/>
                <w:szCs w:val="22"/>
                <w:lang w:val="hr-HR"/>
              </w:rPr>
              <w:lastRenderedPageBreak/>
              <w:t>RB</w:t>
            </w:r>
          </w:p>
        </w:tc>
        <w:tc>
          <w:tcPr>
            <w:tcW w:w="6092" w:type="dxa"/>
            <w:shd w:val="clear" w:color="auto" w:fill="538135" w:themeFill="accent6" w:themeFillShade="BF"/>
          </w:tcPr>
          <w:p w:rsidR="00EE03E4" w:rsidRPr="008632BF" w:rsidRDefault="00EE03E4" w:rsidP="00316652">
            <w:pPr>
              <w:rPr>
                <w:b/>
                <w:color w:val="FFFFFF" w:themeColor="background1"/>
                <w:sz w:val="22"/>
                <w:szCs w:val="22"/>
                <w:lang w:val="hr-HR"/>
              </w:rPr>
            </w:pPr>
            <w:r w:rsidRPr="008632BF">
              <w:rPr>
                <w:b/>
                <w:color w:val="FFFFFF" w:themeColor="background1"/>
                <w:sz w:val="22"/>
                <w:szCs w:val="22"/>
                <w:lang w:val="hr-HR"/>
              </w:rPr>
              <w:t>DATUM ZAPRIMANJA PITANJA: 21. srpnja 2016.</w:t>
            </w:r>
          </w:p>
        </w:tc>
        <w:tc>
          <w:tcPr>
            <w:tcW w:w="6949" w:type="dxa"/>
            <w:shd w:val="clear" w:color="auto" w:fill="538135" w:themeFill="accent6" w:themeFillShade="BF"/>
          </w:tcPr>
          <w:p w:rsidR="00EE03E4" w:rsidRPr="008632BF" w:rsidRDefault="00EE03E4" w:rsidP="00316652">
            <w:pPr>
              <w:rPr>
                <w:b/>
                <w:sz w:val="22"/>
                <w:szCs w:val="22"/>
                <w:lang w:val="hr-HR"/>
              </w:rPr>
            </w:pPr>
            <w:r w:rsidRPr="008632BF">
              <w:rPr>
                <w:b/>
                <w:color w:val="FFFFFF" w:themeColor="background1"/>
                <w:sz w:val="22"/>
                <w:szCs w:val="22"/>
                <w:lang w:val="hr-HR"/>
              </w:rPr>
              <w:t xml:space="preserve">DATUM ODGOVORA NA PITANJE: </w:t>
            </w:r>
          </w:p>
        </w:tc>
      </w:tr>
      <w:bookmarkEnd w:id="1"/>
      <w:tr w:rsidR="00501448" w:rsidRPr="00F1525B" w:rsidTr="00192D6D">
        <w:tblPrEx>
          <w:jc w:val="center"/>
        </w:tblPrEx>
        <w:trPr>
          <w:trHeight w:val="1809"/>
          <w:jc w:val="center"/>
        </w:trPr>
        <w:tc>
          <w:tcPr>
            <w:tcW w:w="851" w:type="dxa"/>
            <w:vAlign w:val="center"/>
          </w:tcPr>
          <w:p w:rsidR="00501448" w:rsidRPr="008632BF" w:rsidRDefault="00501448" w:rsidP="00501448">
            <w:pPr>
              <w:jc w:val="center"/>
              <w:rPr>
                <w:b/>
                <w:sz w:val="22"/>
                <w:szCs w:val="22"/>
              </w:rPr>
            </w:pPr>
            <w:r w:rsidRPr="008632BF">
              <w:rPr>
                <w:b/>
                <w:sz w:val="22"/>
                <w:szCs w:val="22"/>
              </w:rPr>
              <w:t>2.</w:t>
            </w:r>
          </w:p>
        </w:tc>
        <w:tc>
          <w:tcPr>
            <w:tcW w:w="6092" w:type="dxa"/>
          </w:tcPr>
          <w:p w:rsidR="00501448" w:rsidRPr="008632BF" w:rsidRDefault="00501448" w:rsidP="00F1525B">
            <w:pPr>
              <w:jc w:val="both"/>
              <w:rPr>
                <w:sz w:val="22"/>
                <w:szCs w:val="22"/>
                <w:lang w:val="hr-HR"/>
              </w:rPr>
            </w:pPr>
            <w:r w:rsidRPr="008632BF">
              <w:rPr>
                <w:sz w:val="22"/>
                <w:szCs w:val="22"/>
                <w:lang w:val="hr-HR"/>
              </w:rPr>
              <w:t>Nastavno na komunikaciju sa konzultantskim kućama, molim Vas informaciju da li trebamo razgraničiti pružatelja usluge za pripremu i provedbu projekta prilikom provođenja postupka javne nabave.</w:t>
            </w:r>
          </w:p>
        </w:tc>
        <w:tc>
          <w:tcPr>
            <w:tcW w:w="6949" w:type="dxa"/>
          </w:tcPr>
          <w:p w:rsidR="00501448" w:rsidRPr="008632BF" w:rsidRDefault="00501448" w:rsidP="00F1525B">
            <w:pPr>
              <w:jc w:val="both"/>
              <w:rPr>
                <w:sz w:val="22"/>
                <w:szCs w:val="22"/>
                <w:lang w:val="hr-HR"/>
              </w:rPr>
            </w:pPr>
            <w:r w:rsidRPr="008632BF">
              <w:rPr>
                <w:sz w:val="22"/>
                <w:szCs w:val="22"/>
                <w:lang w:val="hr-HR"/>
              </w:rPr>
              <w:t>Upravljačko tijelo ne može davati prethodno mišljenje vezano uz provođenje postupka javne nabave.</w:t>
            </w:r>
          </w:p>
          <w:p w:rsidR="00501448" w:rsidRPr="008632BF" w:rsidRDefault="00501448" w:rsidP="00F1525B">
            <w:pPr>
              <w:jc w:val="both"/>
              <w:rPr>
                <w:sz w:val="22"/>
                <w:szCs w:val="22"/>
                <w:lang w:val="hr-HR"/>
              </w:rPr>
            </w:pPr>
          </w:p>
          <w:p w:rsidR="00501448" w:rsidRPr="008632BF" w:rsidRDefault="00501448" w:rsidP="00F1525B">
            <w:pPr>
              <w:jc w:val="both"/>
              <w:rPr>
                <w:sz w:val="22"/>
                <w:szCs w:val="22"/>
                <w:lang w:val="hr-HR"/>
              </w:rPr>
            </w:pPr>
            <w:r w:rsidRPr="008632BF">
              <w:rPr>
                <w:sz w:val="22"/>
                <w:szCs w:val="22"/>
                <w:lang w:val="hr-HR"/>
              </w:rPr>
              <w:t xml:space="preserve">Skrećemo pažnju na obvezu poštivanja pravila javne nabave u slučaju angažiranja vanjskih stručnjaka. Za više informacija, obratite pozornost na točku 6.2. Uputa za prijavitelje.  </w:t>
            </w:r>
          </w:p>
        </w:tc>
      </w:tr>
      <w:tr w:rsidR="00192D6D" w:rsidRPr="008A3AFD" w:rsidTr="00192D6D">
        <w:trPr>
          <w:trHeight w:val="433"/>
        </w:trPr>
        <w:tc>
          <w:tcPr>
            <w:tcW w:w="851" w:type="dxa"/>
            <w:shd w:val="clear" w:color="auto" w:fill="538135" w:themeFill="accent6" w:themeFillShade="BF"/>
          </w:tcPr>
          <w:p w:rsidR="00192D6D" w:rsidRPr="008632BF" w:rsidRDefault="00192D6D" w:rsidP="00316652">
            <w:pPr>
              <w:jc w:val="center"/>
              <w:rPr>
                <w:b/>
                <w:sz w:val="22"/>
                <w:szCs w:val="22"/>
                <w:lang w:val="hr-HR"/>
              </w:rPr>
            </w:pPr>
            <w:bookmarkStart w:id="2" w:name="_Hlk503430721"/>
            <w:r w:rsidRPr="008632BF">
              <w:rPr>
                <w:b/>
                <w:color w:val="FFFFFF" w:themeColor="background1"/>
                <w:sz w:val="22"/>
                <w:szCs w:val="22"/>
                <w:lang w:val="hr-HR"/>
              </w:rPr>
              <w:t>RB</w:t>
            </w:r>
          </w:p>
        </w:tc>
        <w:tc>
          <w:tcPr>
            <w:tcW w:w="6092" w:type="dxa"/>
            <w:shd w:val="clear" w:color="auto" w:fill="538135" w:themeFill="accent6" w:themeFillShade="BF"/>
          </w:tcPr>
          <w:p w:rsidR="00192D6D" w:rsidRPr="008632BF" w:rsidRDefault="00192D6D" w:rsidP="00316652">
            <w:pPr>
              <w:rPr>
                <w:b/>
                <w:color w:val="FFFFFF" w:themeColor="background1"/>
                <w:sz w:val="22"/>
                <w:szCs w:val="22"/>
                <w:lang w:val="hr-HR"/>
              </w:rPr>
            </w:pPr>
            <w:r w:rsidRPr="008632BF">
              <w:rPr>
                <w:b/>
                <w:color w:val="FFFFFF" w:themeColor="background1"/>
                <w:sz w:val="22"/>
                <w:szCs w:val="22"/>
                <w:lang w:val="hr-HR"/>
              </w:rPr>
              <w:t>DATUM ZAPRIMANJA PITANJA: 1. kolovoza 2016.</w:t>
            </w:r>
          </w:p>
        </w:tc>
        <w:tc>
          <w:tcPr>
            <w:tcW w:w="6949" w:type="dxa"/>
            <w:shd w:val="clear" w:color="auto" w:fill="538135" w:themeFill="accent6" w:themeFillShade="BF"/>
          </w:tcPr>
          <w:p w:rsidR="00192D6D" w:rsidRPr="008632BF" w:rsidRDefault="00192D6D" w:rsidP="00316652">
            <w:pPr>
              <w:rPr>
                <w:b/>
                <w:sz w:val="22"/>
                <w:szCs w:val="22"/>
                <w:lang w:val="hr-HR"/>
              </w:rPr>
            </w:pPr>
            <w:r w:rsidRPr="008632BF">
              <w:rPr>
                <w:b/>
                <w:color w:val="FFFFFF" w:themeColor="background1"/>
                <w:sz w:val="22"/>
                <w:szCs w:val="22"/>
                <w:lang w:val="hr-HR"/>
              </w:rPr>
              <w:t xml:space="preserve">DATUM ODGOVORA NA PITANJE: </w:t>
            </w:r>
          </w:p>
        </w:tc>
      </w:tr>
      <w:bookmarkEnd w:id="2"/>
      <w:tr w:rsidR="00501448" w:rsidRPr="00F1525B" w:rsidTr="00192D6D">
        <w:tblPrEx>
          <w:jc w:val="center"/>
        </w:tblPrEx>
        <w:trPr>
          <w:jc w:val="center"/>
        </w:trPr>
        <w:tc>
          <w:tcPr>
            <w:tcW w:w="851" w:type="dxa"/>
            <w:vAlign w:val="center"/>
          </w:tcPr>
          <w:p w:rsidR="00501448" w:rsidRPr="008632BF" w:rsidRDefault="00501448" w:rsidP="00501448">
            <w:pPr>
              <w:jc w:val="center"/>
              <w:rPr>
                <w:b/>
                <w:sz w:val="22"/>
                <w:szCs w:val="22"/>
              </w:rPr>
            </w:pPr>
            <w:r w:rsidRPr="008632BF">
              <w:rPr>
                <w:b/>
                <w:sz w:val="22"/>
                <w:szCs w:val="22"/>
              </w:rPr>
              <w:t>3.</w:t>
            </w:r>
          </w:p>
        </w:tc>
        <w:tc>
          <w:tcPr>
            <w:tcW w:w="6092" w:type="dxa"/>
          </w:tcPr>
          <w:p w:rsidR="00501448" w:rsidRPr="008632BF" w:rsidRDefault="00501448" w:rsidP="00A25A4B">
            <w:pPr>
              <w:jc w:val="both"/>
              <w:rPr>
                <w:sz w:val="22"/>
                <w:szCs w:val="22"/>
                <w:lang w:val="hr-HR"/>
              </w:rPr>
            </w:pPr>
            <w:r w:rsidRPr="008632BF">
              <w:rPr>
                <w:sz w:val="22"/>
                <w:szCs w:val="22"/>
                <w:lang w:val="hr-HR"/>
              </w:rPr>
              <w:t>Da li je razvojna agencija u vlasništvu regionalne samouprave prihvatljiva za izradu Studije izvodljivosti, vođenja projekta?</w:t>
            </w:r>
          </w:p>
        </w:tc>
        <w:tc>
          <w:tcPr>
            <w:tcW w:w="6949" w:type="dxa"/>
          </w:tcPr>
          <w:p w:rsidR="00501448" w:rsidRPr="008632BF" w:rsidRDefault="00501448" w:rsidP="00A25A4B">
            <w:pPr>
              <w:jc w:val="both"/>
              <w:rPr>
                <w:sz w:val="22"/>
                <w:szCs w:val="22"/>
                <w:lang w:val="hr-HR"/>
              </w:rPr>
            </w:pPr>
            <w:r w:rsidRPr="008632BF">
              <w:rPr>
                <w:sz w:val="22"/>
                <w:szCs w:val="22"/>
                <w:lang w:val="hr-HR"/>
              </w:rPr>
              <w:t>Prilikom podugovaranja vanjskih stručnjaka potrebno je pridržavati se postupaka javne nabave koji su regulirani Zakonom o javnoj nabavi (NN 90/11, 83/13, 143/13, 13/14).</w:t>
            </w:r>
            <w:r w:rsidRPr="008632BF">
              <w:rPr>
                <w:sz w:val="22"/>
                <w:szCs w:val="22"/>
              </w:rPr>
              <w:t xml:space="preserve"> </w:t>
            </w:r>
          </w:p>
        </w:tc>
      </w:tr>
      <w:tr w:rsidR="00501448" w:rsidRPr="00F1525B" w:rsidTr="00192D6D">
        <w:tblPrEx>
          <w:jc w:val="center"/>
        </w:tblPrEx>
        <w:trPr>
          <w:jc w:val="center"/>
        </w:trPr>
        <w:tc>
          <w:tcPr>
            <w:tcW w:w="851" w:type="dxa"/>
            <w:vAlign w:val="center"/>
          </w:tcPr>
          <w:p w:rsidR="00501448" w:rsidRPr="008632BF" w:rsidRDefault="00501448" w:rsidP="00501448">
            <w:pPr>
              <w:jc w:val="center"/>
              <w:rPr>
                <w:b/>
                <w:sz w:val="22"/>
                <w:szCs w:val="22"/>
              </w:rPr>
            </w:pPr>
            <w:r w:rsidRPr="008632BF">
              <w:rPr>
                <w:b/>
                <w:sz w:val="22"/>
                <w:szCs w:val="22"/>
              </w:rPr>
              <w:t>4.</w:t>
            </w:r>
          </w:p>
        </w:tc>
        <w:tc>
          <w:tcPr>
            <w:tcW w:w="6092" w:type="dxa"/>
          </w:tcPr>
          <w:p w:rsidR="00501448" w:rsidRPr="008632BF" w:rsidRDefault="00501448" w:rsidP="00A25A4B">
            <w:pPr>
              <w:jc w:val="both"/>
              <w:rPr>
                <w:sz w:val="22"/>
                <w:szCs w:val="22"/>
                <w:lang w:val="hr-HR"/>
              </w:rPr>
            </w:pPr>
            <w:r w:rsidRPr="008632BF">
              <w:rPr>
                <w:sz w:val="22"/>
                <w:szCs w:val="22"/>
                <w:lang w:val="hr-HR"/>
              </w:rPr>
              <w:t>Koji je preporučeni sadržaj Studije izvodljivosti?</w:t>
            </w:r>
          </w:p>
          <w:p w:rsidR="00192D6D" w:rsidRPr="008632BF" w:rsidRDefault="00192D6D" w:rsidP="00A25A4B">
            <w:pPr>
              <w:jc w:val="both"/>
              <w:rPr>
                <w:sz w:val="22"/>
                <w:szCs w:val="22"/>
                <w:lang w:val="hr-HR"/>
              </w:rPr>
            </w:pPr>
          </w:p>
        </w:tc>
        <w:tc>
          <w:tcPr>
            <w:tcW w:w="6949" w:type="dxa"/>
          </w:tcPr>
          <w:p w:rsidR="00501448" w:rsidRPr="008632BF" w:rsidRDefault="00501448" w:rsidP="00A25A4B">
            <w:pPr>
              <w:jc w:val="both"/>
              <w:rPr>
                <w:sz w:val="22"/>
                <w:szCs w:val="22"/>
                <w:lang w:val="hr-HR"/>
              </w:rPr>
            </w:pPr>
            <w:r w:rsidRPr="008632BF">
              <w:rPr>
                <w:sz w:val="22"/>
                <w:szCs w:val="22"/>
                <w:lang w:val="hr-HR"/>
              </w:rPr>
              <w:t>Vidjeti odgovor na pitanje 10.</w:t>
            </w:r>
          </w:p>
        </w:tc>
      </w:tr>
      <w:tr w:rsidR="00192D6D" w:rsidRPr="008A3AFD" w:rsidTr="00316652">
        <w:trPr>
          <w:trHeight w:val="433"/>
        </w:trPr>
        <w:tc>
          <w:tcPr>
            <w:tcW w:w="851" w:type="dxa"/>
            <w:shd w:val="clear" w:color="auto" w:fill="538135" w:themeFill="accent6" w:themeFillShade="BF"/>
          </w:tcPr>
          <w:p w:rsidR="00192D6D" w:rsidRPr="008632BF" w:rsidRDefault="00192D6D" w:rsidP="00316652">
            <w:pPr>
              <w:jc w:val="center"/>
              <w:rPr>
                <w:b/>
                <w:sz w:val="22"/>
                <w:szCs w:val="22"/>
                <w:lang w:val="hr-HR"/>
              </w:rPr>
            </w:pPr>
            <w:r w:rsidRPr="008632BF">
              <w:rPr>
                <w:b/>
                <w:color w:val="FFFFFF" w:themeColor="background1"/>
                <w:sz w:val="22"/>
                <w:szCs w:val="22"/>
                <w:lang w:val="hr-HR"/>
              </w:rPr>
              <w:t>RB</w:t>
            </w:r>
          </w:p>
        </w:tc>
        <w:tc>
          <w:tcPr>
            <w:tcW w:w="6092" w:type="dxa"/>
            <w:shd w:val="clear" w:color="auto" w:fill="538135" w:themeFill="accent6" w:themeFillShade="BF"/>
          </w:tcPr>
          <w:p w:rsidR="00192D6D" w:rsidRPr="008632BF" w:rsidRDefault="00192D6D" w:rsidP="00316652">
            <w:pPr>
              <w:rPr>
                <w:b/>
                <w:color w:val="FFFFFF" w:themeColor="background1"/>
                <w:sz w:val="22"/>
                <w:szCs w:val="22"/>
                <w:lang w:val="hr-HR"/>
              </w:rPr>
            </w:pPr>
            <w:r w:rsidRPr="008632BF">
              <w:rPr>
                <w:b/>
                <w:color w:val="FFFFFF" w:themeColor="background1"/>
                <w:sz w:val="22"/>
                <w:szCs w:val="22"/>
                <w:lang w:val="hr-HR"/>
              </w:rPr>
              <w:t>DATUM ZAPRIMANJA PITANJA: 4. kolovoza 2016.</w:t>
            </w:r>
          </w:p>
        </w:tc>
        <w:tc>
          <w:tcPr>
            <w:tcW w:w="6949" w:type="dxa"/>
            <w:shd w:val="clear" w:color="auto" w:fill="538135" w:themeFill="accent6" w:themeFillShade="BF"/>
          </w:tcPr>
          <w:p w:rsidR="00192D6D" w:rsidRPr="008632BF" w:rsidRDefault="00192D6D" w:rsidP="00316652">
            <w:pPr>
              <w:rPr>
                <w:b/>
                <w:sz w:val="22"/>
                <w:szCs w:val="22"/>
                <w:lang w:val="hr-HR"/>
              </w:rPr>
            </w:pPr>
            <w:r w:rsidRPr="008632BF">
              <w:rPr>
                <w:b/>
                <w:color w:val="FFFFFF" w:themeColor="background1"/>
                <w:sz w:val="22"/>
                <w:szCs w:val="22"/>
                <w:lang w:val="hr-HR"/>
              </w:rPr>
              <w:t xml:space="preserve">DATUM ODGOVORA NA PITANJE: </w:t>
            </w:r>
          </w:p>
        </w:tc>
      </w:tr>
      <w:tr w:rsidR="00501448" w:rsidRPr="00F1525B" w:rsidTr="00192D6D">
        <w:tblPrEx>
          <w:jc w:val="center"/>
        </w:tblPrEx>
        <w:trPr>
          <w:jc w:val="center"/>
        </w:trPr>
        <w:tc>
          <w:tcPr>
            <w:tcW w:w="851" w:type="dxa"/>
            <w:vAlign w:val="center"/>
          </w:tcPr>
          <w:p w:rsidR="00501448" w:rsidRPr="008632BF" w:rsidRDefault="00501448" w:rsidP="00453C79">
            <w:pPr>
              <w:jc w:val="center"/>
              <w:rPr>
                <w:b/>
                <w:sz w:val="22"/>
                <w:szCs w:val="22"/>
              </w:rPr>
            </w:pPr>
            <w:r w:rsidRPr="008632BF">
              <w:rPr>
                <w:b/>
                <w:sz w:val="22"/>
                <w:szCs w:val="22"/>
              </w:rPr>
              <w:t>5.</w:t>
            </w:r>
          </w:p>
        </w:tc>
        <w:tc>
          <w:tcPr>
            <w:tcW w:w="6092" w:type="dxa"/>
          </w:tcPr>
          <w:p w:rsidR="00501448" w:rsidRPr="008632BF" w:rsidRDefault="00501448" w:rsidP="00A25A4B">
            <w:pPr>
              <w:jc w:val="both"/>
              <w:rPr>
                <w:sz w:val="22"/>
                <w:szCs w:val="22"/>
                <w:lang w:val="hr-HR"/>
              </w:rPr>
            </w:pPr>
            <w:r w:rsidRPr="008632BF">
              <w:rPr>
                <w:sz w:val="22"/>
                <w:szCs w:val="22"/>
                <w:lang w:val="hr-HR"/>
              </w:rPr>
              <w:t>S obzirom točku 7.1. i točki 2.5. (drugi odlomak) Uputa za prijavitelje, može li korisnik ugovoriti uslugu upravljanja projektom prije podnošenja projektnog prijedloga?</w:t>
            </w:r>
          </w:p>
        </w:tc>
        <w:tc>
          <w:tcPr>
            <w:tcW w:w="6949" w:type="dxa"/>
          </w:tcPr>
          <w:p w:rsidR="00501448" w:rsidRPr="008632BF" w:rsidRDefault="00501448" w:rsidP="00A25A4B">
            <w:pPr>
              <w:jc w:val="both"/>
              <w:rPr>
                <w:sz w:val="22"/>
                <w:szCs w:val="22"/>
                <w:lang w:val="hr-HR"/>
              </w:rPr>
            </w:pPr>
            <w:r w:rsidRPr="008632BF">
              <w:rPr>
                <w:sz w:val="22"/>
                <w:szCs w:val="22"/>
                <w:lang w:val="hr-HR"/>
              </w:rPr>
              <w:t>U Uputama za prijavitelje definirano je razdoblje provedbe projekta kako slijedi:</w:t>
            </w:r>
          </w:p>
          <w:p w:rsidR="00501448" w:rsidRPr="008632BF" w:rsidRDefault="00501448" w:rsidP="00A25A4B">
            <w:pPr>
              <w:jc w:val="both"/>
              <w:rPr>
                <w:sz w:val="22"/>
                <w:szCs w:val="22"/>
                <w:lang w:val="hr-HR"/>
              </w:rPr>
            </w:pPr>
            <w:r w:rsidRPr="008632BF">
              <w:rPr>
                <w:sz w:val="22"/>
                <w:szCs w:val="22"/>
                <w:lang w:val="hr-HR"/>
              </w:rPr>
              <w:t>„Razdoblje provedbe projekta je od početka obavljanja aktivnosti projekta, a najranije počevši od 1. siječnja 2014. godine do završetka obavljanja predmetnih aktivnosti, do najviše 36 mjeseci od dana sklapanja ugovora o dodjeli bespovratnih sredstava, a najkasnije do 31. prosinca 2023. godine, ovisno koje razdoblje je kraće.”</w:t>
            </w:r>
          </w:p>
          <w:p w:rsidR="00501448" w:rsidRPr="008632BF" w:rsidRDefault="00501448" w:rsidP="00A25A4B">
            <w:pPr>
              <w:jc w:val="both"/>
              <w:rPr>
                <w:sz w:val="22"/>
                <w:szCs w:val="22"/>
                <w:lang w:val="hr-HR"/>
              </w:rPr>
            </w:pPr>
          </w:p>
          <w:p w:rsidR="00501448" w:rsidRPr="008632BF" w:rsidRDefault="00501448" w:rsidP="00A25A4B">
            <w:pPr>
              <w:jc w:val="both"/>
              <w:rPr>
                <w:sz w:val="22"/>
                <w:szCs w:val="22"/>
                <w:lang w:val="hr-HR"/>
              </w:rPr>
            </w:pPr>
            <w:r w:rsidRPr="008632BF">
              <w:rPr>
                <w:sz w:val="22"/>
                <w:szCs w:val="22"/>
                <w:lang w:val="hr-HR"/>
              </w:rPr>
              <w:t>Vezano za definiciju provedbe projekta – razdoblje prihvatljivosti izdataka je kako slijedi:</w:t>
            </w:r>
          </w:p>
          <w:p w:rsidR="00501448" w:rsidRPr="008632BF" w:rsidRDefault="00501448" w:rsidP="00A25A4B">
            <w:pPr>
              <w:jc w:val="both"/>
              <w:rPr>
                <w:sz w:val="22"/>
                <w:szCs w:val="22"/>
                <w:lang w:val="hr-HR"/>
              </w:rPr>
            </w:pPr>
            <w:r w:rsidRPr="008632BF">
              <w:rPr>
                <w:sz w:val="22"/>
                <w:szCs w:val="22"/>
                <w:lang w:val="hr-HR"/>
              </w:rPr>
              <w:t>“Razdoblje prihvatljivosti izdataka uključuje razdoblje provedbe projekta i najviše 6 mjeseci od završetka razdoblja provedbe projekta.”</w:t>
            </w:r>
          </w:p>
          <w:p w:rsidR="00501448" w:rsidRPr="008632BF" w:rsidRDefault="00501448" w:rsidP="00A25A4B">
            <w:pPr>
              <w:jc w:val="both"/>
              <w:rPr>
                <w:sz w:val="22"/>
                <w:szCs w:val="22"/>
                <w:lang w:val="hr-HR"/>
              </w:rPr>
            </w:pPr>
          </w:p>
          <w:p w:rsidR="00501448" w:rsidRPr="008632BF" w:rsidRDefault="00501448" w:rsidP="00A25A4B">
            <w:pPr>
              <w:jc w:val="both"/>
              <w:rPr>
                <w:sz w:val="22"/>
                <w:szCs w:val="22"/>
                <w:lang w:val="hr-HR"/>
              </w:rPr>
            </w:pPr>
            <w:r w:rsidRPr="008632BF">
              <w:rPr>
                <w:sz w:val="22"/>
                <w:szCs w:val="22"/>
                <w:lang w:val="hr-HR"/>
              </w:rPr>
              <w:t>To znači da su izdaci prihvatljivi najranije od 1. siječnja 2014. godine.</w:t>
            </w:r>
          </w:p>
        </w:tc>
      </w:tr>
      <w:tr w:rsidR="00501448" w:rsidRPr="00F1525B" w:rsidTr="00192D6D">
        <w:tblPrEx>
          <w:jc w:val="center"/>
        </w:tblPrEx>
        <w:trPr>
          <w:jc w:val="center"/>
        </w:trPr>
        <w:tc>
          <w:tcPr>
            <w:tcW w:w="851" w:type="dxa"/>
            <w:vAlign w:val="center"/>
          </w:tcPr>
          <w:p w:rsidR="00501448" w:rsidRPr="008632BF" w:rsidRDefault="00453C79" w:rsidP="00453C79">
            <w:pPr>
              <w:jc w:val="center"/>
              <w:rPr>
                <w:b/>
                <w:sz w:val="22"/>
                <w:szCs w:val="22"/>
              </w:rPr>
            </w:pPr>
            <w:r w:rsidRPr="008632BF">
              <w:rPr>
                <w:b/>
                <w:sz w:val="22"/>
                <w:szCs w:val="22"/>
              </w:rPr>
              <w:lastRenderedPageBreak/>
              <w:t>6.</w:t>
            </w:r>
          </w:p>
        </w:tc>
        <w:tc>
          <w:tcPr>
            <w:tcW w:w="6092" w:type="dxa"/>
          </w:tcPr>
          <w:p w:rsidR="00501448" w:rsidRPr="008632BF" w:rsidRDefault="00501448" w:rsidP="00A25A4B">
            <w:pPr>
              <w:jc w:val="both"/>
              <w:rPr>
                <w:sz w:val="22"/>
                <w:szCs w:val="22"/>
                <w:lang w:val="hr-HR"/>
              </w:rPr>
            </w:pPr>
            <w:r w:rsidRPr="008632BF">
              <w:rPr>
                <w:sz w:val="22"/>
                <w:szCs w:val="22"/>
                <w:lang w:val="hr-HR"/>
              </w:rPr>
              <w:t>U slučaju da je slijedom analize tržišta utvrđeno da jedan pružatelj usluge može pružiti usluge pripreme projektnog prijedloga i upravljanja projektom, je li je moguće nabavu tih usluga objediniti te pri tome jasno razgraničiti iznos namijenjen za pripremu projekta i iznos namijenjen za upravljanje projektom kako bi se lako utvrdio postavljeni limit vezan uz trošak upravljanja projektom?</w:t>
            </w:r>
          </w:p>
        </w:tc>
        <w:tc>
          <w:tcPr>
            <w:tcW w:w="6949" w:type="dxa"/>
          </w:tcPr>
          <w:p w:rsidR="00501448" w:rsidRPr="008632BF" w:rsidRDefault="00501448" w:rsidP="00927C11">
            <w:pPr>
              <w:jc w:val="both"/>
              <w:rPr>
                <w:sz w:val="22"/>
                <w:szCs w:val="22"/>
                <w:lang w:val="hr-HR"/>
              </w:rPr>
            </w:pPr>
            <w:r w:rsidRPr="008632BF">
              <w:rPr>
                <w:b/>
                <w:sz w:val="22"/>
                <w:szCs w:val="22"/>
                <w:lang w:val="hr-HR"/>
              </w:rPr>
              <w:t>Slijedom zaprimljenih dodatnih pitanja te detaljnom analizom Uputa za prijavitelje, zaključeno je da je priprema projektnog prijedloga prihvatljiva aktivnost  unutar aktivnosti upravljanja projektom.</w:t>
            </w:r>
          </w:p>
          <w:p w:rsidR="00501448" w:rsidRPr="008632BF" w:rsidRDefault="00501448" w:rsidP="00927C11">
            <w:pPr>
              <w:jc w:val="both"/>
              <w:rPr>
                <w:color w:val="FF0000"/>
                <w:sz w:val="22"/>
                <w:szCs w:val="22"/>
                <w:lang w:val="hr-HR"/>
              </w:rPr>
            </w:pPr>
          </w:p>
          <w:p w:rsidR="00501448" w:rsidRPr="008632BF" w:rsidRDefault="00501448" w:rsidP="00927C11">
            <w:pPr>
              <w:jc w:val="both"/>
              <w:rPr>
                <w:color w:val="FF0000"/>
                <w:sz w:val="22"/>
                <w:szCs w:val="22"/>
                <w:lang w:val="hr-HR"/>
              </w:rPr>
            </w:pPr>
            <w:r w:rsidRPr="008632BF">
              <w:rPr>
                <w:sz w:val="22"/>
                <w:szCs w:val="22"/>
                <w:lang w:val="hr-HR"/>
              </w:rPr>
              <w:t>Stoga je moguće objediniti</w:t>
            </w:r>
            <w:r w:rsidRPr="008632BF">
              <w:rPr>
                <w:color w:val="FF0000"/>
                <w:sz w:val="22"/>
                <w:szCs w:val="22"/>
                <w:lang w:val="hr-HR"/>
              </w:rPr>
              <w:t xml:space="preserve"> </w:t>
            </w:r>
            <w:r w:rsidRPr="008632BF">
              <w:rPr>
                <w:sz w:val="22"/>
                <w:szCs w:val="22"/>
                <w:lang w:val="hr-HR"/>
              </w:rPr>
              <w:t xml:space="preserve">nabavu usluga pripreme projektnog prijedloga i upravljanje projektom uz jasno razdvajanje pripadajućih iznosa namijenjenih pojedinoj aktivnosti upravljanja projektom. </w:t>
            </w:r>
          </w:p>
          <w:p w:rsidR="00501448" w:rsidRPr="008632BF" w:rsidRDefault="00501448" w:rsidP="00927C11">
            <w:pPr>
              <w:jc w:val="both"/>
              <w:rPr>
                <w:color w:val="FF0000"/>
                <w:sz w:val="22"/>
                <w:szCs w:val="22"/>
                <w:lang w:val="hr-HR"/>
              </w:rPr>
            </w:pPr>
          </w:p>
          <w:p w:rsidR="00501448" w:rsidRPr="008632BF" w:rsidRDefault="00501448" w:rsidP="00927C11">
            <w:pPr>
              <w:jc w:val="both"/>
              <w:rPr>
                <w:sz w:val="22"/>
                <w:szCs w:val="22"/>
                <w:lang w:val="hr-HR"/>
              </w:rPr>
            </w:pPr>
          </w:p>
        </w:tc>
      </w:tr>
      <w:tr w:rsidR="00501448" w:rsidRPr="00F1525B" w:rsidTr="00192D6D">
        <w:tblPrEx>
          <w:jc w:val="center"/>
        </w:tblPrEx>
        <w:trPr>
          <w:jc w:val="center"/>
        </w:trPr>
        <w:tc>
          <w:tcPr>
            <w:tcW w:w="851" w:type="dxa"/>
            <w:vAlign w:val="center"/>
          </w:tcPr>
          <w:p w:rsidR="00501448" w:rsidRPr="008632BF" w:rsidRDefault="00453C79" w:rsidP="00453C79">
            <w:pPr>
              <w:jc w:val="center"/>
              <w:rPr>
                <w:b/>
                <w:sz w:val="22"/>
                <w:szCs w:val="22"/>
              </w:rPr>
            </w:pPr>
            <w:r w:rsidRPr="008632BF">
              <w:rPr>
                <w:b/>
                <w:sz w:val="22"/>
                <w:szCs w:val="22"/>
              </w:rPr>
              <w:t>7.</w:t>
            </w:r>
          </w:p>
        </w:tc>
        <w:tc>
          <w:tcPr>
            <w:tcW w:w="6092" w:type="dxa"/>
          </w:tcPr>
          <w:p w:rsidR="00501448" w:rsidRPr="008632BF" w:rsidRDefault="00501448" w:rsidP="00A25A4B">
            <w:pPr>
              <w:jc w:val="both"/>
              <w:rPr>
                <w:sz w:val="22"/>
                <w:szCs w:val="22"/>
                <w:lang w:val="hr-HR"/>
              </w:rPr>
            </w:pPr>
            <w:r w:rsidRPr="008632BF">
              <w:rPr>
                <w:sz w:val="22"/>
                <w:szCs w:val="22"/>
                <w:lang w:val="hr-HR"/>
              </w:rPr>
              <w:t>Molimo potvrdu razumijevanja točke 3.1.2. Uputa za prijavitelje, odnosno da se ograničenje od 15% od ukupnog iznosa prihvatljivih troškova projekta odnosi na ukupni zbroj iznosa troškova osoblja i iznosa troškova upravljanja projektom pri čemu, unutar tog zbroja nije ograničen udio troškova osoblja niti udio troškova upravljanja projektom.</w:t>
            </w:r>
          </w:p>
          <w:p w:rsidR="00501448" w:rsidRPr="008632BF" w:rsidRDefault="00501448" w:rsidP="00A25A4B">
            <w:pPr>
              <w:jc w:val="both"/>
              <w:rPr>
                <w:sz w:val="22"/>
                <w:szCs w:val="22"/>
                <w:lang w:val="hr-HR"/>
              </w:rPr>
            </w:pPr>
            <w:r w:rsidRPr="008632BF">
              <w:rPr>
                <w:sz w:val="22"/>
                <w:szCs w:val="22"/>
                <w:lang w:val="hr-HR"/>
              </w:rPr>
              <w:t>U slučaju da sam trošak osoblja iznosi 15% od ukupnog iznosa prihvatljivih troškova projekta, samo u tom slučaju se limit za upravljanje projektom određuje sukladno točki 3.1.2. (2) (str. 19 Uputa za prijavitelje).</w:t>
            </w:r>
          </w:p>
        </w:tc>
        <w:tc>
          <w:tcPr>
            <w:tcW w:w="6949" w:type="dxa"/>
          </w:tcPr>
          <w:p w:rsidR="00501448" w:rsidRPr="008632BF" w:rsidRDefault="00501448" w:rsidP="00A25A4B">
            <w:pPr>
              <w:jc w:val="both"/>
              <w:rPr>
                <w:sz w:val="22"/>
                <w:szCs w:val="22"/>
                <w:lang w:val="hr-HR"/>
              </w:rPr>
            </w:pPr>
            <w:r w:rsidRPr="008632BF">
              <w:rPr>
                <w:sz w:val="22"/>
                <w:szCs w:val="22"/>
                <w:lang w:val="hr-HR"/>
              </w:rPr>
              <w:t>Sukladno Uputama za prijavitelje troškovi osoblja kao dio troškova provedbe projekta te troškovi upravljanja projektom smiju iznositi do najviše 15% od ukupnog iznosa prihvatljivih troškova projekta (u slučaju da troškovi osoblja prelaze dozvoljeni limit od 15% iznos bespovratnih sredstava za taj trošak iz ovog Poziva dodijelit će se sukladno propisanom limitu). Troškovi za plaće osoblja za upravljanje projektom zaposlenih kod prijavitelja nisu zasebno limitirani, no troškovi upravljanja projektom unutar navedenih 15% od ukupnog prihvatljivog troška projekta limitirani su apsolutnim iznosima kako slijedi:</w:t>
            </w:r>
          </w:p>
          <w:p w:rsidR="00501448" w:rsidRPr="008632BF" w:rsidRDefault="00501448" w:rsidP="00A25A4B">
            <w:pPr>
              <w:jc w:val="both"/>
              <w:rPr>
                <w:sz w:val="22"/>
                <w:szCs w:val="22"/>
                <w:lang w:val="hr-HR"/>
              </w:rPr>
            </w:pPr>
            <w:r w:rsidRPr="008632BF">
              <w:rPr>
                <w:sz w:val="22"/>
                <w:szCs w:val="22"/>
                <w:lang w:val="hr-HR" w:eastAsia="lt-LT"/>
              </w:rPr>
              <w:t>Troškovi upravljanja projektom prihvatljivi su do maksimalnog iznosa od 600.000,00 HRK za projekte kojima se u okviru ovog Poziva dodjeljuje do 20.000.000,00 HRK; te do maksimalnog iznosa od 750.000,00 HRK za projekte kojima se u okviru ovog Poziva dodjeljuje od 20.000.000,00 HRK do 31.000.000,00 HRK.</w:t>
            </w:r>
          </w:p>
          <w:p w:rsidR="00501448" w:rsidRPr="008632BF" w:rsidRDefault="00501448" w:rsidP="00A25A4B">
            <w:pPr>
              <w:jc w:val="both"/>
              <w:rPr>
                <w:sz w:val="22"/>
                <w:szCs w:val="22"/>
              </w:rPr>
            </w:pPr>
          </w:p>
          <w:p w:rsidR="00501448" w:rsidRPr="008632BF" w:rsidRDefault="00501448" w:rsidP="00453C79">
            <w:pPr>
              <w:jc w:val="both"/>
              <w:rPr>
                <w:sz w:val="22"/>
                <w:szCs w:val="22"/>
                <w:lang w:val="hr-HR"/>
              </w:rPr>
            </w:pPr>
            <w:r w:rsidRPr="008632BF">
              <w:rPr>
                <w:sz w:val="22"/>
                <w:szCs w:val="22"/>
                <w:lang w:val="hr-HR"/>
              </w:rPr>
              <w:t>Zajednički zbroj troška osoblja i troška upravljanja projektom ne može preći 15% od ukupnog iznosa prihvatljivih troškova projekta.</w:t>
            </w:r>
          </w:p>
        </w:tc>
      </w:tr>
      <w:tr w:rsidR="00501448" w:rsidRPr="00F1525B" w:rsidTr="00192D6D">
        <w:tblPrEx>
          <w:jc w:val="center"/>
        </w:tblPrEx>
        <w:trPr>
          <w:trHeight w:val="902"/>
          <w:jc w:val="center"/>
        </w:trPr>
        <w:tc>
          <w:tcPr>
            <w:tcW w:w="851" w:type="dxa"/>
            <w:vAlign w:val="center"/>
          </w:tcPr>
          <w:p w:rsidR="00501448" w:rsidRPr="008632BF" w:rsidRDefault="00453C79" w:rsidP="00453C79">
            <w:pPr>
              <w:jc w:val="center"/>
              <w:rPr>
                <w:b/>
                <w:sz w:val="22"/>
                <w:szCs w:val="22"/>
              </w:rPr>
            </w:pPr>
            <w:r w:rsidRPr="008632BF">
              <w:rPr>
                <w:b/>
                <w:sz w:val="22"/>
                <w:szCs w:val="22"/>
              </w:rPr>
              <w:t>8.</w:t>
            </w:r>
          </w:p>
        </w:tc>
        <w:tc>
          <w:tcPr>
            <w:tcW w:w="6092" w:type="dxa"/>
          </w:tcPr>
          <w:p w:rsidR="00501448" w:rsidRPr="008632BF" w:rsidRDefault="00501448" w:rsidP="00A25A4B">
            <w:pPr>
              <w:jc w:val="both"/>
              <w:rPr>
                <w:sz w:val="22"/>
                <w:szCs w:val="22"/>
                <w:lang w:val="hr-HR"/>
              </w:rPr>
            </w:pPr>
            <w:r w:rsidRPr="008632BF">
              <w:rPr>
                <w:sz w:val="22"/>
                <w:szCs w:val="22"/>
                <w:lang w:val="hr-HR"/>
              </w:rPr>
              <w:t>Molimo potvrdu da korisnik može u projektu planirati troškove osoblja (najmanje dva člana tima) i trošak vanjskog upravljanja projektom te da jedno ne isključuje drugo.</w:t>
            </w:r>
          </w:p>
        </w:tc>
        <w:tc>
          <w:tcPr>
            <w:tcW w:w="6949" w:type="dxa"/>
          </w:tcPr>
          <w:p w:rsidR="00501448" w:rsidRPr="008632BF" w:rsidRDefault="00501448" w:rsidP="00A25A4B">
            <w:pPr>
              <w:jc w:val="both"/>
              <w:rPr>
                <w:sz w:val="22"/>
                <w:szCs w:val="22"/>
                <w:lang w:val="hr-HR"/>
              </w:rPr>
            </w:pPr>
            <w:r w:rsidRPr="008632BF">
              <w:rPr>
                <w:sz w:val="22"/>
                <w:szCs w:val="22"/>
                <w:lang w:val="hr-HR"/>
              </w:rPr>
              <w:t>Vidjeti odgovor na pitanje 7.</w:t>
            </w:r>
          </w:p>
        </w:tc>
      </w:tr>
      <w:tr w:rsidR="00501448" w:rsidRPr="00F1525B" w:rsidTr="00192D6D">
        <w:tblPrEx>
          <w:jc w:val="center"/>
        </w:tblPrEx>
        <w:trPr>
          <w:jc w:val="center"/>
        </w:trPr>
        <w:tc>
          <w:tcPr>
            <w:tcW w:w="851" w:type="dxa"/>
            <w:vAlign w:val="center"/>
          </w:tcPr>
          <w:p w:rsidR="00501448" w:rsidRPr="008632BF" w:rsidRDefault="00453C79" w:rsidP="00453C79">
            <w:pPr>
              <w:jc w:val="center"/>
              <w:rPr>
                <w:b/>
                <w:sz w:val="22"/>
                <w:szCs w:val="22"/>
              </w:rPr>
            </w:pPr>
            <w:r w:rsidRPr="008632BF">
              <w:rPr>
                <w:b/>
                <w:sz w:val="22"/>
                <w:szCs w:val="22"/>
              </w:rPr>
              <w:t>9.</w:t>
            </w:r>
          </w:p>
        </w:tc>
        <w:tc>
          <w:tcPr>
            <w:tcW w:w="6092" w:type="dxa"/>
          </w:tcPr>
          <w:p w:rsidR="00501448" w:rsidRPr="008632BF" w:rsidRDefault="00501448" w:rsidP="00A25A4B">
            <w:pPr>
              <w:jc w:val="both"/>
              <w:rPr>
                <w:sz w:val="22"/>
                <w:szCs w:val="22"/>
                <w:lang w:val="hr-HR"/>
              </w:rPr>
            </w:pPr>
            <w:r w:rsidRPr="008632BF">
              <w:rPr>
                <w:sz w:val="22"/>
                <w:szCs w:val="22"/>
                <w:lang w:val="hr-HR"/>
              </w:rPr>
              <w:t xml:space="preserve">Molimo potvrdu je li u slučaju predmetnog natječaja (a suprotno od natječaja za Poboljšanje isplativosti i pristupa dnevnim bolnicama i/ili dnevnim kirurgijama) studija izvedivosti s analizom troškova i </w:t>
            </w:r>
            <w:r w:rsidRPr="008632BF">
              <w:rPr>
                <w:sz w:val="22"/>
                <w:szCs w:val="22"/>
                <w:lang w:val="hr-HR"/>
              </w:rPr>
              <w:lastRenderedPageBreak/>
              <w:t>koristi dio obavezne dokumentacije koja se mora dostaviti prilikom prijave projekata.</w:t>
            </w:r>
          </w:p>
        </w:tc>
        <w:tc>
          <w:tcPr>
            <w:tcW w:w="6949" w:type="dxa"/>
          </w:tcPr>
          <w:p w:rsidR="00501448" w:rsidRPr="008632BF" w:rsidRDefault="00501448" w:rsidP="00453C79">
            <w:pPr>
              <w:jc w:val="both"/>
              <w:rPr>
                <w:sz w:val="22"/>
                <w:szCs w:val="22"/>
                <w:lang w:val="hr-HR"/>
              </w:rPr>
            </w:pPr>
            <w:r w:rsidRPr="008632BF">
              <w:rPr>
                <w:sz w:val="22"/>
                <w:szCs w:val="22"/>
                <w:lang w:val="hr-HR"/>
              </w:rPr>
              <w:lastRenderedPageBreak/>
              <w:t>Sukladno Uputama za prijavitelje, točci 5.1. - studija izvedivosti s analizom troškova i koristi kao dio natječajne dokumentacije</w:t>
            </w:r>
            <w:r w:rsidRPr="008632BF">
              <w:rPr>
                <w:b/>
                <w:sz w:val="22"/>
                <w:szCs w:val="22"/>
                <w:lang w:val="hr-HR"/>
              </w:rPr>
              <w:t xml:space="preserve"> </w:t>
            </w:r>
            <w:r w:rsidRPr="008632BF">
              <w:rPr>
                <w:sz w:val="22"/>
                <w:szCs w:val="22"/>
                <w:lang w:val="hr-HR"/>
              </w:rPr>
              <w:t>dostavlja se isključivo u elektroničkom formatu.</w:t>
            </w:r>
          </w:p>
          <w:p w:rsidR="00501448" w:rsidRPr="008632BF" w:rsidRDefault="00501448" w:rsidP="00A25A4B">
            <w:pPr>
              <w:jc w:val="both"/>
              <w:rPr>
                <w:sz w:val="22"/>
                <w:szCs w:val="22"/>
                <w:lang w:val="hr-HR"/>
              </w:rPr>
            </w:pPr>
          </w:p>
        </w:tc>
      </w:tr>
      <w:tr w:rsidR="00501448" w:rsidRPr="00F1525B" w:rsidTr="00192D6D">
        <w:tblPrEx>
          <w:jc w:val="center"/>
        </w:tblPrEx>
        <w:trPr>
          <w:jc w:val="center"/>
        </w:trPr>
        <w:tc>
          <w:tcPr>
            <w:tcW w:w="851" w:type="dxa"/>
            <w:vAlign w:val="center"/>
          </w:tcPr>
          <w:p w:rsidR="00501448" w:rsidRPr="008632BF" w:rsidRDefault="00453C79" w:rsidP="00453C79">
            <w:pPr>
              <w:jc w:val="center"/>
              <w:rPr>
                <w:b/>
                <w:sz w:val="22"/>
                <w:szCs w:val="22"/>
              </w:rPr>
            </w:pPr>
            <w:r w:rsidRPr="008632BF">
              <w:rPr>
                <w:b/>
                <w:sz w:val="22"/>
                <w:szCs w:val="22"/>
              </w:rPr>
              <w:t>10.</w:t>
            </w:r>
          </w:p>
        </w:tc>
        <w:tc>
          <w:tcPr>
            <w:tcW w:w="6092" w:type="dxa"/>
          </w:tcPr>
          <w:p w:rsidR="00501448" w:rsidRPr="008632BF" w:rsidRDefault="00501448" w:rsidP="00A25A4B">
            <w:pPr>
              <w:jc w:val="both"/>
              <w:rPr>
                <w:sz w:val="22"/>
                <w:szCs w:val="22"/>
                <w:lang w:val="hr-HR"/>
              </w:rPr>
            </w:pPr>
            <w:r w:rsidRPr="008632BF">
              <w:rPr>
                <w:sz w:val="22"/>
                <w:szCs w:val="22"/>
                <w:lang w:val="hr-HR"/>
              </w:rPr>
              <w:t>Postoji li preporučena forma (obrazac) koja se treba slijediti (uzeti u obzir) pri izradi studije izvedivosti s analizom troškova i koristi?</w:t>
            </w:r>
          </w:p>
          <w:p w:rsidR="00501448" w:rsidRPr="008632BF" w:rsidRDefault="00501448" w:rsidP="00A25A4B">
            <w:pPr>
              <w:jc w:val="both"/>
              <w:rPr>
                <w:sz w:val="22"/>
                <w:szCs w:val="22"/>
                <w:lang w:val="hr-HR"/>
              </w:rPr>
            </w:pPr>
          </w:p>
        </w:tc>
        <w:tc>
          <w:tcPr>
            <w:tcW w:w="6949" w:type="dxa"/>
          </w:tcPr>
          <w:p w:rsidR="00501448" w:rsidRPr="008632BF" w:rsidRDefault="00501448" w:rsidP="00A25A4B">
            <w:pPr>
              <w:jc w:val="both"/>
              <w:rPr>
                <w:sz w:val="22"/>
                <w:szCs w:val="22"/>
                <w:lang w:val="hr-HR"/>
              </w:rPr>
            </w:pPr>
            <w:r w:rsidRPr="008632BF">
              <w:rPr>
                <w:sz w:val="22"/>
                <w:szCs w:val="22"/>
                <w:lang w:val="hr-HR"/>
              </w:rPr>
              <w:t xml:space="preserve">Preporuke Europske Komisije mogu se pronaći u izdanju iz prosinca 2014 </w:t>
            </w:r>
            <w:r w:rsidRPr="008632BF">
              <w:rPr>
                <w:sz w:val="22"/>
                <w:szCs w:val="22"/>
              </w:rPr>
              <w:t>„Guide to Cost – benefit Analysis of Investment Projects</w:t>
            </w:r>
            <w:r w:rsidRPr="008632BF">
              <w:rPr>
                <w:sz w:val="22"/>
                <w:szCs w:val="22"/>
                <w:lang w:val="hr-HR"/>
              </w:rPr>
              <w:t>“. Vodič se odnosi na financijsko razdoblje 2014. – 2020., a nalazi se na sljedećem linku:</w:t>
            </w:r>
          </w:p>
          <w:p w:rsidR="00501448" w:rsidRPr="008632BF" w:rsidRDefault="00BF6BDB" w:rsidP="00A25A4B">
            <w:pPr>
              <w:jc w:val="both"/>
              <w:rPr>
                <w:sz w:val="22"/>
                <w:szCs w:val="22"/>
                <w:lang w:val="hr-HR"/>
              </w:rPr>
            </w:pPr>
            <w:hyperlink r:id="rId12" w:history="1">
              <w:r w:rsidR="00501448" w:rsidRPr="008632BF">
                <w:rPr>
                  <w:rStyle w:val="Hyperlink"/>
                  <w:sz w:val="22"/>
                  <w:szCs w:val="22"/>
                  <w:lang w:val="hr-HR"/>
                </w:rPr>
                <w:t>http://www.jaspersnetwork.org/plugins/servlet/documentRepository/displayDocumentDetails?documentId=269</w:t>
              </w:r>
            </w:hyperlink>
          </w:p>
          <w:p w:rsidR="00501448" w:rsidRPr="008632BF" w:rsidRDefault="00501448" w:rsidP="00A25A4B">
            <w:pPr>
              <w:jc w:val="both"/>
              <w:rPr>
                <w:sz w:val="22"/>
                <w:szCs w:val="22"/>
                <w:lang w:val="hr-HR"/>
              </w:rPr>
            </w:pPr>
          </w:p>
          <w:p w:rsidR="00501448" w:rsidRPr="008632BF" w:rsidRDefault="00501448" w:rsidP="00A25A4B">
            <w:pPr>
              <w:jc w:val="both"/>
              <w:rPr>
                <w:sz w:val="22"/>
                <w:szCs w:val="22"/>
                <w:lang w:val="hr-HR"/>
              </w:rPr>
            </w:pPr>
            <w:r w:rsidRPr="008632BF">
              <w:rPr>
                <w:sz w:val="22"/>
                <w:szCs w:val="22"/>
                <w:lang w:val="hr-HR"/>
              </w:rPr>
              <w:t>U publikaciji iz 2013. godine pod nazivom:</w:t>
            </w:r>
          </w:p>
          <w:p w:rsidR="00501448" w:rsidRPr="008632BF" w:rsidRDefault="00501448" w:rsidP="00A25A4B">
            <w:pPr>
              <w:jc w:val="both"/>
              <w:rPr>
                <w:sz w:val="22"/>
                <w:szCs w:val="22"/>
              </w:rPr>
            </w:pPr>
            <w:r w:rsidRPr="008632BF">
              <w:rPr>
                <w:sz w:val="22"/>
                <w:szCs w:val="22"/>
              </w:rPr>
              <w:t xml:space="preserve">„Project Preparation and CBA of RDI Infrastructure projects“ </w:t>
            </w:r>
            <w:r w:rsidRPr="008632BF">
              <w:rPr>
                <w:sz w:val="22"/>
                <w:szCs w:val="22"/>
                <w:lang w:val="hr-HR"/>
              </w:rPr>
              <w:t>navedeno</w:t>
            </w:r>
            <w:r w:rsidRPr="008632BF">
              <w:rPr>
                <w:sz w:val="22"/>
                <w:szCs w:val="22"/>
              </w:rPr>
              <w:t xml:space="preserve"> je:</w:t>
            </w:r>
          </w:p>
          <w:p w:rsidR="00501448" w:rsidRPr="008632BF" w:rsidRDefault="00501448" w:rsidP="00A25A4B">
            <w:pPr>
              <w:jc w:val="both"/>
              <w:rPr>
                <w:sz w:val="22"/>
                <w:szCs w:val="22"/>
              </w:rPr>
            </w:pPr>
            <w:r w:rsidRPr="008632BF">
              <w:rPr>
                <w:sz w:val="22"/>
                <w:szCs w:val="22"/>
              </w:rPr>
              <w:t>„A project feasibility study should be a self-contained document that covers all the different relevant aspects of the project, including the: (a) project background and justification; (b) planning framework; (c) situation/location analysis (d) existing situation and expected demand; (e) option analysis; (f) detailed technical description of the preferred option; (g) detailed cost estimates; (h) institutional analysis, including the necessary arrangements for the operation of the project facilities; (i) cost-benefit analysis; (j) environmental impact assessment; (k) procurement strategy for the implementation phase; and (l) risk analysis.. The project’s position in relation to state aid issues should also be clarified“</w:t>
            </w:r>
          </w:p>
          <w:p w:rsidR="00501448" w:rsidRPr="008632BF" w:rsidRDefault="00501448" w:rsidP="00A25A4B">
            <w:pPr>
              <w:jc w:val="both"/>
              <w:rPr>
                <w:sz w:val="22"/>
                <w:szCs w:val="22"/>
                <w:lang w:val="hr-HR"/>
              </w:rPr>
            </w:pPr>
          </w:p>
          <w:p w:rsidR="00501448" w:rsidRPr="008632BF" w:rsidRDefault="00501448" w:rsidP="00A25A4B">
            <w:pPr>
              <w:rPr>
                <w:sz w:val="22"/>
                <w:szCs w:val="22"/>
                <w:lang w:val="hr-HR"/>
              </w:rPr>
            </w:pPr>
            <w:r w:rsidRPr="008632BF">
              <w:rPr>
                <w:sz w:val="22"/>
                <w:szCs w:val="22"/>
                <w:lang w:val="hr-HR"/>
              </w:rPr>
              <w:t xml:space="preserve">Publikacija se može pronaći na sljedećoj poveznici: </w:t>
            </w:r>
          </w:p>
          <w:p w:rsidR="00501448" w:rsidRPr="008632BF" w:rsidRDefault="00BF6BDB" w:rsidP="00A25A4B">
            <w:pPr>
              <w:jc w:val="both"/>
              <w:rPr>
                <w:sz w:val="22"/>
                <w:szCs w:val="22"/>
                <w:lang w:val="hr-HR"/>
              </w:rPr>
            </w:pPr>
            <w:hyperlink r:id="rId13" w:history="1">
              <w:r w:rsidR="00501448" w:rsidRPr="008632BF">
                <w:rPr>
                  <w:rStyle w:val="Hyperlink"/>
                  <w:rFonts w:eastAsiaTheme="majorEastAsia"/>
                  <w:sz w:val="22"/>
                  <w:szCs w:val="22"/>
                  <w:lang w:val="hr-HR"/>
                </w:rPr>
                <w:t>http://www.jaspersnetwork.org/plugins/servlet/documentRepository/displayDocumentDetails?documentId=184</w:t>
              </w:r>
            </w:hyperlink>
          </w:p>
        </w:tc>
      </w:tr>
      <w:tr w:rsidR="00501448" w:rsidRPr="00F1525B" w:rsidTr="00192D6D">
        <w:tblPrEx>
          <w:jc w:val="center"/>
        </w:tblPrEx>
        <w:trPr>
          <w:jc w:val="center"/>
        </w:trPr>
        <w:tc>
          <w:tcPr>
            <w:tcW w:w="851" w:type="dxa"/>
            <w:vAlign w:val="center"/>
          </w:tcPr>
          <w:p w:rsidR="00501448" w:rsidRPr="008632BF" w:rsidRDefault="00453C79" w:rsidP="00453C79">
            <w:pPr>
              <w:jc w:val="center"/>
              <w:rPr>
                <w:b/>
                <w:sz w:val="22"/>
                <w:szCs w:val="22"/>
              </w:rPr>
            </w:pPr>
            <w:r w:rsidRPr="008632BF">
              <w:rPr>
                <w:b/>
                <w:sz w:val="22"/>
                <w:szCs w:val="22"/>
              </w:rPr>
              <w:t>11.</w:t>
            </w:r>
          </w:p>
        </w:tc>
        <w:tc>
          <w:tcPr>
            <w:tcW w:w="6092" w:type="dxa"/>
          </w:tcPr>
          <w:p w:rsidR="00501448" w:rsidRPr="008632BF" w:rsidRDefault="00501448" w:rsidP="00A25A4B">
            <w:pPr>
              <w:jc w:val="both"/>
              <w:rPr>
                <w:sz w:val="22"/>
                <w:szCs w:val="22"/>
                <w:lang w:val="hr-HR"/>
              </w:rPr>
            </w:pPr>
            <w:r w:rsidRPr="008632BF">
              <w:rPr>
                <w:sz w:val="22"/>
                <w:szCs w:val="22"/>
                <w:lang w:val="hr-HR"/>
              </w:rPr>
              <w:t>Molimo pojašnjenje na temelju čega će se ocjenjivati adekvatnost projektnog tima za provedbu projekata s obzirom da u Uputama za prijavitelje nisu navedeni uvjeti (kriteriji za tehnički i stručni kapacitet projektnog tima već se samo traži da tim ima najmanje dva člana?</w:t>
            </w:r>
          </w:p>
        </w:tc>
        <w:tc>
          <w:tcPr>
            <w:tcW w:w="6949" w:type="dxa"/>
          </w:tcPr>
          <w:p w:rsidR="00501448" w:rsidRPr="008632BF" w:rsidRDefault="00501448" w:rsidP="00453C79">
            <w:pPr>
              <w:jc w:val="both"/>
              <w:rPr>
                <w:sz w:val="22"/>
                <w:szCs w:val="22"/>
                <w:lang w:val="hr-HR"/>
              </w:rPr>
            </w:pPr>
            <w:r w:rsidRPr="008632BF">
              <w:rPr>
                <w:sz w:val="22"/>
                <w:szCs w:val="22"/>
                <w:lang w:val="hr-HR"/>
              </w:rPr>
              <w:t xml:space="preserve">Zahtjevi vezani za stručni kapacitet projektnog tima nisu navedeni eksplicitno. Sukladno Uputama za prijavitelje, točci 4.3.2.1 </w:t>
            </w:r>
            <w:r w:rsidRPr="008632BF">
              <w:rPr>
                <w:i/>
                <w:sz w:val="22"/>
                <w:szCs w:val="22"/>
                <w:lang w:val="hr-HR"/>
              </w:rPr>
              <w:t>Provjera prihvatljivosti projekta i aktivnosti te ocjenjivanje kvalitete</w:t>
            </w:r>
            <w:r w:rsidRPr="008632BF">
              <w:rPr>
                <w:sz w:val="22"/>
                <w:szCs w:val="22"/>
                <w:lang w:val="hr-HR"/>
              </w:rPr>
              <w:t xml:space="preserve">, odbor za odabir projekata ocjenjivat će tehnički i stručni kapacitet za provedbu projekta </w:t>
            </w:r>
            <w:r w:rsidRPr="008632BF">
              <w:rPr>
                <w:rFonts w:eastAsia="Cambria"/>
                <w:bCs/>
                <w:iCs/>
                <w:sz w:val="22"/>
                <w:szCs w:val="22"/>
                <w:lang w:val="hr-HR"/>
              </w:rPr>
              <w:t>na temelju dostavljenih životopisa predloženog projektnog tima.</w:t>
            </w:r>
          </w:p>
          <w:p w:rsidR="00501448" w:rsidRPr="008632BF" w:rsidRDefault="00501448" w:rsidP="00A25A4B">
            <w:pPr>
              <w:jc w:val="both"/>
              <w:rPr>
                <w:sz w:val="22"/>
                <w:szCs w:val="22"/>
                <w:lang w:val="hr-HR"/>
              </w:rPr>
            </w:pPr>
          </w:p>
        </w:tc>
      </w:tr>
      <w:tr w:rsidR="00501448" w:rsidRPr="00F1525B" w:rsidTr="00192D6D">
        <w:tblPrEx>
          <w:jc w:val="center"/>
        </w:tblPrEx>
        <w:trPr>
          <w:jc w:val="center"/>
        </w:trPr>
        <w:tc>
          <w:tcPr>
            <w:tcW w:w="851" w:type="dxa"/>
            <w:vAlign w:val="center"/>
          </w:tcPr>
          <w:p w:rsidR="00501448" w:rsidRPr="008632BF" w:rsidRDefault="00453C79" w:rsidP="00453C79">
            <w:pPr>
              <w:jc w:val="center"/>
              <w:rPr>
                <w:b/>
                <w:sz w:val="22"/>
                <w:szCs w:val="22"/>
              </w:rPr>
            </w:pPr>
            <w:r w:rsidRPr="008632BF">
              <w:rPr>
                <w:b/>
                <w:sz w:val="22"/>
                <w:szCs w:val="22"/>
              </w:rPr>
              <w:t>12.</w:t>
            </w:r>
          </w:p>
        </w:tc>
        <w:tc>
          <w:tcPr>
            <w:tcW w:w="6092" w:type="dxa"/>
          </w:tcPr>
          <w:p w:rsidR="00501448" w:rsidRPr="008632BF" w:rsidRDefault="00501448" w:rsidP="00A25A4B">
            <w:pPr>
              <w:jc w:val="both"/>
              <w:rPr>
                <w:sz w:val="22"/>
                <w:szCs w:val="22"/>
                <w:lang w:val="hr-HR"/>
              </w:rPr>
            </w:pPr>
            <w:r w:rsidRPr="008632BF">
              <w:rPr>
                <w:sz w:val="22"/>
                <w:szCs w:val="22"/>
                <w:lang w:val="hr-HR"/>
              </w:rPr>
              <w:t xml:space="preserve">Molimo pojašnjenje mora li projekt sadržavati minimalno </w:t>
            </w:r>
            <w:r w:rsidRPr="008632BF">
              <w:rPr>
                <w:bCs/>
                <w:sz w:val="22"/>
                <w:szCs w:val="22"/>
                <w:lang w:val="hr-HR"/>
              </w:rPr>
              <w:t xml:space="preserve">jednu </w:t>
            </w:r>
            <w:r w:rsidRPr="008632BF">
              <w:rPr>
                <w:sz w:val="22"/>
                <w:szCs w:val="22"/>
                <w:lang w:val="hr-HR"/>
              </w:rPr>
              <w:t xml:space="preserve">aktivnost koja promiče </w:t>
            </w:r>
            <w:r w:rsidRPr="008632BF">
              <w:rPr>
                <w:bCs/>
                <w:sz w:val="22"/>
                <w:szCs w:val="22"/>
                <w:lang w:val="hr-HR"/>
              </w:rPr>
              <w:t xml:space="preserve">jedno </w:t>
            </w:r>
            <w:r w:rsidRPr="008632BF">
              <w:rPr>
                <w:sz w:val="22"/>
                <w:szCs w:val="22"/>
                <w:lang w:val="hr-HR"/>
              </w:rPr>
              <w:t xml:space="preserve">od horizontalnih načela (Ravnopravnost žena i muškaraca i zabranu diskriminacije, Pristupačnost za osobe s invaliditetom, Održivi razvoj) ili je </w:t>
            </w:r>
            <w:r w:rsidRPr="008632BF">
              <w:rPr>
                <w:sz w:val="22"/>
                <w:szCs w:val="22"/>
                <w:lang w:val="hr-HR"/>
              </w:rPr>
              <w:lastRenderedPageBreak/>
              <w:t>potrebo da sadrži po jednu aktivnosti za svako od navedenih načela?</w:t>
            </w:r>
          </w:p>
        </w:tc>
        <w:tc>
          <w:tcPr>
            <w:tcW w:w="6949" w:type="dxa"/>
          </w:tcPr>
          <w:p w:rsidR="00501448" w:rsidRPr="008632BF" w:rsidRDefault="00501448" w:rsidP="00A25A4B">
            <w:pPr>
              <w:jc w:val="both"/>
              <w:rPr>
                <w:sz w:val="22"/>
                <w:szCs w:val="22"/>
                <w:lang w:val="hr-HR"/>
              </w:rPr>
            </w:pPr>
            <w:r w:rsidRPr="008632BF">
              <w:rPr>
                <w:sz w:val="22"/>
                <w:szCs w:val="22"/>
                <w:lang w:val="hr-HR"/>
              </w:rPr>
              <w:lastRenderedPageBreak/>
              <w:t>U Uputama za prijavitelje, članku 2.8. navedeno je:</w:t>
            </w:r>
          </w:p>
          <w:p w:rsidR="00501448" w:rsidRPr="008632BF" w:rsidRDefault="00501448" w:rsidP="00A25A4B">
            <w:pPr>
              <w:jc w:val="both"/>
              <w:rPr>
                <w:sz w:val="22"/>
                <w:szCs w:val="22"/>
                <w:lang w:val="hr-HR"/>
              </w:rPr>
            </w:pPr>
            <w:r w:rsidRPr="008632BF">
              <w:rPr>
                <w:sz w:val="22"/>
                <w:szCs w:val="22"/>
                <w:lang w:val="hr-HR"/>
              </w:rPr>
              <w:lastRenderedPageBreak/>
              <w:t>Slijedom Uputa za prijavitelje i korisnike operativnog programa „Konkurentnost i Kohezija” o provedbi horizontalnih načela</w:t>
            </w:r>
            <w:r w:rsidRPr="008632BF">
              <w:rPr>
                <w:rStyle w:val="FootnoteReference"/>
                <w:i/>
                <w:iCs/>
                <w:sz w:val="22"/>
                <w:szCs w:val="22"/>
                <w:lang w:val="hr-HR"/>
              </w:rPr>
              <w:footnoteReference w:id="1"/>
            </w:r>
            <w:r w:rsidRPr="008632BF">
              <w:rPr>
                <w:sz w:val="22"/>
                <w:szCs w:val="22"/>
                <w:lang w:val="hr-HR"/>
              </w:rPr>
              <w:t xml:space="preserve"> korisnici </w:t>
            </w:r>
            <w:r w:rsidRPr="008632BF">
              <w:rPr>
                <w:sz w:val="22"/>
                <w:szCs w:val="22"/>
                <w:u w:val="single"/>
                <w:lang w:val="hr-HR"/>
              </w:rPr>
              <w:t>su dužni provoditi mjere u tri kategorije</w:t>
            </w:r>
            <w:r w:rsidRPr="008632BF">
              <w:rPr>
                <w:sz w:val="22"/>
                <w:szCs w:val="22"/>
                <w:lang w:val="hr-HR"/>
              </w:rPr>
              <w:t>:</w:t>
            </w:r>
          </w:p>
          <w:p w:rsidR="00501448" w:rsidRPr="008632BF" w:rsidRDefault="00501448" w:rsidP="00A25A4B">
            <w:pPr>
              <w:pStyle w:val="ListParagraph"/>
              <w:numPr>
                <w:ilvl w:val="0"/>
                <w:numId w:val="4"/>
              </w:numPr>
              <w:jc w:val="both"/>
              <w:rPr>
                <w:sz w:val="22"/>
                <w:szCs w:val="22"/>
                <w:lang w:val="hr-HR"/>
              </w:rPr>
            </w:pPr>
            <w:r w:rsidRPr="008632BF">
              <w:rPr>
                <w:sz w:val="22"/>
                <w:szCs w:val="22"/>
                <w:lang w:val="hr-HR"/>
              </w:rPr>
              <w:t>Promicanje ravnopravnosti žena i muškaraca i zabrana diskriminacije,</w:t>
            </w:r>
          </w:p>
          <w:p w:rsidR="00501448" w:rsidRPr="008632BF" w:rsidRDefault="00501448" w:rsidP="00A25A4B">
            <w:pPr>
              <w:pStyle w:val="ListParagraph"/>
              <w:numPr>
                <w:ilvl w:val="0"/>
                <w:numId w:val="4"/>
              </w:numPr>
              <w:jc w:val="both"/>
              <w:rPr>
                <w:sz w:val="22"/>
                <w:szCs w:val="22"/>
                <w:lang w:val="hr-HR"/>
              </w:rPr>
            </w:pPr>
            <w:r w:rsidRPr="008632BF">
              <w:rPr>
                <w:sz w:val="22"/>
                <w:szCs w:val="22"/>
                <w:lang w:val="hr-HR"/>
              </w:rPr>
              <w:t>Pristupačnost za osobe s invaliditetom,</w:t>
            </w:r>
          </w:p>
          <w:p w:rsidR="00501448" w:rsidRPr="008632BF" w:rsidRDefault="00501448" w:rsidP="00A25A4B">
            <w:pPr>
              <w:pStyle w:val="ListParagraph"/>
              <w:numPr>
                <w:ilvl w:val="0"/>
                <w:numId w:val="4"/>
              </w:numPr>
              <w:jc w:val="both"/>
              <w:rPr>
                <w:sz w:val="22"/>
                <w:szCs w:val="22"/>
                <w:lang w:val="hr-HR"/>
              </w:rPr>
            </w:pPr>
            <w:r w:rsidRPr="008632BF">
              <w:rPr>
                <w:sz w:val="22"/>
                <w:szCs w:val="22"/>
                <w:lang w:val="hr-HR"/>
              </w:rPr>
              <w:t>Održivi razvoj.”</w:t>
            </w:r>
          </w:p>
          <w:p w:rsidR="00501448" w:rsidRPr="008632BF" w:rsidRDefault="00501448" w:rsidP="00A25A4B">
            <w:pPr>
              <w:contextualSpacing/>
              <w:jc w:val="both"/>
              <w:rPr>
                <w:sz w:val="22"/>
                <w:szCs w:val="22"/>
                <w:lang w:val="hr-HR"/>
              </w:rPr>
            </w:pPr>
            <w:r w:rsidRPr="008632BF">
              <w:rPr>
                <w:sz w:val="22"/>
                <w:szCs w:val="22"/>
                <w:lang w:val="hr-HR"/>
              </w:rPr>
              <w:t>To znači da je iz svake kategorije potrebno u projektni prijedlog uključiti po jednu aktivnost, ukupno 3 aktivnosti.</w:t>
            </w:r>
          </w:p>
          <w:p w:rsidR="00501448" w:rsidRPr="008632BF" w:rsidRDefault="00501448" w:rsidP="00A25A4B">
            <w:pPr>
              <w:contextualSpacing/>
              <w:jc w:val="both"/>
              <w:rPr>
                <w:sz w:val="22"/>
                <w:szCs w:val="22"/>
                <w:lang w:val="hr-HR"/>
              </w:rPr>
            </w:pPr>
          </w:p>
          <w:p w:rsidR="00501448" w:rsidRPr="008632BF" w:rsidRDefault="00501448" w:rsidP="00A25A4B">
            <w:pPr>
              <w:jc w:val="both"/>
              <w:rPr>
                <w:sz w:val="22"/>
                <w:szCs w:val="22"/>
                <w:lang w:val="hr-HR"/>
              </w:rPr>
            </w:pPr>
            <w:r w:rsidRPr="008632BF">
              <w:rPr>
                <w:sz w:val="22"/>
                <w:szCs w:val="22"/>
                <w:lang w:val="hr-HR"/>
              </w:rPr>
              <w:t>U okviru dokumentacije Poziva nalazi se prilog 11 Horizontalne politike koji prijaviteljima može pomoći pri osmišljavanju aktivnosti, s napomenom da propisani zakonski minimum ne predstavlja dodatne aktivnosti u spomenute tri kategorije.</w:t>
            </w:r>
          </w:p>
        </w:tc>
      </w:tr>
      <w:tr w:rsidR="00501448" w:rsidRPr="00F1525B" w:rsidTr="00192D6D">
        <w:tblPrEx>
          <w:jc w:val="center"/>
        </w:tblPrEx>
        <w:trPr>
          <w:jc w:val="center"/>
        </w:trPr>
        <w:tc>
          <w:tcPr>
            <w:tcW w:w="851" w:type="dxa"/>
            <w:vAlign w:val="center"/>
          </w:tcPr>
          <w:p w:rsidR="00501448" w:rsidRPr="008632BF" w:rsidRDefault="00453C79" w:rsidP="00453C79">
            <w:pPr>
              <w:jc w:val="center"/>
              <w:rPr>
                <w:b/>
                <w:sz w:val="22"/>
                <w:szCs w:val="22"/>
              </w:rPr>
            </w:pPr>
            <w:r w:rsidRPr="008632BF">
              <w:rPr>
                <w:b/>
                <w:sz w:val="22"/>
                <w:szCs w:val="22"/>
              </w:rPr>
              <w:lastRenderedPageBreak/>
              <w:t>13.</w:t>
            </w:r>
          </w:p>
        </w:tc>
        <w:tc>
          <w:tcPr>
            <w:tcW w:w="6092" w:type="dxa"/>
          </w:tcPr>
          <w:p w:rsidR="00501448" w:rsidRPr="008632BF" w:rsidRDefault="00501448" w:rsidP="00A25A4B">
            <w:pPr>
              <w:jc w:val="both"/>
              <w:rPr>
                <w:sz w:val="22"/>
                <w:szCs w:val="22"/>
                <w:lang w:val="hr-HR"/>
              </w:rPr>
            </w:pPr>
            <w:r w:rsidRPr="008632BF">
              <w:rPr>
                <w:sz w:val="22"/>
                <w:szCs w:val="22"/>
                <w:lang w:val="hr-HR"/>
              </w:rPr>
              <w:t xml:space="preserve">S obzirom da u našem slučaju namjeravamo graditi novu zgradu u krugu naše bolnice koja će objedinjavati i hitnu zdravstvenu zaštitu (prizemlje zgrade) i dnevne bolnice/dnevnu kirurgiju (kat zgrade), molimo pojašnjenje je li moguće sklopiti samo jedan ugovor s izvođačem radova i samo jedan ugovor s nadzornim inženjerom, a koji bi se sufinancirali temeljem dva ugovora o dodjeli bespovratnih sredstava (pod uvjetom da su unutar ugovora za radove i usluge nadzora jasno razdvojeni troškovi za svaki od projekata). </w:t>
            </w:r>
          </w:p>
          <w:p w:rsidR="00501448" w:rsidRPr="008632BF" w:rsidRDefault="00501448" w:rsidP="00A25A4B">
            <w:pPr>
              <w:jc w:val="both"/>
              <w:rPr>
                <w:sz w:val="22"/>
                <w:szCs w:val="22"/>
                <w:lang w:val="hr-HR"/>
              </w:rPr>
            </w:pPr>
          </w:p>
          <w:p w:rsidR="00501448" w:rsidRPr="008632BF" w:rsidRDefault="00501448" w:rsidP="00A25A4B">
            <w:pPr>
              <w:jc w:val="both"/>
              <w:rPr>
                <w:sz w:val="22"/>
                <w:szCs w:val="22"/>
                <w:lang w:val="hr-HR"/>
              </w:rPr>
            </w:pPr>
            <w:r w:rsidRPr="008632BF">
              <w:rPr>
                <w:sz w:val="22"/>
                <w:szCs w:val="22"/>
                <w:lang w:val="hr-HR"/>
              </w:rPr>
              <w:t>Također, s obzirom na spomenutu situaciju, molimo pojašnjenje je li moguće sklopiti samo jedan ugovor s jednim pružateljem usluge koja bi objedinjavala pripremu projekta i upravljanje za oba projekta (Poboljšanje pristupa hitnoj zdravstvenoj zaštiti i Poboljšanje isplativosti  i pristupa dnevnim bolnicama i/ili dnevnim kirurgijama), tj. koji bi se sufinancirao temeljem dva Ugovora o dodjeli bespovratnih sredstva (pod uvjetom da su unutar ugovora o pružanju usluga jasno razdvojeni troškovi za svaki od projekata).</w:t>
            </w:r>
          </w:p>
        </w:tc>
        <w:tc>
          <w:tcPr>
            <w:tcW w:w="6949" w:type="dxa"/>
          </w:tcPr>
          <w:p w:rsidR="00501448" w:rsidRPr="008632BF" w:rsidRDefault="00501448" w:rsidP="00A25A4B">
            <w:pPr>
              <w:jc w:val="both"/>
              <w:rPr>
                <w:sz w:val="22"/>
                <w:szCs w:val="22"/>
                <w:lang w:val="hr-HR"/>
              </w:rPr>
            </w:pPr>
            <w:r w:rsidRPr="008632BF">
              <w:rPr>
                <w:sz w:val="22"/>
                <w:szCs w:val="22"/>
                <w:lang w:val="hr-HR"/>
              </w:rPr>
              <w:t xml:space="preserve">Jedan od osnovnih uvjeta prihvatljivosti izdataka jest  taj da isti mora biti usklađen s odredbama članka 65. stavka 11. Uredbe (EU) br. 1303/2013 koje se odnose na zabranu dvostrukog financiranja iz drugog financijskog instrumenta Europske unije te dvostrukog financiranja iz bilo kojeg drugog izvora osim vlastitih sredstava Prijavitelja. </w:t>
            </w:r>
          </w:p>
          <w:p w:rsidR="00501448" w:rsidRPr="008632BF" w:rsidRDefault="00501448" w:rsidP="00A25A4B">
            <w:pPr>
              <w:jc w:val="both"/>
              <w:rPr>
                <w:color w:val="FF0000"/>
                <w:sz w:val="22"/>
                <w:szCs w:val="22"/>
                <w:lang w:val="hr-HR"/>
              </w:rPr>
            </w:pPr>
          </w:p>
          <w:p w:rsidR="00501448" w:rsidRPr="008632BF" w:rsidRDefault="00501448" w:rsidP="00A25A4B">
            <w:pPr>
              <w:jc w:val="both"/>
              <w:rPr>
                <w:sz w:val="22"/>
                <w:szCs w:val="22"/>
                <w:lang w:val="hr-HR"/>
              </w:rPr>
            </w:pPr>
            <w:r w:rsidRPr="008632BF">
              <w:rPr>
                <w:sz w:val="22"/>
                <w:szCs w:val="22"/>
                <w:lang w:val="hr-HR"/>
              </w:rPr>
              <w:t xml:space="preserve">Moguće je sklopiti samo jedan ugovor s izvođačem radova te jedan ugovor za nadzor radova no pri objavi javne nabave za navedene aktivnosti potrebno je jasno razdvojiti pripadajuće troškove  u okviru dva zasebna projekta kako bi se osiguralo izbjegavanje dvostrukog financiranja. Nadalje, na ovaj način prijavitelj osigurava cjelovitost predmeta nabave, odnosno ne dijeli vrijednost radova ili određene količine robe i/ili usluga s namjerom izbjegavanja primjene </w:t>
            </w:r>
            <w:r w:rsidRPr="008632BF">
              <w:rPr>
                <w:i/>
                <w:sz w:val="22"/>
                <w:szCs w:val="22"/>
                <w:lang w:val="hr-HR"/>
              </w:rPr>
              <w:t>Zakona o javnoj nabavi</w:t>
            </w:r>
            <w:r w:rsidRPr="008632BF">
              <w:rPr>
                <w:sz w:val="22"/>
                <w:szCs w:val="22"/>
                <w:lang w:val="hr-HR"/>
              </w:rPr>
              <w:t xml:space="preserve"> ili pravila koja vrijede prema procijenjenoj vrijednosti nabave.</w:t>
            </w:r>
          </w:p>
          <w:p w:rsidR="00501448" w:rsidRPr="008632BF" w:rsidRDefault="00501448" w:rsidP="00A25A4B">
            <w:pPr>
              <w:jc w:val="both"/>
              <w:rPr>
                <w:sz w:val="22"/>
                <w:szCs w:val="22"/>
                <w:lang w:val="hr-HR"/>
              </w:rPr>
            </w:pPr>
          </w:p>
          <w:p w:rsidR="00501448" w:rsidRPr="008632BF" w:rsidRDefault="00501448" w:rsidP="00A25A4B">
            <w:pPr>
              <w:jc w:val="both"/>
              <w:rPr>
                <w:sz w:val="22"/>
                <w:szCs w:val="22"/>
                <w:lang w:val="hr-HR"/>
              </w:rPr>
            </w:pPr>
            <w:r w:rsidRPr="008632BF">
              <w:rPr>
                <w:sz w:val="22"/>
                <w:szCs w:val="22"/>
                <w:lang w:val="hr-HR"/>
              </w:rPr>
              <w:t xml:space="preserve">Obzirom na to da nadoknada sredstava temeljem opisanih ugovora o nabavi ovisi ponajprije o postupku odabira projekata u okviru dva Poziva (te provjeri prihvatljivosti izdataka tijekom provedbe projekata), svakako postoji rizik da </w:t>
            </w:r>
            <w:r w:rsidRPr="008632BF">
              <w:rPr>
                <w:sz w:val="22"/>
                <w:szCs w:val="22"/>
                <w:lang w:val="hr-HR"/>
              </w:rPr>
              <w:lastRenderedPageBreak/>
              <w:t>prijavitelju u konačnici neće biti dodijeljena sredstva za oba predložena projekta što može imati za posljedicu financiranje samo dijela troškova.</w:t>
            </w:r>
          </w:p>
          <w:p w:rsidR="00501448" w:rsidRPr="008632BF" w:rsidRDefault="00501448" w:rsidP="007674AA">
            <w:pPr>
              <w:jc w:val="both"/>
              <w:rPr>
                <w:color w:val="FF0000"/>
                <w:sz w:val="22"/>
                <w:szCs w:val="22"/>
                <w:lang w:val="hr-HR"/>
              </w:rPr>
            </w:pPr>
          </w:p>
          <w:p w:rsidR="00501448" w:rsidRPr="008632BF" w:rsidRDefault="00501448" w:rsidP="0052506E">
            <w:pPr>
              <w:jc w:val="both"/>
              <w:rPr>
                <w:sz w:val="22"/>
                <w:szCs w:val="22"/>
                <w:lang w:val="hr-HR"/>
              </w:rPr>
            </w:pPr>
            <w:r w:rsidRPr="008632BF">
              <w:rPr>
                <w:sz w:val="22"/>
                <w:szCs w:val="22"/>
                <w:lang w:val="hr-HR"/>
              </w:rPr>
              <w:t>Vezano za drugi dio pitanja, na jednaki način kako je objašnjeno gore, moguće je provesti objedinjeni postupak javne nabave za usluge upravljanja za oba navedena projekta s time da je u natječaju potrebno jasno razdvojiti pripadajuće troškove  u okviru dva zasebna projekta (vodeći računa o uvjetima svakog pojedinog poziva) kako bi se osiguralo izbjegavanje dvostrukog financiranja.</w:t>
            </w:r>
          </w:p>
        </w:tc>
      </w:tr>
      <w:tr w:rsidR="00192D6D" w:rsidRPr="008A3AFD" w:rsidTr="00316652">
        <w:trPr>
          <w:trHeight w:val="433"/>
        </w:trPr>
        <w:tc>
          <w:tcPr>
            <w:tcW w:w="851" w:type="dxa"/>
            <w:shd w:val="clear" w:color="auto" w:fill="538135" w:themeFill="accent6" w:themeFillShade="BF"/>
          </w:tcPr>
          <w:p w:rsidR="00192D6D" w:rsidRPr="008632BF" w:rsidRDefault="00192D6D" w:rsidP="00316652">
            <w:pPr>
              <w:jc w:val="center"/>
              <w:rPr>
                <w:b/>
                <w:sz w:val="22"/>
                <w:szCs w:val="22"/>
                <w:lang w:val="hr-HR"/>
              </w:rPr>
            </w:pPr>
            <w:r w:rsidRPr="008632BF">
              <w:rPr>
                <w:b/>
                <w:color w:val="FFFFFF" w:themeColor="background1"/>
                <w:sz w:val="22"/>
                <w:szCs w:val="22"/>
                <w:lang w:val="hr-HR"/>
              </w:rPr>
              <w:lastRenderedPageBreak/>
              <w:t>RB</w:t>
            </w:r>
          </w:p>
        </w:tc>
        <w:tc>
          <w:tcPr>
            <w:tcW w:w="6092" w:type="dxa"/>
            <w:shd w:val="clear" w:color="auto" w:fill="538135" w:themeFill="accent6" w:themeFillShade="BF"/>
          </w:tcPr>
          <w:p w:rsidR="00192D6D" w:rsidRPr="008632BF" w:rsidRDefault="00192D6D" w:rsidP="00316652">
            <w:pPr>
              <w:rPr>
                <w:b/>
                <w:color w:val="FFFFFF" w:themeColor="background1"/>
                <w:sz w:val="22"/>
                <w:szCs w:val="22"/>
                <w:lang w:val="hr-HR"/>
              </w:rPr>
            </w:pPr>
            <w:r w:rsidRPr="008632BF">
              <w:rPr>
                <w:b/>
                <w:color w:val="FFFFFF" w:themeColor="background1"/>
                <w:sz w:val="22"/>
                <w:szCs w:val="22"/>
                <w:lang w:val="hr-HR"/>
              </w:rPr>
              <w:t>DATUM ZAPRIMANJA PITANJA: 9. kolovoza 2016.</w:t>
            </w:r>
          </w:p>
        </w:tc>
        <w:tc>
          <w:tcPr>
            <w:tcW w:w="6949" w:type="dxa"/>
            <w:shd w:val="clear" w:color="auto" w:fill="538135" w:themeFill="accent6" w:themeFillShade="BF"/>
          </w:tcPr>
          <w:p w:rsidR="00192D6D" w:rsidRPr="008632BF" w:rsidRDefault="00192D6D" w:rsidP="00316652">
            <w:pPr>
              <w:rPr>
                <w:b/>
                <w:sz w:val="22"/>
                <w:szCs w:val="22"/>
                <w:lang w:val="hr-HR"/>
              </w:rPr>
            </w:pPr>
            <w:r w:rsidRPr="008632BF">
              <w:rPr>
                <w:b/>
                <w:color w:val="FFFFFF" w:themeColor="background1"/>
                <w:sz w:val="22"/>
                <w:szCs w:val="22"/>
                <w:lang w:val="hr-HR"/>
              </w:rPr>
              <w:t xml:space="preserve">DATUM ODGOVORA NA PITANJE: </w:t>
            </w:r>
          </w:p>
        </w:tc>
      </w:tr>
      <w:tr w:rsidR="00501448" w:rsidRPr="00F1525B" w:rsidTr="00192D6D">
        <w:tblPrEx>
          <w:jc w:val="center"/>
        </w:tblPrEx>
        <w:trPr>
          <w:jc w:val="center"/>
        </w:trPr>
        <w:tc>
          <w:tcPr>
            <w:tcW w:w="851" w:type="dxa"/>
            <w:vAlign w:val="center"/>
          </w:tcPr>
          <w:p w:rsidR="00501448" w:rsidRPr="008632BF" w:rsidRDefault="00453C79" w:rsidP="00453C79">
            <w:pPr>
              <w:jc w:val="center"/>
              <w:rPr>
                <w:b/>
                <w:sz w:val="22"/>
                <w:szCs w:val="22"/>
              </w:rPr>
            </w:pPr>
            <w:r w:rsidRPr="008632BF">
              <w:rPr>
                <w:b/>
                <w:sz w:val="22"/>
                <w:szCs w:val="22"/>
              </w:rPr>
              <w:t>14.</w:t>
            </w:r>
          </w:p>
        </w:tc>
        <w:tc>
          <w:tcPr>
            <w:tcW w:w="6092" w:type="dxa"/>
          </w:tcPr>
          <w:p w:rsidR="00501448" w:rsidRPr="008632BF" w:rsidRDefault="00501448" w:rsidP="00A25A4B">
            <w:pPr>
              <w:jc w:val="both"/>
              <w:rPr>
                <w:sz w:val="22"/>
                <w:szCs w:val="22"/>
                <w:lang w:val="hr-HR"/>
              </w:rPr>
            </w:pPr>
            <w:r w:rsidRPr="008632BF">
              <w:rPr>
                <w:sz w:val="22"/>
                <w:szCs w:val="22"/>
                <w:lang w:val="hr-HR"/>
              </w:rPr>
              <w:t xml:space="preserve">Poštovani, nastavno na vaš odgovor objavljen  4 kolovoza 2016. godine pod rednim brojem 2., molimo dodatno pojašnjenje vezano uz prihvatljivost izdatka za pripremu projektnog prijedloga. </w:t>
            </w:r>
          </w:p>
          <w:p w:rsidR="00501448" w:rsidRPr="008632BF" w:rsidRDefault="00501448" w:rsidP="00A25A4B">
            <w:pPr>
              <w:ind w:left="284"/>
              <w:jc w:val="both"/>
              <w:rPr>
                <w:sz w:val="22"/>
                <w:szCs w:val="22"/>
                <w:lang w:val="hr-HR"/>
              </w:rPr>
            </w:pPr>
          </w:p>
          <w:p w:rsidR="00501448" w:rsidRPr="008632BF" w:rsidRDefault="00501448" w:rsidP="00A25A4B">
            <w:pPr>
              <w:jc w:val="both"/>
              <w:rPr>
                <w:sz w:val="22"/>
                <w:szCs w:val="22"/>
                <w:lang w:val="hr-HR"/>
              </w:rPr>
            </w:pPr>
            <w:r w:rsidRPr="008632BF">
              <w:rPr>
                <w:sz w:val="22"/>
                <w:szCs w:val="22"/>
                <w:lang w:val="hr-HR"/>
              </w:rPr>
              <w:t>Naime, u spomenutom odgovoru navedeno je kako spomenuti izdatka nije prihvatljiv, izuzev:</w:t>
            </w:r>
          </w:p>
          <w:p w:rsidR="00501448" w:rsidRPr="008632BF" w:rsidRDefault="00501448" w:rsidP="00A25A4B">
            <w:pPr>
              <w:ind w:left="284"/>
              <w:jc w:val="both"/>
              <w:rPr>
                <w:sz w:val="22"/>
                <w:szCs w:val="22"/>
                <w:lang w:val="hr-HR"/>
              </w:rPr>
            </w:pPr>
          </w:p>
          <w:p w:rsidR="00501448" w:rsidRPr="008632BF" w:rsidRDefault="00501448" w:rsidP="00453C79">
            <w:pPr>
              <w:pStyle w:val="ListParagraph"/>
              <w:numPr>
                <w:ilvl w:val="0"/>
                <w:numId w:val="2"/>
              </w:numPr>
              <w:ind w:left="175" w:hanging="141"/>
              <w:contextualSpacing w:val="0"/>
              <w:jc w:val="both"/>
              <w:rPr>
                <w:i/>
                <w:sz w:val="22"/>
                <w:szCs w:val="22"/>
                <w:lang w:val="hr-HR"/>
              </w:rPr>
            </w:pPr>
            <w:r w:rsidRPr="008632BF">
              <w:rPr>
                <w:i/>
                <w:sz w:val="22"/>
                <w:szCs w:val="22"/>
                <w:lang w:val="hr-HR"/>
              </w:rPr>
              <w:t>„izdataka</w:t>
            </w:r>
            <w:r w:rsidRPr="008632BF">
              <w:rPr>
                <w:i/>
                <w:sz w:val="22"/>
                <w:szCs w:val="22"/>
                <w:lang w:val="hr-HR" w:eastAsia="lt-LT"/>
              </w:rPr>
              <w:t xml:space="preserve"> za stručne usluge za izradu studije izvedivosti, analize troškova i koristi; projektne dokumentacije (npr. projekt rušenja, geodetski projekt, idejni projekt, glavni i izvedbeni projekt i sl. te izdaci povezani s ishođenjem potrebnih dozvola za građenje) i revizije tehničke dokumentacije (npr. građevinskog projekta i sl.) u okviru Poziva za poboljšanje isplativosti i pristupa dnevnim bolnicama i/ili dnevnim kirurgijama (KK.08.1.2.03) te</w:t>
            </w:r>
          </w:p>
          <w:p w:rsidR="00501448" w:rsidRPr="008632BF" w:rsidRDefault="00501448" w:rsidP="00453C79">
            <w:pPr>
              <w:pStyle w:val="ListParagraph"/>
              <w:numPr>
                <w:ilvl w:val="0"/>
                <w:numId w:val="2"/>
              </w:numPr>
              <w:ind w:left="175" w:hanging="141"/>
              <w:contextualSpacing w:val="0"/>
              <w:jc w:val="both"/>
              <w:rPr>
                <w:i/>
                <w:sz w:val="22"/>
                <w:szCs w:val="22"/>
                <w:lang w:val="hr-HR" w:eastAsia="lt-LT"/>
              </w:rPr>
            </w:pPr>
            <w:r w:rsidRPr="008632BF">
              <w:rPr>
                <w:i/>
                <w:sz w:val="22"/>
                <w:szCs w:val="22"/>
                <w:lang w:val="hr-HR" w:eastAsia="lt-LT"/>
              </w:rPr>
              <w:t>izdataka za izradu projektno-tehničke dokumentacije i reviziju tehničke dokumentacije u okviru Poziva za poboljšanje pristupa hitnoj zdravstvenoj zaštiti (KK.08.1.1.03)“</w:t>
            </w:r>
          </w:p>
          <w:p w:rsidR="00501448" w:rsidRPr="008632BF" w:rsidRDefault="00501448" w:rsidP="00A25A4B">
            <w:pPr>
              <w:jc w:val="both"/>
              <w:rPr>
                <w:i/>
                <w:iCs/>
                <w:sz w:val="22"/>
                <w:szCs w:val="22"/>
                <w:lang w:val="hr-HR"/>
              </w:rPr>
            </w:pPr>
            <w:r w:rsidRPr="008632BF">
              <w:rPr>
                <w:sz w:val="22"/>
                <w:szCs w:val="22"/>
                <w:lang w:val="hr-HR"/>
              </w:rPr>
              <w:t>Neupitno je da  je u pozivu referentna oznaka: KK.08.1.1.03 kao prihvatljiv trošak navedena izrada „</w:t>
            </w:r>
            <w:r w:rsidRPr="008632BF">
              <w:rPr>
                <w:i/>
                <w:iCs/>
                <w:sz w:val="22"/>
                <w:szCs w:val="22"/>
                <w:lang w:val="hr-HR"/>
              </w:rPr>
              <w:t xml:space="preserve">projektno tehničke dokumentacije (npr. studije izvedivosti s analizom troškova i koristi te građevinsko/arhitektonskih projekata i ostale dokumentacije potrebne za građenje uključujući ishođenje potrebnih dozvola za građenje, revizije tehničke dokumentacije i sl.).“ </w:t>
            </w:r>
          </w:p>
          <w:p w:rsidR="00501448" w:rsidRPr="008632BF" w:rsidRDefault="00501448" w:rsidP="00A25A4B">
            <w:pPr>
              <w:ind w:left="284" w:hanging="426"/>
              <w:jc w:val="both"/>
              <w:rPr>
                <w:i/>
                <w:iCs/>
                <w:sz w:val="22"/>
                <w:szCs w:val="22"/>
                <w:lang w:val="hr-HR"/>
              </w:rPr>
            </w:pPr>
          </w:p>
          <w:p w:rsidR="00501448" w:rsidRPr="008632BF" w:rsidRDefault="00501448" w:rsidP="00A25A4B">
            <w:pPr>
              <w:jc w:val="both"/>
              <w:rPr>
                <w:sz w:val="22"/>
                <w:szCs w:val="22"/>
                <w:lang w:val="hr-HR"/>
              </w:rPr>
            </w:pPr>
            <w:r w:rsidRPr="008632BF">
              <w:rPr>
                <w:sz w:val="22"/>
                <w:szCs w:val="22"/>
                <w:lang w:val="hr-HR"/>
              </w:rPr>
              <w:t xml:space="preserve">No, u točki 2.7. Uputa za prijavitelje također je navedeno da popis prihvatljivih aktivnosti </w:t>
            </w:r>
            <w:r w:rsidRPr="008632BF">
              <w:rPr>
                <w:sz w:val="22"/>
                <w:szCs w:val="22"/>
                <w:u w:val="single"/>
                <w:lang w:val="hr-HR"/>
              </w:rPr>
              <w:t xml:space="preserve">ne predstavlja iscrpnu listu </w:t>
            </w:r>
            <w:r w:rsidRPr="008632BF">
              <w:rPr>
                <w:sz w:val="22"/>
                <w:szCs w:val="22"/>
                <w:lang w:val="hr-HR"/>
              </w:rPr>
              <w:t xml:space="preserve">(na isti način se zaključuje i da popis gore navedene dokumentacije kao dio projektno tehničke dokumentacije nije iscrpan, tim više što su navedeni </w:t>
            </w:r>
            <w:r w:rsidRPr="008632BF">
              <w:rPr>
                <w:b/>
                <w:sz w:val="22"/>
                <w:szCs w:val="22"/>
                <w:lang w:val="hr-HR"/>
              </w:rPr>
              <w:t xml:space="preserve">primjeri </w:t>
            </w:r>
            <w:r w:rsidRPr="008632BF">
              <w:rPr>
                <w:sz w:val="22"/>
                <w:szCs w:val="22"/>
                <w:lang w:val="hr-HR"/>
              </w:rPr>
              <w:t>dokumentacije te što popis završava kraticom „</w:t>
            </w:r>
            <w:r w:rsidRPr="008632BF">
              <w:rPr>
                <w:i/>
                <w:iCs/>
                <w:sz w:val="22"/>
                <w:szCs w:val="22"/>
                <w:lang w:val="hr-HR"/>
              </w:rPr>
              <w:t>i sl</w:t>
            </w:r>
            <w:r w:rsidRPr="008632BF">
              <w:rPr>
                <w:sz w:val="22"/>
                <w:szCs w:val="22"/>
                <w:lang w:val="hr-HR"/>
              </w:rPr>
              <w:t xml:space="preserve">.“), već </w:t>
            </w:r>
            <w:r w:rsidRPr="008632BF">
              <w:rPr>
                <w:sz w:val="22"/>
                <w:szCs w:val="22"/>
                <w:u w:val="single"/>
                <w:lang w:val="hr-HR"/>
              </w:rPr>
              <w:t>može</w:t>
            </w:r>
            <w:r w:rsidRPr="008632BF">
              <w:rPr>
                <w:sz w:val="22"/>
                <w:szCs w:val="22"/>
                <w:lang w:val="hr-HR"/>
              </w:rPr>
              <w:t xml:space="preserve"> uključivati i </w:t>
            </w:r>
            <w:r w:rsidRPr="008632BF">
              <w:rPr>
                <w:sz w:val="22"/>
                <w:szCs w:val="22"/>
                <w:u w:val="single"/>
                <w:lang w:val="hr-HR"/>
              </w:rPr>
              <w:t>sve ostale aktivnosti i dokumentaciju potrebnu za izvođenje/realizaciju projekata</w:t>
            </w:r>
            <w:r w:rsidRPr="008632BF">
              <w:rPr>
                <w:sz w:val="22"/>
                <w:szCs w:val="22"/>
                <w:lang w:val="hr-HR"/>
              </w:rPr>
              <w:t xml:space="preserve">, a koje </w:t>
            </w:r>
            <w:r w:rsidRPr="008632BF">
              <w:rPr>
                <w:sz w:val="22"/>
                <w:szCs w:val="22"/>
                <w:u w:val="single"/>
                <w:lang w:val="hr-HR"/>
              </w:rPr>
              <w:t>nisu neprihvatljive</w:t>
            </w:r>
            <w:r w:rsidRPr="008632BF">
              <w:rPr>
                <w:sz w:val="22"/>
                <w:szCs w:val="22"/>
                <w:lang w:val="hr-HR"/>
              </w:rPr>
              <w:t xml:space="preserve"> sukladno popisu neprihvatljivih izdataka navedenih u točki 3.1.5. Uputa za prijavitelje</w:t>
            </w:r>
          </w:p>
          <w:p w:rsidR="00501448" w:rsidRPr="008632BF" w:rsidRDefault="00501448" w:rsidP="00A25A4B">
            <w:pPr>
              <w:ind w:left="284" w:hanging="426"/>
              <w:jc w:val="both"/>
              <w:rPr>
                <w:sz w:val="22"/>
                <w:szCs w:val="22"/>
                <w:lang w:val="hr-HR"/>
              </w:rPr>
            </w:pPr>
          </w:p>
          <w:p w:rsidR="00501448" w:rsidRPr="008632BF" w:rsidRDefault="00501448" w:rsidP="00A25A4B">
            <w:pPr>
              <w:jc w:val="both"/>
              <w:rPr>
                <w:sz w:val="22"/>
                <w:szCs w:val="22"/>
                <w:lang w:val="hr-HR"/>
              </w:rPr>
            </w:pPr>
            <w:r w:rsidRPr="008632BF">
              <w:rPr>
                <w:sz w:val="22"/>
                <w:szCs w:val="22"/>
                <w:lang w:val="hr-HR"/>
              </w:rPr>
              <w:t xml:space="preserve">Kako u popisu neprihvatljivih troškova u točki 2.1.5. Uputa za prijavitelje </w:t>
            </w:r>
            <w:r w:rsidRPr="008632BF">
              <w:rPr>
                <w:sz w:val="22"/>
                <w:szCs w:val="22"/>
                <w:u w:val="single"/>
                <w:lang w:val="hr-HR"/>
              </w:rPr>
              <w:t>nije naveden izdatak vezan uz pripremu projektnog prijedloga</w:t>
            </w:r>
            <w:r w:rsidRPr="008632BF">
              <w:rPr>
                <w:sz w:val="22"/>
                <w:szCs w:val="22"/>
                <w:lang w:val="hr-HR"/>
              </w:rPr>
              <w:t>, molimo dodatno pojašnjenje u tom smislu kao i izmjenu poziva na način da se spomenuti trošak uvrsti na popis prihvatljivih izdataka.</w:t>
            </w:r>
          </w:p>
        </w:tc>
        <w:tc>
          <w:tcPr>
            <w:tcW w:w="6949" w:type="dxa"/>
          </w:tcPr>
          <w:p w:rsidR="00501448" w:rsidRPr="008632BF" w:rsidRDefault="00501448" w:rsidP="007674AA">
            <w:pPr>
              <w:jc w:val="both"/>
              <w:rPr>
                <w:sz w:val="22"/>
                <w:szCs w:val="22"/>
                <w:lang w:val="hr-HR"/>
              </w:rPr>
            </w:pPr>
            <w:r w:rsidRPr="008632BF">
              <w:rPr>
                <w:b/>
                <w:sz w:val="22"/>
                <w:szCs w:val="22"/>
                <w:lang w:val="hr-HR"/>
              </w:rPr>
              <w:lastRenderedPageBreak/>
              <w:t>Slijedom zaprimljenih dodatnih pitanja te detaljnom analizom Uputa za prijavitelje, zaključeno je da je priprema projektnog prijedloga prihvatljiva aktivnost / trošak  unutar aktivnosti upravljanja projektom. Skrećemo pažnju na postavljena ograničenja za troškove upravljanja projektom.</w:t>
            </w:r>
          </w:p>
          <w:p w:rsidR="00501448" w:rsidRPr="008632BF" w:rsidRDefault="00501448" w:rsidP="00A25A4B">
            <w:pPr>
              <w:jc w:val="both"/>
              <w:rPr>
                <w:color w:val="FF0000"/>
                <w:sz w:val="22"/>
                <w:szCs w:val="22"/>
                <w:lang w:val="hr-HR"/>
              </w:rPr>
            </w:pPr>
          </w:p>
          <w:p w:rsidR="00501448" w:rsidRPr="008632BF" w:rsidRDefault="00501448" w:rsidP="003C1EB0">
            <w:pPr>
              <w:jc w:val="both"/>
              <w:rPr>
                <w:sz w:val="22"/>
                <w:szCs w:val="22"/>
                <w:lang w:val="hr-HR"/>
              </w:rPr>
            </w:pPr>
            <w:r w:rsidRPr="008632BF">
              <w:rPr>
                <w:sz w:val="22"/>
                <w:szCs w:val="22"/>
                <w:lang w:val="hr-HR"/>
              </w:rPr>
              <w:t xml:space="preserve">Dodatno, kod podnošenja projektnih prijedloga i tijekom provedbe projekata, korisnici se moraju pridržavati Zakona o javnoj nabavi (NN 90/11, 83/13, 143/13, 13/14). Troškovi projekata nastali temeljem provedenih postupaka nabave mogu biti prihvatljivi samo pod uvjetom da je nabava provedena u skladu sa svim načelima i pravilima Zakona o javnoj nabavi (primjenjivim u trenutku pokretanja postupka javne nabave). </w:t>
            </w:r>
          </w:p>
          <w:p w:rsidR="00501448" w:rsidRPr="008632BF" w:rsidRDefault="00501448" w:rsidP="003C1EB0">
            <w:pPr>
              <w:jc w:val="both"/>
              <w:rPr>
                <w:sz w:val="22"/>
                <w:szCs w:val="22"/>
                <w:lang w:val="hr-HR"/>
              </w:rPr>
            </w:pPr>
          </w:p>
          <w:p w:rsidR="00501448" w:rsidRPr="008632BF" w:rsidRDefault="00501448" w:rsidP="003C1EB0">
            <w:pPr>
              <w:jc w:val="both"/>
              <w:rPr>
                <w:sz w:val="22"/>
                <w:szCs w:val="22"/>
                <w:lang w:val="hr-HR"/>
              </w:rPr>
            </w:pPr>
            <w:r w:rsidRPr="008632BF">
              <w:rPr>
                <w:sz w:val="22"/>
                <w:szCs w:val="22"/>
                <w:lang w:val="hr-HR"/>
              </w:rPr>
              <w:t>Svi postupci nabave provedeni u okviru prijavljenog projekta, a prije datuma stupanja na snagu Ugovora o dodjeli bespovratnih sredstva također moraju biti provedeni u skladu sa Zakonom o javnoj nabavi (primjenjivim u trenutku pokretanja postupka javne nabave), kako bi se mogli smatrati prihvatljivim. SAFU (PT2) će provoditi proceduru ex-post kontrole (provjera nakon provođenja postupka nabave) postupaka javne nabave prema uzorku.</w:t>
            </w:r>
          </w:p>
          <w:p w:rsidR="00501448" w:rsidRPr="008632BF" w:rsidRDefault="00501448" w:rsidP="003C1EB0">
            <w:pPr>
              <w:jc w:val="both"/>
              <w:rPr>
                <w:sz w:val="22"/>
                <w:szCs w:val="22"/>
                <w:lang w:val="hr-HR"/>
              </w:rPr>
            </w:pPr>
          </w:p>
          <w:p w:rsidR="00501448" w:rsidRPr="008632BF" w:rsidRDefault="00501448" w:rsidP="003C1EB0">
            <w:pPr>
              <w:jc w:val="both"/>
              <w:rPr>
                <w:sz w:val="22"/>
                <w:szCs w:val="22"/>
                <w:lang w:val="hr-HR"/>
              </w:rPr>
            </w:pPr>
            <w:r w:rsidRPr="008632BF">
              <w:rPr>
                <w:sz w:val="22"/>
                <w:szCs w:val="22"/>
                <w:lang w:val="hr-HR"/>
              </w:rPr>
              <w:t>Kod postupaka nabava gdje je utvrđeno postupanje koje nije usklađeno s načelima i pravilima Zakona o javnoj nabavi, SAFU (PT2) može donijeti odluku o financijskim korekcijama.</w:t>
            </w:r>
          </w:p>
        </w:tc>
      </w:tr>
      <w:tr w:rsidR="00501448" w:rsidRPr="00F1525B" w:rsidTr="00192D6D">
        <w:tblPrEx>
          <w:jc w:val="center"/>
        </w:tblPrEx>
        <w:trPr>
          <w:jc w:val="center"/>
        </w:trPr>
        <w:tc>
          <w:tcPr>
            <w:tcW w:w="851" w:type="dxa"/>
            <w:vAlign w:val="center"/>
          </w:tcPr>
          <w:p w:rsidR="00501448" w:rsidRPr="008632BF" w:rsidRDefault="00453C79" w:rsidP="00453C79">
            <w:pPr>
              <w:jc w:val="center"/>
              <w:rPr>
                <w:b/>
                <w:sz w:val="22"/>
                <w:szCs w:val="22"/>
              </w:rPr>
            </w:pPr>
            <w:r w:rsidRPr="008632BF">
              <w:rPr>
                <w:b/>
                <w:sz w:val="22"/>
                <w:szCs w:val="22"/>
              </w:rPr>
              <w:t>15.</w:t>
            </w:r>
          </w:p>
        </w:tc>
        <w:tc>
          <w:tcPr>
            <w:tcW w:w="6092" w:type="dxa"/>
          </w:tcPr>
          <w:p w:rsidR="00501448" w:rsidRPr="008632BF" w:rsidRDefault="00F2097B" w:rsidP="00A25A4B">
            <w:pPr>
              <w:jc w:val="both"/>
              <w:rPr>
                <w:sz w:val="22"/>
                <w:szCs w:val="22"/>
                <w:lang w:val="hr-HR"/>
              </w:rPr>
            </w:pPr>
            <w:r w:rsidRPr="008632BF">
              <w:rPr>
                <w:sz w:val="22"/>
                <w:szCs w:val="22"/>
                <w:lang w:val="hr-HR"/>
              </w:rPr>
              <w:t>Nastavno na odgovor objavljen 4</w:t>
            </w:r>
            <w:r w:rsidR="00501448" w:rsidRPr="008632BF">
              <w:rPr>
                <w:sz w:val="22"/>
                <w:szCs w:val="22"/>
                <w:lang w:val="hr-HR"/>
              </w:rPr>
              <w:t xml:space="preserve">.kolovoza 2016. godine pod rednim brojem 3., molimo dodatno pojašnjenje vezano uz ograničenje od 15% od ukupnog iznosa prihvatljivih troškova projekta za troškove osoblja i troškove upravljanja projektom. </w:t>
            </w:r>
          </w:p>
          <w:p w:rsidR="00501448" w:rsidRPr="008632BF" w:rsidRDefault="00501448" w:rsidP="00A25A4B">
            <w:pPr>
              <w:pStyle w:val="ListParagraph"/>
              <w:ind w:left="284"/>
              <w:jc w:val="both"/>
              <w:rPr>
                <w:sz w:val="22"/>
                <w:szCs w:val="22"/>
                <w:lang w:val="hr-HR"/>
              </w:rPr>
            </w:pPr>
          </w:p>
          <w:p w:rsidR="00501448" w:rsidRPr="008632BF" w:rsidRDefault="00501448" w:rsidP="00A25A4B">
            <w:pPr>
              <w:jc w:val="both"/>
              <w:rPr>
                <w:sz w:val="22"/>
                <w:szCs w:val="22"/>
                <w:lang w:val="hr-HR"/>
              </w:rPr>
            </w:pPr>
            <w:r w:rsidRPr="008632BF">
              <w:rPr>
                <w:sz w:val="22"/>
                <w:szCs w:val="22"/>
                <w:lang w:val="hr-HR"/>
              </w:rPr>
              <w:t xml:space="preserve">Iz vašeg odgovora jasno je kako troškovi osoblja i troškovi upravljanja </w:t>
            </w:r>
            <w:r w:rsidRPr="008632BF">
              <w:rPr>
                <w:sz w:val="22"/>
                <w:szCs w:val="22"/>
                <w:u w:val="single"/>
                <w:lang w:val="hr-HR"/>
              </w:rPr>
              <w:t>smiju</w:t>
            </w:r>
            <w:r w:rsidRPr="008632BF">
              <w:rPr>
                <w:sz w:val="22"/>
                <w:szCs w:val="22"/>
                <w:lang w:val="hr-HR"/>
              </w:rPr>
              <w:t xml:space="preserve"> iznositi najviše do 15% od ukupnog iznosa prihvatljivih troškova projekta, pri čemu navodite kako </w:t>
            </w:r>
            <w:r w:rsidRPr="008632BF">
              <w:rPr>
                <w:sz w:val="22"/>
                <w:szCs w:val="22"/>
                <w:u w:val="single"/>
                <w:lang w:val="hr-HR"/>
              </w:rPr>
              <w:t>troškovi plaća osoblja nisu zasebno limitirani niti su troškovi upravljanja limitirani</w:t>
            </w:r>
            <w:r w:rsidRPr="008632BF">
              <w:rPr>
                <w:sz w:val="22"/>
                <w:szCs w:val="22"/>
                <w:lang w:val="hr-HR"/>
              </w:rPr>
              <w:t xml:space="preserve"> u odnosu na troškove osoblja (dakle, iznos troškova nije limitiran). </w:t>
            </w:r>
          </w:p>
          <w:p w:rsidR="00501448" w:rsidRPr="008632BF" w:rsidRDefault="00501448" w:rsidP="00A25A4B">
            <w:pPr>
              <w:pStyle w:val="ListParagraph"/>
              <w:ind w:left="284"/>
              <w:jc w:val="both"/>
              <w:rPr>
                <w:sz w:val="22"/>
                <w:szCs w:val="22"/>
                <w:lang w:val="hr-HR"/>
              </w:rPr>
            </w:pPr>
          </w:p>
          <w:p w:rsidR="00501448" w:rsidRPr="008632BF" w:rsidRDefault="00501448" w:rsidP="00A25A4B">
            <w:pPr>
              <w:jc w:val="both"/>
              <w:rPr>
                <w:sz w:val="22"/>
                <w:szCs w:val="22"/>
                <w:lang w:val="hr-HR"/>
              </w:rPr>
            </w:pPr>
            <w:r w:rsidRPr="008632BF">
              <w:rPr>
                <w:sz w:val="22"/>
                <w:szCs w:val="22"/>
                <w:lang w:val="hr-HR"/>
              </w:rPr>
              <w:t>Sukladno tome, nije jasna formulacija „</w:t>
            </w:r>
            <w:r w:rsidRPr="008632BF">
              <w:rPr>
                <w:i/>
                <w:iCs/>
                <w:sz w:val="22"/>
                <w:szCs w:val="22"/>
                <w:lang w:val="hr-HR"/>
              </w:rPr>
              <w:t xml:space="preserve">Troškovi upravljanja projektom </w:t>
            </w:r>
            <w:r w:rsidRPr="008632BF">
              <w:rPr>
                <w:i/>
                <w:iCs/>
                <w:sz w:val="22"/>
                <w:szCs w:val="22"/>
                <w:u w:val="single"/>
                <w:lang w:val="hr-HR"/>
              </w:rPr>
              <w:t xml:space="preserve">unutar </w:t>
            </w:r>
            <w:r w:rsidRPr="008632BF">
              <w:rPr>
                <w:i/>
                <w:iCs/>
                <w:sz w:val="22"/>
                <w:szCs w:val="22"/>
                <w:lang w:val="hr-HR"/>
              </w:rPr>
              <w:t xml:space="preserve">navedenih 15% od ukupnog prihvatljivog troška projekta </w:t>
            </w:r>
            <w:r w:rsidRPr="008632BF">
              <w:rPr>
                <w:i/>
                <w:iCs/>
                <w:sz w:val="22"/>
                <w:szCs w:val="22"/>
                <w:u w:val="single"/>
                <w:lang w:val="hr-HR"/>
              </w:rPr>
              <w:t>limitirani su</w:t>
            </w:r>
            <w:r w:rsidRPr="008632BF">
              <w:rPr>
                <w:i/>
                <w:iCs/>
                <w:sz w:val="22"/>
                <w:szCs w:val="22"/>
                <w:lang w:val="hr-HR"/>
              </w:rPr>
              <w:t xml:space="preserve"> apsolutnim iznosima…“, </w:t>
            </w:r>
            <w:r w:rsidRPr="008632BF">
              <w:rPr>
                <w:sz w:val="22"/>
                <w:szCs w:val="22"/>
                <w:lang w:val="hr-HR"/>
              </w:rPr>
              <w:t>te stoga molimo dodatno pojašnjene s obzirom da ova formulacija navodi limitiranje iznosa troškova.</w:t>
            </w:r>
          </w:p>
          <w:p w:rsidR="00501448" w:rsidRPr="008632BF" w:rsidRDefault="00501448" w:rsidP="00A25A4B">
            <w:pPr>
              <w:pStyle w:val="ListParagraph"/>
              <w:ind w:left="284"/>
              <w:jc w:val="both"/>
              <w:rPr>
                <w:sz w:val="22"/>
                <w:szCs w:val="22"/>
                <w:lang w:val="hr-HR"/>
              </w:rPr>
            </w:pPr>
          </w:p>
          <w:p w:rsidR="00501448" w:rsidRPr="008632BF" w:rsidRDefault="00501448" w:rsidP="00A25A4B">
            <w:pPr>
              <w:jc w:val="both"/>
              <w:rPr>
                <w:sz w:val="22"/>
                <w:szCs w:val="22"/>
                <w:lang w:val="hr-HR"/>
              </w:rPr>
            </w:pPr>
            <w:r w:rsidRPr="008632BF">
              <w:rPr>
                <w:sz w:val="22"/>
                <w:szCs w:val="22"/>
                <w:lang w:val="hr-HR"/>
              </w:rPr>
              <w:lastRenderedPageBreak/>
              <w:t>Pri tome ističemo kako su u pozivu referentne oznake KK.08.1.2.03, troškovi upravljanja jasno ograničeni na 10%, odnosno 5% vrijednosti dodijeljenih bespovratnih sredstava, bez bilo kakvih dodatnih limita. Ovime molimo da se istovjetna logika kod definiranja ograničenja za trošak upravljanja projektom primijeni i na poziv Poboljšanje pristupa hitnoj zdravstvenoj zaštiti, referentna oznaka: KK.08.1.1.03.</w:t>
            </w:r>
          </w:p>
        </w:tc>
        <w:tc>
          <w:tcPr>
            <w:tcW w:w="6949" w:type="dxa"/>
          </w:tcPr>
          <w:p w:rsidR="00501448" w:rsidRPr="008632BF" w:rsidRDefault="00501448" w:rsidP="00FC0C43">
            <w:pPr>
              <w:jc w:val="both"/>
              <w:rPr>
                <w:sz w:val="22"/>
                <w:szCs w:val="22"/>
                <w:lang w:val="hr-HR"/>
              </w:rPr>
            </w:pPr>
            <w:r w:rsidRPr="008632BF">
              <w:rPr>
                <w:sz w:val="22"/>
                <w:szCs w:val="22"/>
                <w:lang w:val="hr-HR"/>
              </w:rPr>
              <w:lastRenderedPageBreak/>
              <w:t>Vidjeti odgovor br. 7.</w:t>
            </w:r>
          </w:p>
          <w:p w:rsidR="00501448" w:rsidRPr="008632BF" w:rsidRDefault="00501448" w:rsidP="00C76055">
            <w:pPr>
              <w:jc w:val="both"/>
              <w:rPr>
                <w:sz w:val="22"/>
                <w:szCs w:val="22"/>
                <w:lang w:val="hr-HR"/>
              </w:rPr>
            </w:pPr>
            <w:r w:rsidRPr="008632BF">
              <w:rPr>
                <w:sz w:val="22"/>
                <w:szCs w:val="22"/>
                <w:lang w:val="hr-HR"/>
              </w:rPr>
              <w:t xml:space="preserve">Prijedlog o izmjeni Uputa za prijavitelje „Poboljšanje pristupa hitnoj zdravstvenoj zaštiti,“ referentna oznaka: KK.08.1.1.03 nije prihvaćen. </w:t>
            </w:r>
          </w:p>
        </w:tc>
      </w:tr>
      <w:tr w:rsidR="00192D6D" w:rsidRPr="008A3AFD" w:rsidTr="00316652">
        <w:trPr>
          <w:trHeight w:val="433"/>
        </w:trPr>
        <w:tc>
          <w:tcPr>
            <w:tcW w:w="851" w:type="dxa"/>
            <w:shd w:val="clear" w:color="auto" w:fill="538135" w:themeFill="accent6" w:themeFillShade="BF"/>
          </w:tcPr>
          <w:p w:rsidR="00192D6D" w:rsidRPr="008632BF" w:rsidRDefault="00192D6D" w:rsidP="00316652">
            <w:pPr>
              <w:jc w:val="center"/>
              <w:rPr>
                <w:b/>
                <w:sz w:val="22"/>
                <w:szCs w:val="22"/>
                <w:lang w:val="hr-HR"/>
              </w:rPr>
            </w:pPr>
            <w:r w:rsidRPr="008632BF">
              <w:rPr>
                <w:b/>
                <w:color w:val="FFFFFF" w:themeColor="background1"/>
                <w:sz w:val="22"/>
                <w:szCs w:val="22"/>
                <w:lang w:val="hr-HR"/>
              </w:rPr>
              <w:t>RB</w:t>
            </w:r>
          </w:p>
        </w:tc>
        <w:tc>
          <w:tcPr>
            <w:tcW w:w="6092" w:type="dxa"/>
            <w:shd w:val="clear" w:color="auto" w:fill="538135" w:themeFill="accent6" w:themeFillShade="BF"/>
          </w:tcPr>
          <w:p w:rsidR="00192D6D" w:rsidRPr="008632BF" w:rsidRDefault="00192D6D" w:rsidP="00316652">
            <w:pPr>
              <w:rPr>
                <w:b/>
                <w:color w:val="FFFFFF" w:themeColor="background1"/>
                <w:sz w:val="22"/>
                <w:szCs w:val="22"/>
                <w:lang w:val="hr-HR"/>
              </w:rPr>
            </w:pPr>
            <w:r w:rsidRPr="008632BF">
              <w:rPr>
                <w:b/>
                <w:color w:val="FFFFFF" w:themeColor="background1"/>
                <w:sz w:val="22"/>
                <w:szCs w:val="22"/>
                <w:lang w:val="hr-HR"/>
              </w:rPr>
              <w:t>DATUM ZAPRIMANJA PITANJA: 25. listopada 2016.</w:t>
            </w:r>
          </w:p>
        </w:tc>
        <w:tc>
          <w:tcPr>
            <w:tcW w:w="6949" w:type="dxa"/>
            <w:shd w:val="clear" w:color="auto" w:fill="538135" w:themeFill="accent6" w:themeFillShade="BF"/>
          </w:tcPr>
          <w:p w:rsidR="00192D6D" w:rsidRPr="008632BF" w:rsidRDefault="00192D6D" w:rsidP="00316652">
            <w:pPr>
              <w:rPr>
                <w:b/>
                <w:sz w:val="22"/>
                <w:szCs w:val="22"/>
                <w:lang w:val="hr-HR"/>
              </w:rPr>
            </w:pPr>
            <w:r w:rsidRPr="008632BF">
              <w:rPr>
                <w:b/>
                <w:color w:val="FFFFFF" w:themeColor="background1"/>
                <w:sz w:val="22"/>
                <w:szCs w:val="22"/>
                <w:lang w:val="hr-HR"/>
              </w:rPr>
              <w:t xml:space="preserve">DATUM ODGOVORA NA PITANJE: </w:t>
            </w:r>
          </w:p>
        </w:tc>
      </w:tr>
      <w:tr w:rsidR="00501448" w:rsidRPr="00F1525B" w:rsidTr="00192D6D">
        <w:tblPrEx>
          <w:jc w:val="center"/>
        </w:tblPrEx>
        <w:trPr>
          <w:jc w:val="center"/>
        </w:trPr>
        <w:tc>
          <w:tcPr>
            <w:tcW w:w="851" w:type="dxa"/>
            <w:vAlign w:val="center"/>
          </w:tcPr>
          <w:p w:rsidR="00501448" w:rsidRPr="008632BF" w:rsidRDefault="00453C79" w:rsidP="00453C79">
            <w:pPr>
              <w:jc w:val="center"/>
              <w:rPr>
                <w:b/>
                <w:sz w:val="22"/>
                <w:szCs w:val="22"/>
              </w:rPr>
            </w:pPr>
            <w:r w:rsidRPr="008632BF">
              <w:rPr>
                <w:b/>
                <w:sz w:val="22"/>
                <w:szCs w:val="22"/>
              </w:rPr>
              <w:t>16.</w:t>
            </w:r>
          </w:p>
        </w:tc>
        <w:tc>
          <w:tcPr>
            <w:tcW w:w="6092" w:type="dxa"/>
          </w:tcPr>
          <w:p w:rsidR="00501448" w:rsidRPr="008632BF" w:rsidRDefault="00501448" w:rsidP="00706350">
            <w:pPr>
              <w:jc w:val="both"/>
              <w:rPr>
                <w:sz w:val="22"/>
                <w:szCs w:val="22"/>
                <w:lang w:val="hr-HR"/>
              </w:rPr>
            </w:pPr>
            <w:r w:rsidRPr="008632BF">
              <w:rPr>
                <w:sz w:val="22"/>
                <w:szCs w:val="22"/>
                <w:lang w:val="hr-HR"/>
              </w:rPr>
              <w:t>Opća bolnica priprema projektnu prijavu, koja bi po sadašnjim procjenama, a kako smo Vam već ranije na Vaš upit i najavili, iznosila 28.000.000,00 kuna. Molimo Vas za informaciju, da li je 20.000.000,00  kuna maksimalan iznos bespovratnih sredstava unutar ovog poziva ili po evaluaciji projektnih prijava možemo očekivati i veći iznos/ukupni iznos vrijednosti projekta?</w:t>
            </w:r>
          </w:p>
        </w:tc>
        <w:tc>
          <w:tcPr>
            <w:tcW w:w="6949" w:type="dxa"/>
          </w:tcPr>
          <w:p w:rsidR="00501448" w:rsidRPr="008632BF" w:rsidRDefault="00501448" w:rsidP="00A25A4B">
            <w:pPr>
              <w:jc w:val="both"/>
              <w:rPr>
                <w:sz w:val="22"/>
                <w:szCs w:val="22"/>
                <w:lang w:val="hr-HR"/>
              </w:rPr>
            </w:pPr>
            <w:r w:rsidRPr="008632BF">
              <w:rPr>
                <w:sz w:val="22"/>
                <w:szCs w:val="22"/>
                <w:lang w:val="hr-HR"/>
              </w:rPr>
              <w:t xml:space="preserve">Kako je i navedeno u Uputama za prijavitelje, točka 1.4, iznos od 20.000.000,00 HRK je maksimalni iznos bespovratnih sredstava koji se može dodijeliti </w:t>
            </w:r>
            <w:r w:rsidRPr="008632BF">
              <w:rPr>
                <w:sz w:val="22"/>
                <w:szCs w:val="22"/>
                <w:u w:val="single"/>
                <w:lang w:val="hr-HR"/>
              </w:rPr>
              <w:t>općim bolnicama</w:t>
            </w:r>
            <w:r w:rsidRPr="008632BF">
              <w:rPr>
                <w:sz w:val="22"/>
                <w:szCs w:val="22"/>
                <w:lang w:val="hr-HR"/>
              </w:rPr>
              <w:t xml:space="preserve">. </w:t>
            </w:r>
          </w:p>
          <w:p w:rsidR="00501448" w:rsidRPr="008632BF" w:rsidRDefault="00501448" w:rsidP="00A25A4B">
            <w:pPr>
              <w:jc w:val="both"/>
              <w:rPr>
                <w:sz w:val="22"/>
                <w:szCs w:val="22"/>
                <w:lang w:val="hr-HR"/>
              </w:rPr>
            </w:pPr>
          </w:p>
          <w:p w:rsidR="00501448" w:rsidRPr="008632BF" w:rsidRDefault="00501448" w:rsidP="00A25A4B">
            <w:pPr>
              <w:jc w:val="both"/>
              <w:rPr>
                <w:sz w:val="22"/>
                <w:szCs w:val="22"/>
                <w:lang w:val="hr-HR"/>
              </w:rPr>
            </w:pPr>
            <w:r w:rsidRPr="008632BF">
              <w:rPr>
                <w:sz w:val="22"/>
                <w:szCs w:val="22"/>
                <w:lang w:val="hr-HR"/>
              </w:rPr>
              <w:t>Projekt se može financirati u iznosu do 100% prihvatljivih izdataka, do maksimalnog iznosa od 20.000.000,00 HRK, kad se radi o općim bolnicama.</w:t>
            </w:r>
          </w:p>
          <w:p w:rsidR="00501448" w:rsidRPr="008632BF" w:rsidRDefault="00501448" w:rsidP="00A25A4B">
            <w:pPr>
              <w:jc w:val="both"/>
              <w:rPr>
                <w:sz w:val="22"/>
                <w:szCs w:val="22"/>
                <w:lang w:val="hr-HR"/>
              </w:rPr>
            </w:pPr>
          </w:p>
          <w:p w:rsidR="00501448" w:rsidRPr="008632BF" w:rsidRDefault="00501448" w:rsidP="009E3440">
            <w:pPr>
              <w:jc w:val="both"/>
              <w:rPr>
                <w:sz w:val="22"/>
                <w:szCs w:val="22"/>
                <w:lang w:val="hr-HR"/>
              </w:rPr>
            </w:pPr>
            <w:r w:rsidRPr="008632BF">
              <w:rPr>
                <w:sz w:val="22"/>
                <w:szCs w:val="22"/>
                <w:lang w:val="hr-HR"/>
              </w:rPr>
              <w:t xml:space="preserve">U slučaju kada je iznos ukupnih prihvatljivih izdataka projekta veći od maksimalnog iznosa bespovratnih sredstava utvrđenog u točki 1.4. Uputa, prijavitelj (korisnik) je dužan iz vlastitih i/ili drugih izvora osigurati sredstva za financiranje razlike između iznosa ukupnih prihvatljivih izdataka projekta te maksimalnog iznosa bespovratnih sredstava koji mogu biti dodijeljeni za financiranje prihvatljivih izdataka u okviru ovog Poziva, što se utvrđuje provjerom dostavljene </w:t>
            </w:r>
            <w:r w:rsidRPr="008632BF">
              <w:rPr>
                <w:rFonts w:cs="Lucida Grande CE"/>
                <w:color w:val="000000"/>
                <w:sz w:val="22"/>
                <w:szCs w:val="22"/>
                <w:lang w:val="hr-HR"/>
              </w:rPr>
              <w:t>Izjave prijavitelja – Obrazac 2. Uputa</w:t>
            </w:r>
            <w:r w:rsidRPr="008632BF">
              <w:rPr>
                <w:sz w:val="22"/>
                <w:szCs w:val="22"/>
                <w:lang w:val="hr-HR"/>
              </w:rPr>
              <w:t xml:space="preserve">. </w:t>
            </w:r>
          </w:p>
          <w:p w:rsidR="00501448" w:rsidRPr="008632BF" w:rsidRDefault="00501448" w:rsidP="00A25A4B">
            <w:pPr>
              <w:jc w:val="both"/>
              <w:rPr>
                <w:sz w:val="22"/>
                <w:szCs w:val="22"/>
                <w:lang w:val="hr-HR"/>
              </w:rPr>
            </w:pPr>
          </w:p>
          <w:p w:rsidR="00501448" w:rsidRPr="008632BF" w:rsidRDefault="00501448" w:rsidP="006F73C4">
            <w:pPr>
              <w:jc w:val="both"/>
              <w:rPr>
                <w:sz w:val="22"/>
                <w:szCs w:val="22"/>
                <w:lang w:val="hr-HR"/>
              </w:rPr>
            </w:pPr>
            <w:r w:rsidRPr="008632BF">
              <w:rPr>
                <w:sz w:val="22"/>
                <w:szCs w:val="22"/>
                <w:lang w:val="hr-HR"/>
              </w:rPr>
              <w:t>Neovisno o evaluaciji projektnih prijava i iznosima ostalih projekata, maksimalni iznos bespovratnih sredstava koji se može dodijeliti pojedinoj općoj bolnici iznosi 20.000.000,00 HRK, odnosno 31.000.000,00 HRK u slučaju kad je prijavitelj klinički bolnički centar.</w:t>
            </w:r>
          </w:p>
        </w:tc>
      </w:tr>
      <w:tr w:rsidR="00192D6D" w:rsidRPr="008A3AFD" w:rsidTr="00316652">
        <w:trPr>
          <w:trHeight w:val="433"/>
        </w:trPr>
        <w:tc>
          <w:tcPr>
            <w:tcW w:w="851" w:type="dxa"/>
            <w:shd w:val="clear" w:color="auto" w:fill="538135" w:themeFill="accent6" w:themeFillShade="BF"/>
          </w:tcPr>
          <w:p w:rsidR="00192D6D" w:rsidRPr="008632BF" w:rsidRDefault="00192D6D" w:rsidP="00316652">
            <w:pPr>
              <w:jc w:val="center"/>
              <w:rPr>
                <w:b/>
                <w:sz w:val="22"/>
                <w:szCs w:val="22"/>
                <w:lang w:val="hr-HR"/>
              </w:rPr>
            </w:pPr>
            <w:bookmarkStart w:id="3" w:name="_Hlk511979205"/>
            <w:r w:rsidRPr="008632BF">
              <w:rPr>
                <w:b/>
                <w:color w:val="FFFFFF" w:themeColor="background1"/>
                <w:sz w:val="22"/>
                <w:szCs w:val="22"/>
                <w:lang w:val="hr-HR"/>
              </w:rPr>
              <w:t>RB</w:t>
            </w:r>
          </w:p>
        </w:tc>
        <w:tc>
          <w:tcPr>
            <w:tcW w:w="6092" w:type="dxa"/>
            <w:shd w:val="clear" w:color="auto" w:fill="538135" w:themeFill="accent6" w:themeFillShade="BF"/>
          </w:tcPr>
          <w:p w:rsidR="00192D6D" w:rsidRPr="008632BF" w:rsidRDefault="00192D6D" w:rsidP="00316652">
            <w:pPr>
              <w:rPr>
                <w:b/>
                <w:color w:val="FFFFFF" w:themeColor="background1"/>
                <w:sz w:val="22"/>
                <w:szCs w:val="22"/>
                <w:lang w:val="hr-HR"/>
              </w:rPr>
            </w:pPr>
            <w:r w:rsidRPr="008632BF">
              <w:rPr>
                <w:b/>
                <w:color w:val="FFFFFF" w:themeColor="background1"/>
                <w:sz w:val="22"/>
                <w:szCs w:val="22"/>
                <w:lang w:val="hr-HR"/>
              </w:rPr>
              <w:t>DATUM ZAPRI</w:t>
            </w:r>
            <w:r w:rsidR="00FC10AF">
              <w:rPr>
                <w:b/>
                <w:color w:val="FFFFFF" w:themeColor="background1"/>
                <w:sz w:val="22"/>
                <w:szCs w:val="22"/>
                <w:lang w:val="hr-HR"/>
              </w:rPr>
              <w:t>MANJA PITANJA: 13. siječnja 2017</w:t>
            </w:r>
            <w:r w:rsidRPr="008632BF">
              <w:rPr>
                <w:b/>
                <w:color w:val="FFFFFF" w:themeColor="background1"/>
                <w:sz w:val="22"/>
                <w:szCs w:val="22"/>
                <w:lang w:val="hr-HR"/>
              </w:rPr>
              <w:t>.</w:t>
            </w:r>
          </w:p>
        </w:tc>
        <w:tc>
          <w:tcPr>
            <w:tcW w:w="6949" w:type="dxa"/>
            <w:shd w:val="clear" w:color="auto" w:fill="538135" w:themeFill="accent6" w:themeFillShade="BF"/>
          </w:tcPr>
          <w:p w:rsidR="00192D6D" w:rsidRPr="008632BF" w:rsidRDefault="00192D6D" w:rsidP="00316652">
            <w:pPr>
              <w:rPr>
                <w:b/>
                <w:sz w:val="22"/>
                <w:szCs w:val="22"/>
                <w:lang w:val="hr-HR"/>
              </w:rPr>
            </w:pPr>
            <w:r w:rsidRPr="008632BF">
              <w:rPr>
                <w:b/>
                <w:color w:val="FFFFFF" w:themeColor="background1"/>
                <w:sz w:val="22"/>
                <w:szCs w:val="22"/>
                <w:lang w:val="hr-HR"/>
              </w:rPr>
              <w:t xml:space="preserve">DATUM ODGOVORA NA PITANJE: </w:t>
            </w:r>
            <w:r w:rsidR="000B65C1">
              <w:rPr>
                <w:b/>
                <w:color w:val="FFFFFF" w:themeColor="background1"/>
                <w:sz w:val="22"/>
                <w:szCs w:val="22"/>
                <w:lang w:val="hr-HR"/>
              </w:rPr>
              <w:t>17. siječnja. 2017.</w:t>
            </w:r>
          </w:p>
        </w:tc>
      </w:tr>
      <w:bookmarkEnd w:id="3"/>
      <w:tr w:rsidR="00074785" w:rsidRPr="00F1525B" w:rsidTr="00192D6D">
        <w:tblPrEx>
          <w:jc w:val="center"/>
        </w:tblPrEx>
        <w:trPr>
          <w:jc w:val="center"/>
        </w:trPr>
        <w:tc>
          <w:tcPr>
            <w:tcW w:w="851" w:type="dxa"/>
            <w:vAlign w:val="center"/>
          </w:tcPr>
          <w:p w:rsidR="00074785" w:rsidRPr="008632BF" w:rsidRDefault="00F2097B" w:rsidP="00453C79">
            <w:pPr>
              <w:jc w:val="center"/>
              <w:rPr>
                <w:b/>
                <w:sz w:val="22"/>
                <w:szCs w:val="22"/>
              </w:rPr>
            </w:pPr>
            <w:r w:rsidRPr="008632BF">
              <w:rPr>
                <w:b/>
                <w:sz w:val="22"/>
                <w:szCs w:val="22"/>
              </w:rPr>
              <w:t>17.</w:t>
            </w:r>
          </w:p>
        </w:tc>
        <w:tc>
          <w:tcPr>
            <w:tcW w:w="6092" w:type="dxa"/>
          </w:tcPr>
          <w:p w:rsidR="00074785" w:rsidRPr="008632BF" w:rsidRDefault="00074785" w:rsidP="00074785">
            <w:pPr>
              <w:jc w:val="both"/>
              <w:rPr>
                <w:sz w:val="22"/>
                <w:szCs w:val="22"/>
                <w:lang w:val="hr-HR"/>
              </w:rPr>
            </w:pPr>
            <w:r w:rsidRPr="008632BF">
              <w:rPr>
                <w:sz w:val="22"/>
                <w:szCs w:val="22"/>
                <w:lang w:val="hr-HR"/>
              </w:rPr>
              <w:t xml:space="preserve">Točka 1.3. Uputa za prijavitelje za poziv </w:t>
            </w:r>
            <w:r w:rsidRPr="008632BF">
              <w:rPr>
                <w:i/>
                <w:iCs/>
                <w:sz w:val="22"/>
                <w:szCs w:val="22"/>
                <w:lang w:val="hr-HR"/>
              </w:rPr>
              <w:t xml:space="preserve">Poboljšanje pristupa hitnoj zdravstvenoj zaštiti </w:t>
            </w:r>
            <w:r w:rsidRPr="008632BF">
              <w:rPr>
                <w:sz w:val="22"/>
                <w:szCs w:val="22"/>
                <w:lang w:val="hr-HR"/>
              </w:rPr>
              <w:t xml:space="preserve">definira pokazatelj koji treba definirati na razini projektnog prijedloga. U prijavnom obrascu A, u sklopu Obrazloženja projekta u dijelu Ciljevi projekta s pokazateljima, </w:t>
            </w:r>
            <w:r w:rsidRPr="008632BF">
              <w:rPr>
                <w:sz w:val="22"/>
                <w:szCs w:val="22"/>
                <w:lang w:val="hr-HR"/>
              </w:rPr>
              <w:lastRenderedPageBreak/>
              <w:t xml:space="preserve">korisnik pod ''Identifikacijski broj, ime i jedinica pokazatelja Operativnog programa'' navodi pokazatelj iz točke 1.3. Uputa za prijavitelje. </w:t>
            </w:r>
          </w:p>
          <w:p w:rsidR="00074785" w:rsidRPr="008632BF" w:rsidRDefault="00074785" w:rsidP="00F2097B">
            <w:pPr>
              <w:pStyle w:val="ListParagraph"/>
              <w:ind w:left="317" w:hanging="283"/>
              <w:jc w:val="both"/>
              <w:rPr>
                <w:sz w:val="22"/>
                <w:szCs w:val="22"/>
                <w:lang w:val="hr-HR"/>
              </w:rPr>
            </w:pPr>
            <w:r w:rsidRPr="008632BF">
              <w:rPr>
                <w:sz w:val="22"/>
                <w:szCs w:val="22"/>
                <w:lang w:val="hr-HR"/>
              </w:rPr>
              <w:t>a)</w:t>
            </w:r>
            <w:r w:rsidR="00F2097B" w:rsidRPr="008632BF">
              <w:rPr>
                <w:sz w:val="22"/>
                <w:szCs w:val="22"/>
                <w:lang w:val="hr-HR"/>
              </w:rPr>
              <w:t>   </w:t>
            </w:r>
            <w:r w:rsidRPr="008632BF">
              <w:rPr>
                <w:sz w:val="22"/>
                <w:szCs w:val="22"/>
                <w:lang w:val="hr-HR"/>
              </w:rPr>
              <w:t>U dijelu ''Ostvarenje specifičnih pokazatelja koje korisnik određuje za projekt'' traži li se od korisnika da definira dodatne pokazatelje ili ih korisnik ne treba definirati?</w:t>
            </w:r>
          </w:p>
          <w:p w:rsidR="00074785" w:rsidRPr="008632BF" w:rsidRDefault="00074785" w:rsidP="00F2097B">
            <w:pPr>
              <w:pStyle w:val="ListParagraph"/>
              <w:ind w:left="317" w:hanging="283"/>
              <w:jc w:val="both"/>
              <w:rPr>
                <w:sz w:val="22"/>
                <w:szCs w:val="22"/>
              </w:rPr>
            </w:pPr>
            <w:r w:rsidRPr="008632BF">
              <w:rPr>
                <w:sz w:val="22"/>
                <w:szCs w:val="22"/>
                <w:lang w:val="hr-HR"/>
              </w:rPr>
              <w:t>b)</w:t>
            </w:r>
            <w:r w:rsidR="00F2097B" w:rsidRPr="008632BF">
              <w:rPr>
                <w:sz w:val="22"/>
                <w:szCs w:val="22"/>
                <w:lang w:val="hr-HR"/>
              </w:rPr>
              <w:t>  </w:t>
            </w:r>
            <w:r w:rsidRPr="008632BF">
              <w:rPr>
                <w:sz w:val="22"/>
                <w:szCs w:val="22"/>
                <w:lang w:val="hr-HR"/>
              </w:rPr>
              <w:t>Treba li korisnik definirati bilo koje druge pokazatelje koji nisu definirani u točki 1.3. Uputa za prijavitelje?</w:t>
            </w:r>
          </w:p>
        </w:tc>
        <w:tc>
          <w:tcPr>
            <w:tcW w:w="6949" w:type="dxa"/>
          </w:tcPr>
          <w:p w:rsidR="00074785" w:rsidRPr="008632BF" w:rsidRDefault="00074785" w:rsidP="00074785">
            <w:pPr>
              <w:jc w:val="both"/>
              <w:rPr>
                <w:sz w:val="22"/>
                <w:szCs w:val="22"/>
                <w:lang w:val="hr-HR"/>
              </w:rPr>
            </w:pPr>
            <w:r w:rsidRPr="008632BF">
              <w:rPr>
                <w:sz w:val="22"/>
                <w:szCs w:val="22"/>
                <w:lang w:val="hr-HR"/>
              </w:rPr>
              <w:lastRenderedPageBreak/>
              <w:t>Sukladno Uputama za pri</w:t>
            </w:r>
            <w:r w:rsidR="00F2097B" w:rsidRPr="008632BF">
              <w:rPr>
                <w:sz w:val="22"/>
                <w:szCs w:val="22"/>
                <w:lang w:val="hr-HR"/>
              </w:rPr>
              <w:t>javitelje, točci 1.3 – jedan je  obavezan pokazatelj</w:t>
            </w:r>
            <w:r w:rsidRPr="008632BF">
              <w:rPr>
                <w:sz w:val="22"/>
                <w:szCs w:val="22"/>
                <w:lang w:val="hr-HR"/>
              </w:rPr>
              <w:t xml:space="preserve"> na razini Poziva koje</w:t>
            </w:r>
            <w:r w:rsidR="00F2097B" w:rsidRPr="008632BF">
              <w:rPr>
                <w:sz w:val="22"/>
                <w:szCs w:val="22"/>
                <w:lang w:val="hr-HR"/>
              </w:rPr>
              <w:t>ga</w:t>
            </w:r>
            <w:r w:rsidRPr="008632BF">
              <w:rPr>
                <w:sz w:val="22"/>
                <w:szCs w:val="22"/>
                <w:lang w:val="hr-HR"/>
              </w:rPr>
              <w:t xml:space="preserve"> prijavitelji trebaju uključiti u svoj projektni prijedlog (u obrazac A):</w:t>
            </w:r>
          </w:p>
          <w:p w:rsidR="00F2097B" w:rsidRPr="008632BF" w:rsidRDefault="00F2097B" w:rsidP="00074785">
            <w:pPr>
              <w:jc w:val="both"/>
              <w:rPr>
                <w:sz w:val="22"/>
                <w:szCs w:val="22"/>
                <w:lang w:val="hr-HR"/>
              </w:rPr>
            </w:pPr>
          </w:p>
          <w:p w:rsidR="00074785" w:rsidRPr="008632BF" w:rsidRDefault="00F2097B" w:rsidP="00074785">
            <w:pPr>
              <w:jc w:val="both"/>
              <w:rPr>
                <w:sz w:val="22"/>
                <w:szCs w:val="22"/>
                <w:lang w:val="hr-HR"/>
              </w:rPr>
            </w:pPr>
            <w:r w:rsidRPr="008632BF">
              <w:rPr>
                <w:sz w:val="22"/>
                <w:szCs w:val="22"/>
                <w:lang w:val="hr-HR"/>
              </w:rPr>
              <w:lastRenderedPageBreak/>
              <w:t>„</w:t>
            </w:r>
            <w:r w:rsidR="00074785" w:rsidRPr="008632BF">
              <w:rPr>
                <w:sz w:val="22"/>
                <w:szCs w:val="22"/>
                <w:lang w:val="hr-HR"/>
              </w:rPr>
              <w:t>Pružatelji zdravstvenih usluga u bolnicama koji primaju potporu</w:t>
            </w:r>
            <w:r w:rsidRPr="008632BF">
              <w:rPr>
                <w:sz w:val="22"/>
                <w:szCs w:val="22"/>
                <w:lang w:val="hr-HR"/>
              </w:rPr>
              <w:t>“.</w:t>
            </w:r>
          </w:p>
          <w:p w:rsidR="00074785" w:rsidRPr="008632BF" w:rsidRDefault="00074785" w:rsidP="00074785">
            <w:pPr>
              <w:jc w:val="both"/>
              <w:rPr>
                <w:sz w:val="22"/>
                <w:szCs w:val="22"/>
                <w:lang w:val="hr-HR"/>
              </w:rPr>
            </w:pPr>
          </w:p>
          <w:p w:rsidR="00074785" w:rsidRPr="008632BF" w:rsidRDefault="00074785" w:rsidP="00074785">
            <w:pPr>
              <w:jc w:val="both"/>
              <w:rPr>
                <w:sz w:val="22"/>
                <w:szCs w:val="22"/>
              </w:rPr>
            </w:pPr>
            <w:r w:rsidRPr="008632BF">
              <w:rPr>
                <w:sz w:val="22"/>
                <w:szCs w:val="22"/>
                <w:lang w:val="hr-HR"/>
              </w:rPr>
              <w:t>Dodatni pokazatelji na razini pojedinog projektnog prijedloga su proizvoljni.</w:t>
            </w:r>
          </w:p>
        </w:tc>
      </w:tr>
      <w:tr w:rsidR="000B65C1" w:rsidRPr="008632BF" w:rsidTr="00D31104">
        <w:trPr>
          <w:trHeight w:val="433"/>
        </w:trPr>
        <w:tc>
          <w:tcPr>
            <w:tcW w:w="851" w:type="dxa"/>
            <w:shd w:val="clear" w:color="auto" w:fill="538135" w:themeFill="accent6" w:themeFillShade="BF"/>
          </w:tcPr>
          <w:p w:rsidR="000B65C1" w:rsidRPr="008632BF" w:rsidRDefault="000B65C1" w:rsidP="00D31104">
            <w:pPr>
              <w:jc w:val="center"/>
              <w:rPr>
                <w:b/>
                <w:sz w:val="22"/>
                <w:szCs w:val="22"/>
                <w:lang w:val="hr-HR"/>
              </w:rPr>
            </w:pPr>
            <w:r w:rsidRPr="008632BF">
              <w:rPr>
                <w:b/>
                <w:color w:val="FFFFFF" w:themeColor="background1"/>
                <w:sz w:val="22"/>
                <w:szCs w:val="22"/>
                <w:lang w:val="hr-HR"/>
              </w:rPr>
              <w:lastRenderedPageBreak/>
              <w:t>RB</w:t>
            </w:r>
          </w:p>
        </w:tc>
        <w:tc>
          <w:tcPr>
            <w:tcW w:w="6092" w:type="dxa"/>
            <w:shd w:val="clear" w:color="auto" w:fill="538135" w:themeFill="accent6" w:themeFillShade="BF"/>
          </w:tcPr>
          <w:p w:rsidR="000B65C1" w:rsidRPr="008632BF" w:rsidRDefault="000B65C1" w:rsidP="00D31104">
            <w:pPr>
              <w:rPr>
                <w:b/>
                <w:color w:val="FFFFFF" w:themeColor="background1"/>
                <w:sz w:val="22"/>
                <w:szCs w:val="22"/>
                <w:lang w:val="hr-HR"/>
              </w:rPr>
            </w:pPr>
            <w:r w:rsidRPr="008632BF">
              <w:rPr>
                <w:b/>
                <w:color w:val="FFFFFF" w:themeColor="background1"/>
                <w:sz w:val="22"/>
                <w:szCs w:val="22"/>
                <w:lang w:val="hr-HR"/>
              </w:rPr>
              <w:t>DATUM ZAPRI</w:t>
            </w:r>
            <w:r>
              <w:rPr>
                <w:b/>
                <w:color w:val="FFFFFF" w:themeColor="background1"/>
                <w:sz w:val="22"/>
                <w:szCs w:val="22"/>
                <w:lang w:val="hr-HR"/>
              </w:rPr>
              <w:t>MANJA PITANJA:  17. travnja 2018</w:t>
            </w:r>
            <w:r w:rsidRPr="008632BF">
              <w:rPr>
                <w:b/>
                <w:color w:val="FFFFFF" w:themeColor="background1"/>
                <w:sz w:val="22"/>
                <w:szCs w:val="22"/>
                <w:lang w:val="hr-HR"/>
              </w:rPr>
              <w:t>.</w:t>
            </w:r>
          </w:p>
        </w:tc>
        <w:tc>
          <w:tcPr>
            <w:tcW w:w="6949" w:type="dxa"/>
            <w:shd w:val="clear" w:color="auto" w:fill="538135" w:themeFill="accent6" w:themeFillShade="BF"/>
          </w:tcPr>
          <w:p w:rsidR="000B65C1" w:rsidRPr="008632BF" w:rsidRDefault="000B65C1" w:rsidP="00D31104">
            <w:pPr>
              <w:rPr>
                <w:b/>
                <w:sz w:val="22"/>
                <w:szCs w:val="22"/>
                <w:lang w:val="hr-HR"/>
              </w:rPr>
            </w:pPr>
            <w:r w:rsidRPr="008632BF">
              <w:rPr>
                <w:b/>
                <w:color w:val="FFFFFF" w:themeColor="background1"/>
                <w:sz w:val="22"/>
                <w:szCs w:val="22"/>
                <w:lang w:val="hr-HR"/>
              </w:rPr>
              <w:t xml:space="preserve">DATUM ODGOVORA NA PITANJE: </w:t>
            </w:r>
            <w:r>
              <w:rPr>
                <w:b/>
                <w:color w:val="FFFFFF" w:themeColor="background1"/>
                <w:sz w:val="22"/>
                <w:szCs w:val="22"/>
                <w:lang w:val="hr-HR"/>
              </w:rPr>
              <w:t>20. travnja 2018.</w:t>
            </w:r>
          </w:p>
        </w:tc>
      </w:tr>
      <w:tr w:rsidR="000B65C1" w:rsidRPr="00F1525B" w:rsidTr="00192D6D">
        <w:tblPrEx>
          <w:jc w:val="center"/>
        </w:tblPrEx>
        <w:trPr>
          <w:jc w:val="center"/>
        </w:trPr>
        <w:tc>
          <w:tcPr>
            <w:tcW w:w="851" w:type="dxa"/>
            <w:vAlign w:val="center"/>
          </w:tcPr>
          <w:p w:rsidR="000B65C1" w:rsidRPr="008632BF" w:rsidRDefault="000B65C1" w:rsidP="00453C79">
            <w:pPr>
              <w:jc w:val="center"/>
              <w:rPr>
                <w:b/>
              </w:rPr>
            </w:pPr>
            <w:r>
              <w:rPr>
                <w:b/>
              </w:rPr>
              <w:t>18.</w:t>
            </w:r>
          </w:p>
        </w:tc>
        <w:tc>
          <w:tcPr>
            <w:tcW w:w="6092" w:type="dxa"/>
          </w:tcPr>
          <w:p w:rsidR="000B65C1" w:rsidRDefault="000B65C1" w:rsidP="00074785">
            <w:pPr>
              <w:jc w:val="both"/>
              <w:rPr>
                <w:lang w:val="hr-HR"/>
              </w:rPr>
            </w:pPr>
            <w:r w:rsidRPr="000B65C1">
              <w:rPr>
                <w:lang w:val="hr-HR"/>
              </w:rPr>
              <w:t xml:space="preserve">Da li je u sklopu Poziva </w:t>
            </w:r>
            <w:r w:rsidR="00BF6BDB">
              <w:rPr>
                <w:lang w:val="hr-HR"/>
              </w:rPr>
              <w:t xml:space="preserve">moguće ugovoriti </w:t>
            </w:r>
            <w:r w:rsidRPr="000B65C1">
              <w:rPr>
                <w:lang w:val="hr-HR"/>
              </w:rPr>
              <w:t>izradu izvedbenog projekta (za r</w:t>
            </w:r>
            <w:r w:rsidR="00BF6BDB">
              <w:rPr>
                <w:lang w:val="hr-HR"/>
              </w:rPr>
              <w:t>adove i opremu)</w:t>
            </w:r>
            <w:r w:rsidRPr="000B65C1">
              <w:rPr>
                <w:lang w:val="hr-HR"/>
              </w:rPr>
              <w:t xml:space="preserve"> putem javne nabave u fazi izvođenja radova?</w:t>
            </w:r>
          </w:p>
          <w:p w:rsidR="00BF6BDB" w:rsidRPr="000B65C1" w:rsidRDefault="00BF6BDB" w:rsidP="00074785">
            <w:pPr>
              <w:jc w:val="both"/>
              <w:rPr>
                <w:lang w:val="hr-HR"/>
              </w:rPr>
            </w:pPr>
          </w:p>
        </w:tc>
        <w:tc>
          <w:tcPr>
            <w:tcW w:w="6949" w:type="dxa"/>
          </w:tcPr>
          <w:p w:rsidR="00BF6BDB" w:rsidRPr="00BF6BDB" w:rsidRDefault="00BF6BDB" w:rsidP="00BF6BDB">
            <w:pPr>
              <w:jc w:val="both"/>
              <w:rPr>
                <w:lang w:val="hr-HR"/>
              </w:rPr>
            </w:pPr>
            <w:r w:rsidRPr="00BF6BDB">
              <w:rPr>
                <w:lang w:val="hr-HR"/>
              </w:rPr>
              <w:t>Z</w:t>
            </w:r>
            <w:r w:rsidRPr="00BF6BDB">
              <w:rPr>
                <w:lang w:val="hr-HR"/>
              </w:rPr>
              <w:t>akonski okvir, tj. Z</w:t>
            </w:r>
            <w:r w:rsidRPr="00BF6BDB">
              <w:rPr>
                <w:lang w:val="hr-HR"/>
              </w:rPr>
              <w:t xml:space="preserve">akon o javnoj </w:t>
            </w:r>
            <w:r w:rsidRPr="00BF6BDB">
              <w:rPr>
                <w:lang w:val="hr-HR"/>
              </w:rPr>
              <w:t>N</w:t>
            </w:r>
            <w:r w:rsidRPr="00BF6BDB">
              <w:rPr>
                <w:lang w:val="hr-HR"/>
              </w:rPr>
              <w:t>abavi</w:t>
            </w:r>
            <w:r w:rsidRPr="00BF6BDB">
              <w:rPr>
                <w:lang w:val="hr-HR"/>
              </w:rPr>
              <w:t xml:space="preserve"> </w:t>
            </w:r>
            <w:r w:rsidRPr="00BF6BDB">
              <w:rPr>
                <w:lang w:val="hr-HR"/>
              </w:rPr>
              <w:t>(NN 120/2016)</w:t>
            </w:r>
            <w:r>
              <w:rPr>
                <w:lang w:val="hr-HR"/>
              </w:rPr>
              <w:t xml:space="preserve"> </w:t>
            </w:r>
            <w:r w:rsidRPr="00BF6BDB">
              <w:rPr>
                <w:lang w:val="hr-HR"/>
              </w:rPr>
              <w:t>propisuje mogućnost mješovite nabave, a izmjene Zakona o gradnji (NN 20/17) propisuju sljedeće:</w:t>
            </w:r>
          </w:p>
          <w:p w:rsidR="00BF6BDB" w:rsidRPr="00BF6BDB" w:rsidRDefault="00BF6BDB" w:rsidP="00BF6BDB">
            <w:pPr>
              <w:jc w:val="both"/>
              <w:rPr>
                <w:lang w:val="hr-HR"/>
              </w:rPr>
            </w:pPr>
            <w:bookmarkStart w:id="4" w:name="_GoBack"/>
            <w:bookmarkEnd w:id="4"/>
          </w:p>
          <w:p w:rsidR="00BF6BDB" w:rsidRPr="00BF6BDB" w:rsidRDefault="00BF6BDB" w:rsidP="00BF6BDB">
            <w:pPr>
              <w:jc w:val="both"/>
              <w:rPr>
                <w:lang w:val="hr-HR"/>
              </w:rPr>
            </w:pPr>
            <w:r w:rsidRPr="00BF6BDB">
              <w:rPr>
                <w:lang w:val="hr-HR"/>
              </w:rPr>
              <w:t>čl. 19</w:t>
            </w:r>
          </w:p>
          <w:p w:rsidR="00BF6BDB" w:rsidRPr="00BF6BDB" w:rsidRDefault="00BF6BDB" w:rsidP="00BF6BDB">
            <w:pPr>
              <w:jc w:val="both"/>
              <w:rPr>
                <w:lang w:val="hr-HR"/>
              </w:rPr>
            </w:pPr>
            <w:r w:rsidRPr="00BF6BDB">
              <w:rPr>
                <w:lang w:val="hr-HR"/>
              </w:rPr>
              <w:t>U članku 74. stavci 2. i 3. mijenjaju se i glase:</w:t>
            </w:r>
          </w:p>
          <w:p w:rsidR="00BF6BDB" w:rsidRPr="00BF6BDB" w:rsidRDefault="00BF6BDB" w:rsidP="00BF6BDB">
            <w:pPr>
              <w:jc w:val="both"/>
              <w:rPr>
                <w:lang w:val="hr-HR"/>
              </w:rPr>
            </w:pPr>
            <w:r w:rsidRPr="00BF6BDB">
              <w:rPr>
                <w:lang w:val="hr-HR"/>
              </w:rPr>
              <w:t>(2) Izvedbeni projekt ne smije biti izrađen protivno glavnom projektu.</w:t>
            </w:r>
          </w:p>
          <w:p w:rsidR="00BF6BDB" w:rsidRPr="00BF6BDB" w:rsidRDefault="00BF6BDB" w:rsidP="00BF6BDB">
            <w:pPr>
              <w:jc w:val="both"/>
              <w:rPr>
                <w:lang w:val="hr-HR"/>
              </w:rPr>
            </w:pPr>
            <w:r w:rsidRPr="00BF6BDB">
              <w:rPr>
                <w:lang w:val="hr-HR"/>
              </w:rPr>
              <w:t>(3) Izvedbeni projekt se izrađuje:</w:t>
            </w:r>
          </w:p>
          <w:p w:rsidR="00BF6BDB" w:rsidRPr="00BF6BDB" w:rsidRDefault="00BF6BDB" w:rsidP="00BF6BDB">
            <w:pPr>
              <w:jc w:val="both"/>
              <w:rPr>
                <w:lang w:val="hr-HR"/>
              </w:rPr>
            </w:pPr>
            <w:r w:rsidRPr="00BF6BDB">
              <w:rPr>
                <w:lang w:val="hr-HR"/>
              </w:rPr>
              <w:t>1. za građenje građevina 1. skupine</w:t>
            </w:r>
          </w:p>
          <w:p w:rsidR="00BF6BDB" w:rsidRPr="00BF6BDB" w:rsidRDefault="00BF6BDB" w:rsidP="00BF6BDB">
            <w:pPr>
              <w:jc w:val="both"/>
              <w:rPr>
                <w:lang w:val="hr-HR"/>
              </w:rPr>
            </w:pPr>
            <w:r w:rsidRPr="00BF6BDB">
              <w:rPr>
                <w:lang w:val="hr-HR"/>
              </w:rPr>
              <w:t>2. ako je to određeno glavnim projektom</w:t>
            </w:r>
          </w:p>
          <w:p w:rsidR="00BF6BDB" w:rsidRPr="00BF6BDB" w:rsidRDefault="00BF6BDB" w:rsidP="00BF6BDB">
            <w:pPr>
              <w:jc w:val="both"/>
              <w:rPr>
                <w:lang w:val="hr-HR"/>
              </w:rPr>
            </w:pPr>
            <w:r w:rsidRPr="00BF6BDB">
              <w:rPr>
                <w:lang w:val="hr-HR"/>
              </w:rPr>
              <w:t>3. ako su to investitor i izvođač</w:t>
            </w:r>
            <w:r w:rsidRPr="00BF6BDB">
              <w:rPr>
                <w:lang w:val="hr-HR"/>
              </w:rPr>
              <w:t xml:space="preserve"> ugovorili ugovorom o građenju.</w:t>
            </w:r>
          </w:p>
          <w:p w:rsidR="00BF6BDB" w:rsidRPr="00BF6BDB" w:rsidRDefault="00BF6BDB" w:rsidP="00BF6BDB">
            <w:pPr>
              <w:jc w:val="both"/>
              <w:rPr>
                <w:lang w:val="hr-HR"/>
              </w:rPr>
            </w:pPr>
          </w:p>
          <w:p w:rsidR="000B65C1" w:rsidRPr="008632BF" w:rsidRDefault="00BF6BDB" w:rsidP="00BF6BDB">
            <w:pPr>
              <w:jc w:val="both"/>
            </w:pPr>
            <w:r w:rsidRPr="00BF6BDB">
              <w:rPr>
                <w:lang w:val="hr-HR"/>
              </w:rPr>
              <w:t xml:space="preserve">Također, II. izmjenom predmetnog Poziva omogućeno je </w:t>
            </w:r>
            <w:r w:rsidRPr="00BF6BDB">
              <w:rPr>
                <w:lang w:val="hr-HR"/>
              </w:rPr>
              <w:t>prijavitelju/k</w:t>
            </w:r>
            <w:r w:rsidRPr="00BF6BDB">
              <w:rPr>
                <w:lang w:val="hr-HR"/>
              </w:rPr>
              <w:t>orisniku da, za vrijeme trajanja projekta ishodi svu potrebnu dokumentaciju za svaku zgradu na kojoj su predviđeni infrastrukturni radovi.</w:t>
            </w:r>
          </w:p>
        </w:tc>
      </w:tr>
    </w:tbl>
    <w:p w:rsidR="00075396" w:rsidRDefault="00075396" w:rsidP="00ED47F9">
      <w:pPr>
        <w:spacing w:after="0" w:line="240" w:lineRule="auto"/>
        <w:jc w:val="both"/>
        <w:rPr>
          <w:rFonts w:ascii="Times New Roman" w:hAnsi="Times New Roman" w:cs="Times New Roman"/>
          <w:sz w:val="24"/>
          <w:szCs w:val="24"/>
        </w:rPr>
      </w:pPr>
    </w:p>
    <w:p w:rsidR="00074785" w:rsidRPr="00F1525B" w:rsidRDefault="00074785" w:rsidP="00ED47F9">
      <w:pPr>
        <w:spacing w:after="0" w:line="240" w:lineRule="auto"/>
        <w:jc w:val="both"/>
        <w:rPr>
          <w:rFonts w:ascii="Times New Roman" w:hAnsi="Times New Roman" w:cs="Times New Roman"/>
          <w:sz w:val="24"/>
          <w:szCs w:val="24"/>
        </w:rPr>
      </w:pPr>
    </w:p>
    <w:p w:rsidR="008839AA" w:rsidRPr="00F1525B" w:rsidRDefault="008839AA" w:rsidP="00ED47F9">
      <w:pPr>
        <w:spacing w:after="0" w:line="240" w:lineRule="auto"/>
        <w:jc w:val="both"/>
        <w:rPr>
          <w:rFonts w:ascii="Times New Roman" w:hAnsi="Times New Roman" w:cs="Times New Roman"/>
          <w:sz w:val="24"/>
          <w:szCs w:val="24"/>
        </w:rPr>
      </w:pPr>
    </w:p>
    <w:p w:rsidR="00DE67F3" w:rsidRPr="00F1525B" w:rsidRDefault="00DE67F3" w:rsidP="00ED47F9">
      <w:pPr>
        <w:spacing w:after="0" w:line="240" w:lineRule="auto"/>
        <w:jc w:val="both"/>
        <w:rPr>
          <w:rFonts w:ascii="Times New Roman" w:hAnsi="Times New Roman" w:cs="Times New Roman"/>
          <w:sz w:val="24"/>
          <w:szCs w:val="24"/>
        </w:rPr>
      </w:pPr>
    </w:p>
    <w:p w:rsidR="00B7526C" w:rsidRPr="00F1525B" w:rsidRDefault="00B7526C">
      <w:pPr>
        <w:spacing w:after="0" w:line="240" w:lineRule="auto"/>
        <w:jc w:val="both"/>
        <w:rPr>
          <w:rFonts w:ascii="Times New Roman" w:hAnsi="Times New Roman" w:cs="Times New Roman"/>
          <w:sz w:val="24"/>
          <w:szCs w:val="24"/>
        </w:rPr>
      </w:pPr>
    </w:p>
    <w:sectPr w:rsidR="00B7526C" w:rsidRPr="00F1525B" w:rsidSect="00F647E2">
      <w:headerReference w:type="default" r:id="rId14"/>
      <w:footerReference w:type="default" r:id="rId15"/>
      <w:pgSz w:w="16838" w:h="11906" w:orient="landscape"/>
      <w:pgMar w:top="1134" w:right="1417" w:bottom="849"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1BE" w:rsidRDefault="008011BE" w:rsidP="00FC265C">
      <w:pPr>
        <w:spacing w:after="0" w:line="240" w:lineRule="auto"/>
      </w:pPr>
      <w:r>
        <w:separator/>
      </w:r>
    </w:p>
  </w:endnote>
  <w:endnote w:type="continuationSeparator" w:id="0">
    <w:p w:rsidR="008011BE" w:rsidRDefault="008011BE"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CE">
    <w:charset w:val="58"/>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669680"/>
      <w:docPartObj>
        <w:docPartGallery w:val="Page Numbers (Bottom of Page)"/>
        <w:docPartUnique/>
      </w:docPartObj>
    </w:sdtPr>
    <w:sdtEndPr>
      <w:rPr>
        <w:noProof/>
      </w:rPr>
    </w:sdtEndPr>
    <w:sdtContent>
      <w:p w:rsidR="00FC265C" w:rsidRDefault="00FC265C">
        <w:pPr>
          <w:pStyle w:val="Footer"/>
          <w:jc w:val="right"/>
        </w:pPr>
        <w:r>
          <w:fldChar w:fldCharType="begin"/>
        </w:r>
        <w:r>
          <w:instrText xml:space="preserve"> PAGE   \* MERGEFORMAT </w:instrText>
        </w:r>
        <w:r>
          <w:fldChar w:fldCharType="separate"/>
        </w:r>
        <w:r w:rsidR="00BF6BDB">
          <w:rPr>
            <w:noProof/>
          </w:rPr>
          <w:t>9</w:t>
        </w:r>
        <w:r>
          <w:rPr>
            <w:noProof/>
          </w:rPr>
          <w:fldChar w:fldCharType="end"/>
        </w:r>
      </w:p>
    </w:sdtContent>
  </w:sdt>
  <w:p w:rsidR="00FC265C" w:rsidRDefault="00FC2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1BE" w:rsidRDefault="008011BE" w:rsidP="00FC265C">
      <w:pPr>
        <w:spacing w:after="0" w:line="240" w:lineRule="auto"/>
      </w:pPr>
      <w:r>
        <w:separator/>
      </w:r>
    </w:p>
  </w:footnote>
  <w:footnote w:type="continuationSeparator" w:id="0">
    <w:p w:rsidR="008011BE" w:rsidRDefault="008011BE" w:rsidP="00FC265C">
      <w:pPr>
        <w:spacing w:after="0" w:line="240" w:lineRule="auto"/>
      </w:pPr>
      <w:r>
        <w:continuationSeparator/>
      </w:r>
    </w:p>
  </w:footnote>
  <w:footnote w:id="1">
    <w:p w:rsidR="00501448" w:rsidRPr="00627156" w:rsidRDefault="00501448" w:rsidP="00F152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65C" w:rsidRDefault="00FC265C" w:rsidP="00FC265C">
    <w:pPr>
      <w:pStyle w:val="Header"/>
      <w:tabs>
        <w:tab w:val="clear" w:pos="9072"/>
        <w:tab w:val="right" w:pos="10348"/>
      </w:tabs>
    </w:pPr>
    <w:r w:rsidRPr="006A6EEB">
      <w:rPr>
        <w:rFonts w:ascii="Times New Roman" w:hAnsi="Times New Roman" w:cs="Times New Roman"/>
        <w:noProof/>
        <w:lang w:eastAsia="hr-HR"/>
      </w:rPr>
      <w:drawing>
        <wp:anchor distT="0" distB="0" distL="114300" distR="114300" simplePos="0" relativeHeight="251658240" behindDoc="0" locked="0" layoutInCell="1" allowOverlap="1">
          <wp:simplePos x="0" y="0"/>
          <wp:positionH relativeFrom="margin">
            <wp:posOffset>610760</wp:posOffset>
          </wp:positionH>
          <wp:positionV relativeFrom="margin">
            <wp:posOffset>-712443</wp:posOffset>
          </wp:positionV>
          <wp:extent cx="7298690" cy="1236345"/>
          <wp:effectExtent l="0" t="0" r="0" b="1905"/>
          <wp:wrapSquare wrapText="bothSides"/>
          <wp:docPr id="25" name="Picture 25" descr="Y:\SEKTOR ZA PRIPREMU I PROVEDBU PROJEKATA\INFORMIRANJE I VIDLJIVOST NOVO\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KTOR ZA PRIPREMU I PROVEDBU PROJEKATA\INFORMIRANJE I VIDLJIVOST NOVO\MRRFEU pasica logotipi L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98690" cy="123634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C6FFD"/>
    <w:multiLevelType w:val="hybridMultilevel"/>
    <w:tmpl w:val="ECDA2BFE"/>
    <w:lvl w:ilvl="0" w:tplc="822EA70C">
      <w:start w:val="1"/>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54A584D"/>
    <w:multiLevelType w:val="hybridMultilevel"/>
    <w:tmpl w:val="B820531C"/>
    <w:lvl w:ilvl="0" w:tplc="C6E852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9E22749"/>
    <w:multiLevelType w:val="hybridMultilevel"/>
    <w:tmpl w:val="852096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65D53BE"/>
    <w:multiLevelType w:val="hybridMultilevel"/>
    <w:tmpl w:val="D826D4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52E76"/>
    <w:rsid w:val="00070B3D"/>
    <w:rsid w:val="00074785"/>
    <w:rsid w:val="00075396"/>
    <w:rsid w:val="000A1ED7"/>
    <w:rsid w:val="000B65C1"/>
    <w:rsid w:val="00112A25"/>
    <w:rsid w:val="00134425"/>
    <w:rsid w:val="00177BBB"/>
    <w:rsid w:val="00192D6D"/>
    <w:rsid w:val="001D6A1B"/>
    <w:rsid w:val="001E139B"/>
    <w:rsid w:val="001F4FB0"/>
    <w:rsid w:val="001F57B9"/>
    <w:rsid w:val="00223FDD"/>
    <w:rsid w:val="00231B94"/>
    <w:rsid w:val="002A09C9"/>
    <w:rsid w:val="002F0F9B"/>
    <w:rsid w:val="0030634A"/>
    <w:rsid w:val="00353F92"/>
    <w:rsid w:val="00394857"/>
    <w:rsid w:val="003C1EB0"/>
    <w:rsid w:val="003D2E8D"/>
    <w:rsid w:val="003E53B0"/>
    <w:rsid w:val="00401956"/>
    <w:rsid w:val="00453C79"/>
    <w:rsid w:val="00480E39"/>
    <w:rsid w:val="00483932"/>
    <w:rsid w:val="004863B8"/>
    <w:rsid w:val="00487568"/>
    <w:rsid w:val="004A0C75"/>
    <w:rsid w:val="004C0D8E"/>
    <w:rsid w:val="004E0016"/>
    <w:rsid w:val="00501448"/>
    <w:rsid w:val="00514963"/>
    <w:rsid w:val="00524969"/>
    <w:rsid w:val="0052506E"/>
    <w:rsid w:val="00582DFF"/>
    <w:rsid w:val="005D44D1"/>
    <w:rsid w:val="005E04A6"/>
    <w:rsid w:val="005E107F"/>
    <w:rsid w:val="005F16F1"/>
    <w:rsid w:val="00614A18"/>
    <w:rsid w:val="00637E5E"/>
    <w:rsid w:val="00645197"/>
    <w:rsid w:val="00667BD9"/>
    <w:rsid w:val="006921A2"/>
    <w:rsid w:val="006A0624"/>
    <w:rsid w:val="006C506B"/>
    <w:rsid w:val="006F73C4"/>
    <w:rsid w:val="00705FD3"/>
    <w:rsid w:val="00706350"/>
    <w:rsid w:val="007107F1"/>
    <w:rsid w:val="007349BA"/>
    <w:rsid w:val="007361D2"/>
    <w:rsid w:val="00751D4E"/>
    <w:rsid w:val="007674AA"/>
    <w:rsid w:val="007924B0"/>
    <w:rsid w:val="007C6884"/>
    <w:rsid w:val="007D0D78"/>
    <w:rsid w:val="007D4622"/>
    <w:rsid w:val="007E41EC"/>
    <w:rsid w:val="007F06C9"/>
    <w:rsid w:val="008011BE"/>
    <w:rsid w:val="00812CF8"/>
    <w:rsid w:val="00856562"/>
    <w:rsid w:val="008632BF"/>
    <w:rsid w:val="008839AA"/>
    <w:rsid w:val="008C10EA"/>
    <w:rsid w:val="00917667"/>
    <w:rsid w:val="00927C11"/>
    <w:rsid w:val="00937859"/>
    <w:rsid w:val="00944CBA"/>
    <w:rsid w:val="0099298C"/>
    <w:rsid w:val="009C112E"/>
    <w:rsid w:val="009D2D7B"/>
    <w:rsid w:val="009E3440"/>
    <w:rsid w:val="009F5813"/>
    <w:rsid w:val="00A22EE5"/>
    <w:rsid w:val="00A25A4B"/>
    <w:rsid w:val="00A766C2"/>
    <w:rsid w:val="00AA4549"/>
    <w:rsid w:val="00AD28D8"/>
    <w:rsid w:val="00AE211E"/>
    <w:rsid w:val="00B7526C"/>
    <w:rsid w:val="00B9716D"/>
    <w:rsid w:val="00BA3A17"/>
    <w:rsid w:val="00BB6591"/>
    <w:rsid w:val="00BC0790"/>
    <w:rsid w:val="00BC6AAB"/>
    <w:rsid w:val="00BD6BB6"/>
    <w:rsid w:val="00BF6BDB"/>
    <w:rsid w:val="00C305D8"/>
    <w:rsid w:val="00C52E59"/>
    <w:rsid w:val="00C659F8"/>
    <w:rsid w:val="00C65F83"/>
    <w:rsid w:val="00C76055"/>
    <w:rsid w:val="00C84D0C"/>
    <w:rsid w:val="00CB05A2"/>
    <w:rsid w:val="00CE6DE1"/>
    <w:rsid w:val="00D12E9C"/>
    <w:rsid w:val="00D20B23"/>
    <w:rsid w:val="00D259C2"/>
    <w:rsid w:val="00D66965"/>
    <w:rsid w:val="00D71A0E"/>
    <w:rsid w:val="00D74510"/>
    <w:rsid w:val="00D82893"/>
    <w:rsid w:val="00D879FA"/>
    <w:rsid w:val="00DC0129"/>
    <w:rsid w:val="00DC6B70"/>
    <w:rsid w:val="00DE61DC"/>
    <w:rsid w:val="00DE67F3"/>
    <w:rsid w:val="00DE6AEC"/>
    <w:rsid w:val="00E0258B"/>
    <w:rsid w:val="00E10653"/>
    <w:rsid w:val="00E216E1"/>
    <w:rsid w:val="00E636BD"/>
    <w:rsid w:val="00E71522"/>
    <w:rsid w:val="00EC6F75"/>
    <w:rsid w:val="00ED47F9"/>
    <w:rsid w:val="00EE03E4"/>
    <w:rsid w:val="00F117B9"/>
    <w:rsid w:val="00F15113"/>
    <w:rsid w:val="00F1525B"/>
    <w:rsid w:val="00F2097B"/>
    <w:rsid w:val="00F26133"/>
    <w:rsid w:val="00F468C2"/>
    <w:rsid w:val="00F647E2"/>
    <w:rsid w:val="00FC0C43"/>
    <w:rsid w:val="00FC10AF"/>
    <w:rsid w:val="00FC26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1C08B"/>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CommentReference">
    <w:name w:val="annotation reference"/>
    <w:basedOn w:val="DefaultParagraphFont"/>
    <w:uiPriority w:val="99"/>
    <w:semiHidden/>
    <w:unhideWhenUsed/>
    <w:rsid w:val="001F57B9"/>
    <w:rPr>
      <w:sz w:val="16"/>
      <w:szCs w:val="16"/>
    </w:rPr>
  </w:style>
  <w:style w:type="paragraph" w:styleId="CommentText">
    <w:name w:val="annotation text"/>
    <w:basedOn w:val="Normal"/>
    <w:link w:val="CommentTextChar"/>
    <w:uiPriority w:val="99"/>
    <w:unhideWhenUsed/>
    <w:rsid w:val="001F57B9"/>
    <w:pPr>
      <w:spacing w:line="240" w:lineRule="auto"/>
    </w:pPr>
    <w:rPr>
      <w:sz w:val="20"/>
      <w:szCs w:val="20"/>
    </w:rPr>
  </w:style>
  <w:style w:type="character" w:customStyle="1" w:styleId="CommentTextChar">
    <w:name w:val="Comment Text Char"/>
    <w:basedOn w:val="DefaultParagraphFont"/>
    <w:link w:val="CommentText"/>
    <w:uiPriority w:val="99"/>
    <w:rsid w:val="001F57B9"/>
    <w:rPr>
      <w:sz w:val="20"/>
      <w:szCs w:val="20"/>
    </w:rPr>
  </w:style>
  <w:style w:type="paragraph" w:styleId="CommentSubject">
    <w:name w:val="annotation subject"/>
    <w:basedOn w:val="CommentText"/>
    <w:next w:val="CommentText"/>
    <w:link w:val="CommentSubjectChar"/>
    <w:uiPriority w:val="99"/>
    <w:semiHidden/>
    <w:unhideWhenUsed/>
    <w:rsid w:val="001F57B9"/>
    <w:rPr>
      <w:b/>
      <w:bCs/>
    </w:rPr>
  </w:style>
  <w:style w:type="character" w:customStyle="1" w:styleId="CommentSubjectChar">
    <w:name w:val="Comment Subject Char"/>
    <w:basedOn w:val="CommentTextChar"/>
    <w:link w:val="CommentSubject"/>
    <w:uiPriority w:val="99"/>
    <w:semiHidden/>
    <w:rsid w:val="001F57B9"/>
    <w:rPr>
      <w:b/>
      <w:bCs/>
      <w:sz w:val="20"/>
      <w:szCs w:val="20"/>
    </w:rPr>
  </w:style>
  <w:style w:type="paragraph" w:styleId="BalloonText">
    <w:name w:val="Balloon Text"/>
    <w:basedOn w:val="Normal"/>
    <w:link w:val="BalloonTextChar"/>
    <w:uiPriority w:val="99"/>
    <w:semiHidden/>
    <w:unhideWhenUsed/>
    <w:rsid w:val="001F5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7B9"/>
    <w:rPr>
      <w:rFonts w:ascii="Segoe UI" w:hAnsi="Segoe UI" w:cs="Segoe UI"/>
      <w:sz w:val="18"/>
      <w:szCs w:val="18"/>
    </w:rPr>
  </w:style>
  <w:style w:type="paragraph" w:styleId="ListParagraph">
    <w:name w:val="List Paragraph"/>
    <w:basedOn w:val="Normal"/>
    <w:link w:val="ListParagraphChar"/>
    <w:uiPriority w:val="34"/>
    <w:qFormat/>
    <w:rsid w:val="00F1525B"/>
    <w:pPr>
      <w:ind w:left="720"/>
      <w:contextualSpacing/>
    </w:pPr>
  </w:style>
  <w:style w:type="character" w:customStyle="1" w:styleId="ListParagraphChar">
    <w:name w:val="List Paragraph Char"/>
    <w:link w:val="ListParagraph"/>
    <w:uiPriority w:val="34"/>
    <w:locked/>
    <w:rsid w:val="00F1525B"/>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F1525B"/>
    <w:pPr>
      <w:spacing w:after="0" w:line="240" w:lineRule="auto"/>
      <w:jc w:val="both"/>
    </w:pPr>
    <w:rPr>
      <w:rFonts w:eastAsiaTheme="minorEastAsia"/>
      <w:sz w:val="16"/>
      <w:szCs w:val="16"/>
      <w:lang w:eastAsia="zh-CN"/>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F1525B"/>
    <w:rPr>
      <w:rFonts w:eastAsiaTheme="minorEastAsia"/>
      <w:sz w:val="16"/>
      <w:szCs w:val="16"/>
      <w:lang w:eastAsia="zh-CN"/>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F1525B"/>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autoRedefine/>
    <w:uiPriority w:val="99"/>
    <w:rsid w:val="00F1525B"/>
    <w:pPr>
      <w:spacing w:before="120" w:after="120" w:line="240" w:lineRule="exact"/>
      <w:jc w:val="both"/>
    </w:pPr>
    <w:rPr>
      <w:vertAlign w:val="superscript"/>
    </w:rPr>
  </w:style>
  <w:style w:type="character" w:styleId="Hyperlink">
    <w:name w:val="Hyperlink"/>
    <w:basedOn w:val="DefaultParagraphFont"/>
    <w:uiPriority w:val="99"/>
    <w:unhideWhenUsed/>
    <w:rsid w:val="00A25A4B"/>
    <w:rPr>
      <w:color w:val="0563C1" w:themeColor="hyperlink"/>
      <w:u w:val="single"/>
    </w:rPr>
  </w:style>
  <w:style w:type="paragraph" w:styleId="NormalWeb">
    <w:name w:val="Normal (Web)"/>
    <w:basedOn w:val="Normal"/>
    <w:uiPriority w:val="99"/>
    <w:semiHidden/>
    <w:unhideWhenUsed/>
    <w:rsid w:val="003C1EB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7051">
      <w:bodyDiv w:val="1"/>
      <w:marLeft w:val="0"/>
      <w:marRight w:val="0"/>
      <w:marTop w:val="0"/>
      <w:marBottom w:val="0"/>
      <w:divBdr>
        <w:top w:val="none" w:sz="0" w:space="0" w:color="auto"/>
        <w:left w:val="none" w:sz="0" w:space="0" w:color="auto"/>
        <w:bottom w:val="none" w:sz="0" w:space="0" w:color="auto"/>
        <w:right w:val="none" w:sz="0" w:space="0" w:color="auto"/>
      </w:divBdr>
    </w:div>
    <w:div w:id="537278894">
      <w:bodyDiv w:val="1"/>
      <w:marLeft w:val="0"/>
      <w:marRight w:val="0"/>
      <w:marTop w:val="0"/>
      <w:marBottom w:val="0"/>
      <w:divBdr>
        <w:top w:val="none" w:sz="0" w:space="0" w:color="auto"/>
        <w:left w:val="none" w:sz="0" w:space="0" w:color="auto"/>
        <w:bottom w:val="none" w:sz="0" w:space="0" w:color="auto"/>
        <w:right w:val="none" w:sz="0" w:space="0" w:color="auto"/>
      </w:divBdr>
    </w:div>
    <w:div w:id="788663820">
      <w:bodyDiv w:val="1"/>
      <w:marLeft w:val="0"/>
      <w:marRight w:val="0"/>
      <w:marTop w:val="0"/>
      <w:marBottom w:val="0"/>
      <w:divBdr>
        <w:top w:val="none" w:sz="0" w:space="0" w:color="auto"/>
        <w:left w:val="none" w:sz="0" w:space="0" w:color="auto"/>
        <w:bottom w:val="none" w:sz="0" w:space="0" w:color="auto"/>
        <w:right w:val="none" w:sz="0" w:space="0" w:color="auto"/>
      </w:divBdr>
    </w:div>
    <w:div w:id="1597136116">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aspersnetwork.org/plugins/servlet/documentRepository/displayDocumentDetails?documentId=18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aspersnetwork.org/plugins/servlet/documentRepository/displayDocumentDetails?documentId=26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B43F148F0C3944BBD47635825EF4D3" ma:contentTypeVersion="9" ma:contentTypeDescription="Stvaranje novog dokumenta." ma:contentTypeScope="" ma:versionID="33a0d2715c7f640e2c4456faf6f1512c">
  <xsd:schema xmlns:xsd="http://www.w3.org/2001/XMLSchema" xmlns:xs="http://www.w3.org/2001/XMLSchema" xmlns:p="http://schemas.microsoft.com/office/2006/metadata/properties" xmlns:ns2="39695568-d1fe-4f13-abf8-88e18f683e79" xmlns:ns3="e7897449-8e6f-4cef-be58-e81a4abd4035" targetNamespace="http://schemas.microsoft.com/office/2006/metadata/properties" ma:root="true" ma:fieldsID="658ac26302411acd22a9ee543afd4e85" ns2:_="" ns3:_="">
    <xsd:import namespace="39695568-d1fe-4f13-abf8-88e18f683e79"/>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95568-d1fe-4f13-abf8-88e18f683e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2DE32-61F7-41E2-AA67-83FD568DF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95568-d1fe-4f13-abf8-88e18f683e79"/>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B7E0B-38D4-4F52-8582-B5C921DFA5C3}">
  <ds:schemaRefs>
    <ds:schemaRef ds:uri="http://schemas.microsoft.com/office/2006/metadata/properties"/>
    <ds:schemaRef ds:uri="http://purl.org/dc/terms/"/>
    <ds:schemaRef ds:uri="http://purl.org/dc/dcmitype/"/>
    <ds:schemaRef ds:uri="http://www.w3.org/XML/1998/namespace"/>
    <ds:schemaRef ds:uri="http://purl.org/dc/elements/1.1/"/>
    <ds:schemaRef ds:uri="39695568-d1fe-4f13-abf8-88e18f683e79"/>
    <ds:schemaRef ds:uri="http://schemas.microsoft.com/office/2006/documentManagement/types"/>
    <ds:schemaRef ds:uri="http://schemas.microsoft.com/office/infopath/2007/PartnerControls"/>
    <ds:schemaRef ds:uri="http://schemas.openxmlformats.org/package/2006/metadata/core-properties"/>
    <ds:schemaRef ds:uri="e7897449-8e6f-4cef-be58-e81a4abd4035"/>
  </ds:schemaRefs>
</ds:datastoreItem>
</file>

<file path=customXml/itemProps3.xml><?xml version="1.0" encoding="utf-8"?>
<ds:datastoreItem xmlns:ds="http://schemas.openxmlformats.org/officeDocument/2006/customXml" ds:itemID="{BE3BAE8F-0F19-4950-B990-35672A4258EB}">
  <ds:schemaRefs>
    <ds:schemaRef ds:uri="http://schemas.microsoft.com/sharepoint/v3/contenttype/forms"/>
  </ds:schemaRefs>
</ds:datastoreItem>
</file>

<file path=customXml/itemProps4.xml><?xml version="1.0" encoding="utf-8"?>
<ds:datastoreItem xmlns:ds="http://schemas.openxmlformats.org/officeDocument/2006/customXml" ds:itemID="{9BCFF321-0A7E-4D93-BDD9-74D888B6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Adi Kolasević</cp:lastModifiedBy>
  <cp:revision>2</cp:revision>
  <dcterms:created xsi:type="dcterms:W3CDTF">2018-04-20T07:28:00Z</dcterms:created>
  <dcterms:modified xsi:type="dcterms:W3CDTF">2018-04-20T07:28:00Z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0x0101006DB43F148F0C3944BBD47635825EF4D3</vt:lpwstr>
  </property>
</Properties>
</file>