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BB1CC1"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49AFBADF"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77FE7">
        <w:rPr>
          <w:rStyle w:val="Bodytext285pt"/>
          <w:rFonts w:eastAsiaTheme="minorHAnsi"/>
          <w:b/>
          <w:sz w:val="18"/>
          <w:szCs w:val="18"/>
          <w:lang w:val="hr-HR"/>
        </w:rPr>
        <w:t>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0AAD7F70"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C81703">
        <w:rPr>
          <w:rFonts w:ascii="Times New Roman" w:hAnsi="Times New Roman" w:cs="Times New Roman"/>
          <w:b/>
          <w:sz w:val="18"/>
          <w:szCs w:val="18"/>
        </w:rPr>
        <w:t>31.12.2018.</w:t>
      </w:r>
    </w:p>
    <w:p w14:paraId="0F944CA7" w14:textId="06A6601D"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C0280" w:rsidRPr="00BC0280">
        <w:rPr>
          <w:rFonts w:ascii="Times New Roman" w:hAnsi="Times New Roman" w:cs="Times New Roman"/>
          <w:b/>
          <w:sz w:val="18"/>
          <w:szCs w:val="18"/>
        </w:rPr>
        <w:t>7ii1 - Povećanje dostupnosti naseljenih otoka za njihove stanovnike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29A2C37E" w14:textId="77777777" w:rsidR="00425D19" w:rsidRPr="00425D19" w:rsidRDefault="00B60EAE" w:rsidP="00425D1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425D19" w:rsidRPr="00425D19">
        <w:rPr>
          <w:rFonts w:ascii="Times New Roman" w:hAnsi="Times New Roman" w:cs="Times New Roman"/>
          <w:b/>
          <w:sz w:val="18"/>
          <w:szCs w:val="18"/>
        </w:rPr>
        <w:t xml:space="preserve">Poziv za sufinanciranje  </w:t>
      </w:r>
    </w:p>
    <w:p w14:paraId="474D5924" w14:textId="64327B4F" w:rsidR="00B60EAE" w:rsidRPr="00826E16" w:rsidRDefault="00425D19" w:rsidP="00425D19">
      <w:pPr>
        <w:spacing w:after="0" w:line="240" w:lineRule="auto"/>
        <w:rPr>
          <w:rFonts w:ascii="Times New Roman" w:hAnsi="Times New Roman" w:cs="Times New Roman"/>
          <w:b/>
          <w:sz w:val="18"/>
          <w:szCs w:val="18"/>
        </w:rPr>
      </w:pPr>
      <w:r w:rsidRPr="00425D19">
        <w:rPr>
          <w:rFonts w:ascii="Times New Roman" w:hAnsi="Times New Roman" w:cs="Times New Roman"/>
          <w:b/>
          <w:sz w:val="18"/>
          <w:szCs w:val="18"/>
        </w:rPr>
        <w:t>unaprjeđenja lučke infrastrukture u funkciji obalnog linijskog pomorskog prometa</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2C3CD388"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E75300" w:rsidRPr="00E75300">
        <w:rPr>
          <w:rFonts w:ascii="Times New Roman" w:hAnsi="Times New Roman" w:cs="Times New Roman"/>
          <w:b/>
          <w:sz w:val="18"/>
          <w:szCs w:val="18"/>
        </w:rPr>
        <w:t>KK.07.4.2.05</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094CD397" w:rsidR="0077279C" w:rsidRPr="00EC7F45" w:rsidRDefault="008611D0" w:rsidP="0077279C">
            <w:pPr>
              <w:rPr>
                <w:b/>
                <w:lang w:val="hr-HR"/>
              </w:rPr>
            </w:pPr>
            <w:r>
              <w:rPr>
                <w:b/>
                <w:lang w:val="hr-HR"/>
              </w:rPr>
              <w:t>6</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291ACB0F"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8611D0">
              <w:rPr>
                <w:b/>
                <w:lang w:val="hr-HR"/>
              </w:rPr>
              <w:t>6</w:t>
            </w:r>
            <w:r w:rsidRPr="00EC7F45">
              <w:rPr>
                <w:b/>
                <w:lang w:val="hr-HR"/>
              </w:rPr>
              <w:t>:</w:t>
            </w:r>
          </w:p>
        </w:tc>
        <w:tc>
          <w:tcPr>
            <w:tcW w:w="6946" w:type="dxa"/>
            <w:shd w:val="clear" w:color="auto" w:fill="B0CB1F"/>
          </w:tcPr>
          <w:p w14:paraId="27E80A02" w14:textId="7FA6E9F8" w:rsidR="0077279C" w:rsidRPr="00705A4D" w:rsidRDefault="008611D0" w:rsidP="007D2415">
            <w:pPr>
              <w:rPr>
                <w:b/>
                <w:lang w:val="hr-HR"/>
              </w:rPr>
            </w:pPr>
            <w:r>
              <w:rPr>
                <w:b/>
                <w:lang w:val="hr-HR"/>
              </w:rPr>
              <w:t>16.2</w:t>
            </w:r>
            <w:r w:rsidR="00705A4D" w:rsidRPr="00705A4D">
              <w:rPr>
                <w:b/>
                <w:lang w:val="hr-HR"/>
              </w:rPr>
              <w:t>.201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1073C58E" w:rsidR="0077279C" w:rsidRPr="00EC7F45" w:rsidRDefault="00324620" w:rsidP="00934E04">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934E04">
              <w:rPr>
                <w:b/>
                <w:color w:val="FFFFFF" w:themeColor="background1"/>
                <w:sz w:val="22"/>
                <w:szCs w:val="22"/>
                <w:lang w:val="hr-HR"/>
              </w:rPr>
              <w:t>14</w:t>
            </w:r>
            <w:r w:rsidR="00705A4D">
              <w:rPr>
                <w:b/>
                <w:color w:val="FFFFFF" w:themeColor="background1"/>
                <w:sz w:val="22"/>
                <w:szCs w:val="22"/>
                <w:lang w:val="hr-HR"/>
              </w:rPr>
              <w:t>.</w:t>
            </w:r>
            <w:r w:rsidR="00934E04">
              <w:rPr>
                <w:b/>
                <w:color w:val="FFFFFF" w:themeColor="background1"/>
                <w:sz w:val="22"/>
                <w:szCs w:val="22"/>
                <w:lang w:val="hr-HR"/>
              </w:rPr>
              <w:t>2</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1E92E83F" w:rsidR="0077279C" w:rsidRPr="00EC7F45" w:rsidRDefault="00324620" w:rsidP="00934E04">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934E04">
              <w:rPr>
                <w:b/>
                <w:color w:val="FFFFFF" w:themeColor="background1"/>
                <w:sz w:val="22"/>
                <w:szCs w:val="22"/>
                <w:lang w:val="hr-HR"/>
              </w:rPr>
              <w:t>16</w:t>
            </w:r>
            <w:r w:rsidR="00705A4D">
              <w:rPr>
                <w:b/>
                <w:color w:val="FFFFFF" w:themeColor="background1"/>
                <w:sz w:val="22"/>
                <w:szCs w:val="22"/>
                <w:lang w:val="hr-HR"/>
              </w:rPr>
              <w:t>.</w:t>
            </w:r>
            <w:r w:rsidR="00934E04">
              <w:rPr>
                <w:b/>
                <w:color w:val="FFFFFF" w:themeColor="background1"/>
                <w:sz w:val="22"/>
                <w:szCs w:val="22"/>
                <w:lang w:val="hr-HR"/>
              </w:rPr>
              <w:t>2</w:t>
            </w:r>
            <w:r w:rsidR="00705A4D">
              <w:rPr>
                <w:b/>
                <w:color w:val="FFFFFF" w:themeColor="background1"/>
                <w:sz w:val="22"/>
                <w:szCs w:val="22"/>
                <w:lang w:val="hr-HR"/>
              </w:rPr>
              <w:t>.201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66557939" w14:textId="0061B53D" w:rsidR="00C93AD1" w:rsidRPr="00C93AD1" w:rsidRDefault="00C93AD1" w:rsidP="00C93AD1">
            <w:pPr>
              <w:jc w:val="both"/>
              <w:rPr>
                <w:sz w:val="22"/>
                <w:szCs w:val="22"/>
                <w:lang w:val="hr-HR"/>
              </w:rPr>
            </w:pPr>
            <w:r>
              <w:rPr>
                <w:sz w:val="22"/>
                <w:szCs w:val="22"/>
                <w:lang w:val="hr-HR"/>
              </w:rPr>
              <w:t>P</w:t>
            </w:r>
            <w:r w:rsidRPr="00C93AD1">
              <w:rPr>
                <w:sz w:val="22"/>
                <w:szCs w:val="22"/>
                <w:lang w:val="hr-HR"/>
              </w:rPr>
              <w:t>rema točki 1.5. UzP navedeno je sljedeće: "...</w:t>
            </w:r>
            <w:r w:rsidRPr="00C93AD1">
              <w:rPr>
                <w:i/>
                <w:sz w:val="22"/>
                <w:szCs w:val="22"/>
                <w:lang w:val="hr-HR"/>
              </w:rPr>
              <w:t>Odobrenje financiranja aktivnosti projekta koje su započele ili su već izvršene prije sklapanja Ugovora o sufinanciranju prihvatljivo je po ovom Pozivu, no da bi se iste aktivnosti financirale Korisnik je morao podnijeti pisani zahtjev za potporu prije početka rada na projektu ili djelatnosti</w:t>
            </w:r>
            <w:r w:rsidRPr="00C93AD1">
              <w:rPr>
                <w:sz w:val="22"/>
                <w:szCs w:val="22"/>
                <w:lang w:val="hr-HR"/>
              </w:rPr>
              <w:t>...."</w:t>
            </w:r>
          </w:p>
          <w:p w14:paraId="7818665B" w14:textId="77777777" w:rsidR="00C93AD1" w:rsidRPr="00C93AD1" w:rsidRDefault="00C93AD1" w:rsidP="00C93AD1">
            <w:pPr>
              <w:jc w:val="both"/>
              <w:rPr>
                <w:sz w:val="22"/>
                <w:szCs w:val="22"/>
                <w:lang w:val="hr-HR"/>
              </w:rPr>
            </w:pPr>
            <w:r w:rsidRPr="00C93AD1">
              <w:rPr>
                <w:sz w:val="22"/>
                <w:szCs w:val="22"/>
                <w:lang w:val="hr-HR"/>
              </w:rPr>
              <w:t> </w:t>
            </w:r>
          </w:p>
          <w:p w14:paraId="5B1BAB6A" w14:textId="77777777" w:rsidR="00C93AD1" w:rsidRPr="00C93AD1" w:rsidRDefault="00C93AD1" w:rsidP="00C93AD1">
            <w:pPr>
              <w:jc w:val="both"/>
              <w:rPr>
                <w:sz w:val="22"/>
                <w:szCs w:val="22"/>
                <w:lang w:val="hr-HR"/>
              </w:rPr>
            </w:pPr>
            <w:r w:rsidRPr="00C93AD1">
              <w:rPr>
                <w:sz w:val="22"/>
                <w:szCs w:val="22"/>
                <w:lang w:val="hr-HR"/>
              </w:rPr>
              <w:t>Uzmimo za primjer da s današnjim datumom određena lučka uprava (potencijalni Korisnik) ima osigurana sredstva za raspisivanje postupka nabavke za ugovaranje izvođača radova (otprije je prethodno ishodio sve potrebne dozvole za izvođenje predmetnih radova), ima namjeru krenuti odmah u otvaranje samog postupka, no još uvijek nije podnio projektnu prijavu u sklopu ovog Poziva (odnosno očekuje da će službenu projektnu prijavu podnijeti kroz sljedeći kvartal).</w:t>
            </w:r>
          </w:p>
          <w:p w14:paraId="4F8BF32C" w14:textId="77777777" w:rsidR="00C93AD1" w:rsidRPr="00C93AD1" w:rsidRDefault="00C93AD1" w:rsidP="00C93AD1">
            <w:pPr>
              <w:jc w:val="both"/>
              <w:rPr>
                <w:sz w:val="22"/>
                <w:szCs w:val="22"/>
                <w:lang w:val="hr-HR"/>
              </w:rPr>
            </w:pPr>
            <w:r w:rsidRPr="00C93AD1">
              <w:rPr>
                <w:sz w:val="22"/>
                <w:szCs w:val="22"/>
                <w:lang w:val="hr-HR"/>
              </w:rPr>
              <w:t> </w:t>
            </w:r>
          </w:p>
          <w:p w14:paraId="19F7608A" w14:textId="46FCCDE1" w:rsidR="0077279C" w:rsidRPr="00EC7F45" w:rsidRDefault="00C93AD1" w:rsidP="00C93AD1">
            <w:pPr>
              <w:jc w:val="both"/>
              <w:rPr>
                <w:sz w:val="22"/>
                <w:szCs w:val="22"/>
                <w:lang w:val="hr-HR"/>
              </w:rPr>
            </w:pPr>
            <w:r w:rsidRPr="00C93AD1">
              <w:rPr>
                <w:sz w:val="22"/>
                <w:szCs w:val="22"/>
                <w:lang w:val="hr-HR"/>
              </w:rPr>
              <w:t>Znači li to da bi ovaj potencijalni Korisnik mogao/trebao već s današnjim datumom ujedno podnijeti i pisani zahtjev za potporu (u kojem su navedeni troškovi predmetnih radova) kako bi osigurao prihvatljivost ovih troškova u slučaju da ovaj potencijalni Korisnik ubuduće sklopi i sami Ugovor o dodjeli bespovratnih sredstava u sklopu ovog Poziva (tj. u slučaju da njegova projektna prijava bude odabrana za financiranje)?</w:t>
            </w:r>
            <w:r w:rsidR="00A52D6A" w:rsidRPr="00A52D6A">
              <w:rPr>
                <w:sz w:val="22"/>
                <w:szCs w:val="22"/>
                <w:lang w:val="hr-HR"/>
              </w:rPr>
              <w:t> </w:t>
            </w:r>
          </w:p>
        </w:tc>
        <w:tc>
          <w:tcPr>
            <w:tcW w:w="6946" w:type="dxa"/>
          </w:tcPr>
          <w:p w14:paraId="5D4D4EF2" w14:textId="7FFDEF7A" w:rsidR="00FD73F5" w:rsidRPr="00FD73F5" w:rsidRDefault="00FD73F5" w:rsidP="00FD73F5">
            <w:pPr>
              <w:jc w:val="both"/>
              <w:rPr>
                <w:sz w:val="22"/>
                <w:szCs w:val="22"/>
                <w:lang w:val="hr-HR"/>
              </w:rPr>
            </w:pPr>
            <w:r>
              <w:rPr>
                <w:sz w:val="22"/>
                <w:szCs w:val="22"/>
                <w:lang w:val="hr-HR"/>
              </w:rPr>
              <w:t>Temeljem postavljenog</w:t>
            </w:r>
            <w:r w:rsidRPr="00FD73F5">
              <w:rPr>
                <w:sz w:val="22"/>
                <w:szCs w:val="22"/>
                <w:lang w:val="hr-HR"/>
              </w:rPr>
              <w:t xml:space="preserve"> upita napominjemo da je, sukladno točki 5.1 Uputa za prijavitelje, prilikom podnošenja prijave na ovaj Poziv obvezno dostaviti Obrazac 2: Izjava Prijavitelja, kojeg prijavitelj potpisuje pod materijalnom i kaznenom odgovornošću. Između ostalog, ovom izjavom prijavitelj potvrđuje da, u dijelu u kojem traži sufinanciranje iz Fondova u predmetnom postupku dodjele bespovratnih sredstava, nema 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p>
          <w:p w14:paraId="79DA771F" w14:textId="77777777" w:rsidR="00FD73F5" w:rsidRPr="00FD73F5" w:rsidRDefault="00FD73F5" w:rsidP="00FD73F5">
            <w:pPr>
              <w:jc w:val="both"/>
              <w:rPr>
                <w:sz w:val="22"/>
                <w:szCs w:val="22"/>
                <w:lang w:val="hr-HR"/>
              </w:rPr>
            </w:pPr>
            <w:r w:rsidRPr="00FD73F5">
              <w:rPr>
                <w:sz w:val="22"/>
                <w:szCs w:val="22"/>
                <w:lang w:val="hr-HR"/>
              </w:rPr>
              <w:t> </w:t>
            </w:r>
          </w:p>
          <w:p w14:paraId="4D18DEF7" w14:textId="549340F0" w:rsidR="00FD73F5" w:rsidRPr="00FD73F5" w:rsidRDefault="00FD73F5" w:rsidP="00FD73F5">
            <w:pPr>
              <w:jc w:val="both"/>
              <w:rPr>
                <w:sz w:val="22"/>
                <w:szCs w:val="22"/>
                <w:lang w:val="hr-HR"/>
              </w:rPr>
            </w:pPr>
            <w:r>
              <w:rPr>
                <w:sz w:val="22"/>
                <w:szCs w:val="22"/>
                <w:lang w:val="hr-HR"/>
              </w:rPr>
              <w:t>Citirana o</w:t>
            </w:r>
            <w:r w:rsidRPr="00FD73F5">
              <w:rPr>
                <w:sz w:val="22"/>
                <w:szCs w:val="22"/>
                <w:lang w:val="hr-HR"/>
              </w:rPr>
              <w:t>dredba Upu</w:t>
            </w:r>
            <w:r>
              <w:rPr>
                <w:sz w:val="22"/>
                <w:szCs w:val="22"/>
                <w:lang w:val="hr-HR"/>
              </w:rPr>
              <w:t>ta za prijavitelje</w:t>
            </w:r>
            <w:r w:rsidRPr="00FD73F5">
              <w:rPr>
                <w:sz w:val="22"/>
                <w:szCs w:val="22"/>
                <w:lang w:val="hr-HR"/>
              </w:rPr>
              <w:t xml:space="preserve"> odnosi se na članak 13 Programa državnih potpora za razvoj luka otvorenih za javni promet Republike Hrvatske za razdoblje 2017. - 2020. godine (u daljnjem tekstu: Program). Stavci 1 i 2 članka 13 propisuju da se Program primjenjuje samo na potpore koje imaju učinak poticaja te da se smatra da potpora ima učinak poticaja ako je korisnik podnio pisani zahtjev za potporu prije početka rada na projektu ili djelatnosti. Odnosno, ako korisnik nije podnio pisani zahtjev za potporu prije početka rada na projektu ili djelatnosti, smatra se da raspolaže vlastitim sredstvima za početak rada i da potpora nema učinak poticaja. Pisani zahtjev u smislu članka 13 Programa ne odnosi se isključivo na podnošenje prijave na ovaj poziv (obzirom da su prihvatljivi troškovi koji su nastali od 1.1.2014. godine). Člankom 13 Programa (stavak 3) i točkom </w:t>
            </w:r>
            <w:r w:rsidRPr="00FD73F5">
              <w:rPr>
                <w:sz w:val="22"/>
                <w:szCs w:val="22"/>
                <w:lang w:val="hr-HR"/>
              </w:rPr>
              <w:lastRenderedPageBreak/>
              <w:t>1.5 Uputa za prijavitelje propisano je što pisani zahtjev mora minimalno sadržavati.</w:t>
            </w:r>
          </w:p>
          <w:p w14:paraId="4E2E8990" w14:textId="77777777" w:rsidR="00FD73F5" w:rsidRPr="00FD73F5" w:rsidRDefault="00FD73F5" w:rsidP="00FD73F5">
            <w:pPr>
              <w:jc w:val="both"/>
              <w:rPr>
                <w:sz w:val="22"/>
                <w:szCs w:val="22"/>
                <w:lang w:val="hr-HR"/>
              </w:rPr>
            </w:pPr>
            <w:r w:rsidRPr="00FD73F5">
              <w:rPr>
                <w:sz w:val="22"/>
                <w:szCs w:val="22"/>
                <w:lang w:val="hr-HR"/>
              </w:rPr>
              <w:t> </w:t>
            </w:r>
          </w:p>
          <w:p w14:paraId="6A603F5D" w14:textId="77777777" w:rsidR="00FD73F5" w:rsidRPr="00FD73F5" w:rsidRDefault="00FD73F5" w:rsidP="00FD73F5">
            <w:pPr>
              <w:jc w:val="both"/>
              <w:rPr>
                <w:sz w:val="22"/>
                <w:szCs w:val="22"/>
                <w:lang w:val="hr-HR"/>
              </w:rPr>
            </w:pPr>
            <w:r w:rsidRPr="00FD73F5">
              <w:rPr>
                <w:sz w:val="22"/>
                <w:szCs w:val="22"/>
                <w:lang w:val="hr-HR"/>
              </w:rPr>
              <w:t>U točki 1.5 Uputa za prijavitelje navedeno je da „početak radova na projektu“ znači 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 U slučaju preuzimanja „početak radova” znači trenutak stjecanja imovine koja je izravno povezana sa stečenom poslovnom jedinicom.</w:t>
            </w:r>
          </w:p>
          <w:p w14:paraId="096BBBC3" w14:textId="77777777" w:rsidR="00FD73F5" w:rsidRPr="00FD73F5" w:rsidRDefault="00FD73F5" w:rsidP="00FD73F5">
            <w:pPr>
              <w:jc w:val="both"/>
              <w:rPr>
                <w:sz w:val="22"/>
                <w:szCs w:val="22"/>
                <w:lang w:val="hr-HR"/>
              </w:rPr>
            </w:pPr>
            <w:r w:rsidRPr="00FD73F5">
              <w:rPr>
                <w:sz w:val="22"/>
                <w:szCs w:val="22"/>
                <w:lang w:val="hr-HR"/>
              </w:rPr>
              <w:t> </w:t>
            </w:r>
          </w:p>
          <w:p w14:paraId="050EEDAD" w14:textId="15CB095D" w:rsidR="00FD73F5" w:rsidRPr="00FD73F5" w:rsidRDefault="00DA0D8D" w:rsidP="00FD73F5">
            <w:pPr>
              <w:jc w:val="both"/>
              <w:rPr>
                <w:sz w:val="22"/>
                <w:szCs w:val="22"/>
                <w:lang w:val="hr-HR"/>
              </w:rPr>
            </w:pPr>
            <w:r>
              <w:rPr>
                <w:sz w:val="22"/>
                <w:szCs w:val="22"/>
                <w:lang w:val="hr-HR"/>
              </w:rPr>
              <w:t>V</w:t>
            </w:r>
            <w:r w:rsidR="00567371">
              <w:rPr>
                <w:sz w:val="22"/>
                <w:szCs w:val="22"/>
                <w:lang w:val="hr-HR"/>
              </w:rPr>
              <w:t>ezano uz navedeni primjer</w:t>
            </w:r>
            <w:r w:rsidR="00FD73F5" w:rsidRPr="00FD73F5">
              <w:rPr>
                <w:sz w:val="22"/>
                <w:szCs w:val="22"/>
                <w:lang w:val="hr-HR"/>
              </w:rPr>
              <w:t>, raspisivanje postupka nabave ne smatra se početkom radova na projektu jer ne predstavlja obvezu koja ulaganje čini neopozivim.</w:t>
            </w:r>
          </w:p>
          <w:p w14:paraId="28C0C46A" w14:textId="77777777" w:rsidR="00FD73F5" w:rsidRPr="00FD73F5" w:rsidRDefault="00FD73F5" w:rsidP="00FD73F5">
            <w:pPr>
              <w:jc w:val="both"/>
              <w:rPr>
                <w:sz w:val="22"/>
                <w:szCs w:val="22"/>
                <w:lang w:val="hr-HR"/>
              </w:rPr>
            </w:pPr>
            <w:r w:rsidRPr="00FD73F5">
              <w:rPr>
                <w:sz w:val="22"/>
                <w:szCs w:val="22"/>
                <w:lang w:val="hr-HR"/>
              </w:rPr>
              <w:t> </w:t>
            </w:r>
          </w:p>
          <w:p w14:paraId="063BE3B0" w14:textId="77777777" w:rsidR="00FD73F5" w:rsidRPr="00FD73F5" w:rsidRDefault="00FD73F5" w:rsidP="00FD73F5">
            <w:pPr>
              <w:jc w:val="both"/>
              <w:rPr>
                <w:sz w:val="22"/>
                <w:szCs w:val="22"/>
                <w:lang w:val="hr-HR"/>
              </w:rPr>
            </w:pPr>
            <w:r w:rsidRPr="00FD73F5">
              <w:rPr>
                <w:sz w:val="22"/>
                <w:szCs w:val="22"/>
                <w:lang w:val="hr-HR"/>
              </w:rPr>
              <w:t>Odobrenje financiranja aktivnosti projekta koje su započele ili su već dovršene prije potpisivanja Ugovora o dodjeli bespovratnih sredstva moguće je pod uvjetom da se radi o prihvatljivim kategorijama aktivnosti te s njima povezanima troškovima koji su ostvareni tijekom razdoblja provedbe projekta te uz uvjet da su usklađene sa svim ostalim relevantnim kriterijima prihvatljivosti navedenima u Pozivu.</w:t>
            </w:r>
          </w:p>
          <w:p w14:paraId="423F43DB" w14:textId="61BE5199" w:rsidR="0077279C" w:rsidRPr="00EC7F45" w:rsidRDefault="00D64D6E" w:rsidP="006E36E9">
            <w:pPr>
              <w:jc w:val="both"/>
              <w:rPr>
                <w:sz w:val="22"/>
                <w:szCs w:val="22"/>
                <w:lang w:val="hr-HR"/>
              </w:rPr>
            </w:pPr>
            <w:r>
              <w:rPr>
                <w:sz w:val="22"/>
                <w:szCs w:val="22"/>
                <w:lang w:val="hr-HR"/>
              </w:rPr>
              <w:t xml:space="preserve"> </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22791" w14:textId="77777777" w:rsidR="00BB1CC1" w:rsidRDefault="00BB1CC1" w:rsidP="00FC265C">
      <w:pPr>
        <w:spacing w:after="0" w:line="240" w:lineRule="auto"/>
      </w:pPr>
      <w:r>
        <w:separator/>
      </w:r>
    </w:p>
  </w:endnote>
  <w:endnote w:type="continuationSeparator" w:id="0">
    <w:p w14:paraId="621D1277" w14:textId="77777777" w:rsidR="00BB1CC1" w:rsidRDefault="00BB1CC1"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C77F24">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19006" w14:textId="77777777" w:rsidR="00BB1CC1" w:rsidRDefault="00BB1CC1" w:rsidP="00FC265C">
      <w:pPr>
        <w:spacing w:after="0" w:line="240" w:lineRule="auto"/>
      </w:pPr>
      <w:r>
        <w:separator/>
      </w:r>
    </w:p>
  </w:footnote>
  <w:footnote w:type="continuationSeparator" w:id="0">
    <w:p w14:paraId="4D8014D0" w14:textId="77777777" w:rsidR="00BB1CC1" w:rsidRDefault="00BB1CC1"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25010"/>
    <w:rsid w:val="00025179"/>
    <w:rsid w:val="00041DB1"/>
    <w:rsid w:val="00070B3D"/>
    <w:rsid w:val="000717B8"/>
    <w:rsid w:val="00075396"/>
    <w:rsid w:val="00087974"/>
    <w:rsid w:val="000B16FD"/>
    <w:rsid w:val="000B1E46"/>
    <w:rsid w:val="000C1D3D"/>
    <w:rsid w:val="000C22AB"/>
    <w:rsid w:val="000C33FB"/>
    <w:rsid w:val="000C5E2D"/>
    <w:rsid w:val="000D2ECF"/>
    <w:rsid w:val="000E048D"/>
    <w:rsid w:val="000E3453"/>
    <w:rsid w:val="000E3753"/>
    <w:rsid w:val="000E6D25"/>
    <w:rsid w:val="00102D7E"/>
    <w:rsid w:val="00105079"/>
    <w:rsid w:val="00126B47"/>
    <w:rsid w:val="00133307"/>
    <w:rsid w:val="00135309"/>
    <w:rsid w:val="00136788"/>
    <w:rsid w:val="0013776A"/>
    <w:rsid w:val="001421EB"/>
    <w:rsid w:val="001449EF"/>
    <w:rsid w:val="001521C3"/>
    <w:rsid w:val="001534AC"/>
    <w:rsid w:val="00162062"/>
    <w:rsid w:val="0017031A"/>
    <w:rsid w:val="00185383"/>
    <w:rsid w:val="0019596C"/>
    <w:rsid w:val="001974B9"/>
    <w:rsid w:val="001A0094"/>
    <w:rsid w:val="001A17C6"/>
    <w:rsid w:val="001A2939"/>
    <w:rsid w:val="001A3DC4"/>
    <w:rsid w:val="001B23B8"/>
    <w:rsid w:val="001B241B"/>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33F5"/>
    <w:rsid w:val="002A5212"/>
    <w:rsid w:val="002B2324"/>
    <w:rsid w:val="002C33CF"/>
    <w:rsid w:val="002C3C3C"/>
    <w:rsid w:val="002C5E0E"/>
    <w:rsid w:val="002C5F04"/>
    <w:rsid w:val="002C6F5D"/>
    <w:rsid w:val="002D6A56"/>
    <w:rsid w:val="002D6C75"/>
    <w:rsid w:val="002E5C6E"/>
    <w:rsid w:val="002E650B"/>
    <w:rsid w:val="002F57EF"/>
    <w:rsid w:val="002F6DA2"/>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5D19"/>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31AF4"/>
    <w:rsid w:val="00544D17"/>
    <w:rsid w:val="0054576C"/>
    <w:rsid w:val="00565EEF"/>
    <w:rsid w:val="00567371"/>
    <w:rsid w:val="00570BEB"/>
    <w:rsid w:val="00571959"/>
    <w:rsid w:val="005813DD"/>
    <w:rsid w:val="005824F7"/>
    <w:rsid w:val="005849F9"/>
    <w:rsid w:val="00584E2A"/>
    <w:rsid w:val="00592ADF"/>
    <w:rsid w:val="00593C7C"/>
    <w:rsid w:val="005A47E8"/>
    <w:rsid w:val="005A4EB5"/>
    <w:rsid w:val="005A62CD"/>
    <w:rsid w:val="005A668A"/>
    <w:rsid w:val="005D165D"/>
    <w:rsid w:val="005D44D1"/>
    <w:rsid w:val="005D4B64"/>
    <w:rsid w:val="005D681B"/>
    <w:rsid w:val="005E0D89"/>
    <w:rsid w:val="005E2BEC"/>
    <w:rsid w:val="00601BE1"/>
    <w:rsid w:val="006072C0"/>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B538B"/>
    <w:rsid w:val="006C08B9"/>
    <w:rsid w:val="006C16EA"/>
    <w:rsid w:val="006C414B"/>
    <w:rsid w:val="006C7AE0"/>
    <w:rsid w:val="006D2170"/>
    <w:rsid w:val="006D7D73"/>
    <w:rsid w:val="006E36E9"/>
    <w:rsid w:val="006E49CF"/>
    <w:rsid w:val="006E58C6"/>
    <w:rsid w:val="006E6D9D"/>
    <w:rsid w:val="006F02B4"/>
    <w:rsid w:val="006F5631"/>
    <w:rsid w:val="006F61F0"/>
    <w:rsid w:val="006F716F"/>
    <w:rsid w:val="006F7A36"/>
    <w:rsid w:val="00701958"/>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6B9A"/>
    <w:rsid w:val="00800EBC"/>
    <w:rsid w:val="0080768F"/>
    <w:rsid w:val="0081394B"/>
    <w:rsid w:val="008143AD"/>
    <w:rsid w:val="00826E16"/>
    <w:rsid w:val="00831DF8"/>
    <w:rsid w:val="0083782C"/>
    <w:rsid w:val="008401B2"/>
    <w:rsid w:val="008467B9"/>
    <w:rsid w:val="008553D0"/>
    <w:rsid w:val="008611D0"/>
    <w:rsid w:val="00862E3A"/>
    <w:rsid w:val="00863739"/>
    <w:rsid w:val="0087033A"/>
    <w:rsid w:val="00872A74"/>
    <w:rsid w:val="008743D7"/>
    <w:rsid w:val="008755B5"/>
    <w:rsid w:val="008773F6"/>
    <w:rsid w:val="008839AA"/>
    <w:rsid w:val="00886471"/>
    <w:rsid w:val="00886C6D"/>
    <w:rsid w:val="00887D3D"/>
    <w:rsid w:val="008909D4"/>
    <w:rsid w:val="00893A7E"/>
    <w:rsid w:val="008960A7"/>
    <w:rsid w:val="008974F9"/>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050E"/>
    <w:rsid w:val="009238C2"/>
    <w:rsid w:val="00925989"/>
    <w:rsid w:val="00934E04"/>
    <w:rsid w:val="009360A4"/>
    <w:rsid w:val="00936E3C"/>
    <w:rsid w:val="00960064"/>
    <w:rsid w:val="00971D8A"/>
    <w:rsid w:val="00971E56"/>
    <w:rsid w:val="0098396A"/>
    <w:rsid w:val="00984845"/>
    <w:rsid w:val="00985555"/>
    <w:rsid w:val="00996300"/>
    <w:rsid w:val="00996FE8"/>
    <w:rsid w:val="009A0A4C"/>
    <w:rsid w:val="009A48E3"/>
    <w:rsid w:val="009A59DD"/>
    <w:rsid w:val="009C36B9"/>
    <w:rsid w:val="009C6EDE"/>
    <w:rsid w:val="009D17A7"/>
    <w:rsid w:val="009E06F7"/>
    <w:rsid w:val="009E45B2"/>
    <w:rsid w:val="009E4B14"/>
    <w:rsid w:val="009F1F0C"/>
    <w:rsid w:val="009F4830"/>
    <w:rsid w:val="009F490E"/>
    <w:rsid w:val="00A019E1"/>
    <w:rsid w:val="00A1430A"/>
    <w:rsid w:val="00A166B4"/>
    <w:rsid w:val="00A22696"/>
    <w:rsid w:val="00A24F6F"/>
    <w:rsid w:val="00A2549D"/>
    <w:rsid w:val="00A3084B"/>
    <w:rsid w:val="00A31E0F"/>
    <w:rsid w:val="00A415B4"/>
    <w:rsid w:val="00A4448A"/>
    <w:rsid w:val="00A45C96"/>
    <w:rsid w:val="00A47FC8"/>
    <w:rsid w:val="00A50770"/>
    <w:rsid w:val="00A52D6A"/>
    <w:rsid w:val="00A600DE"/>
    <w:rsid w:val="00A645BC"/>
    <w:rsid w:val="00A65CAA"/>
    <w:rsid w:val="00A71EE6"/>
    <w:rsid w:val="00A7352C"/>
    <w:rsid w:val="00A766C2"/>
    <w:rsid w:val="00A81355"/>
    <w:rsid w:val="00A81C96"/>
    <w:rsid w:val="00A84628"/>
    <w:rsid w:val="00A87842"/>
    <w:rsid w:val="00A97B60"/>
    <w:rsid w:val="00AA0FA7"/>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60EAE"/>
    <w:rsid w:val="00B728E5"/>
    <w:rsid w:val="00B7526C"/>
    <w:rsid w:val="00B80913"/>
    <w:rsid w:val="00B94381"/>
    <w:rsid w:val="00B96CCD"/>
    <w:rsid w:val="00BA0BB7"/>
    <w:rsid w:val="00BA50AB"/>
    <w:rsid w:val="00BA68EF"/>
    <w:rsid w:val="00BB1CC1"/>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77326"/>
    <w:rsid w:val="00C77F24"/>
    <w:rsid w:val="00C81675"/>
    <w:rsid w:val="00C81703"/>
    <w:rsid w:val="00C93AD1"/>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20AE"/>
    <w:rsid w:val="00D25CC7"/>
    <w:rsid w:val="00D33DBD"/>
    <w:rsid w:val="00D341A6"/>
    <w:rsid w:val="00D360C0"/>
    <w:rsid w:val="00D42A58"/>
    <w:rsid w:val="00D4758C"/>
    <w:rsid w:val="00D50190"/>
    <w:rsid w:val="00D64CE6"/>
    <w:rsid w:val="00D64D6E"/>
    <w:rsid w:val="00D66E14"/>
    <w:rsid w:val="00D73041"/>
    <w:rsid w:val="00D77FE7"/>
    <w:rsid w:val="00D8114A"/>
    <w:rsid w:val="00D82761"/>
    <w:rsid w:val="00D82E32"/>
    <w:rsid w:val="00D8539B"/>
    <w:rsid w:val="00D869EF"/>
    <w:rsid w:val="00D946CC"/>
    <w:rsid w:val="00D956F1"/>
    <w:rsid w:val="00D96048"/>
    <w:rsid w:val="00DA0D8D"/>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2599C"/>
    <w:rsid w:val="00E322AD"/>
    <w:rsid w:val="00E34584"/>
    <w:rsid w:val="00E50633"/>
    <w:rsid w:val="00E61823"/>
    <w:rsid w:val="00E75300"/>
    <w:rsid w:val="00E82939"/>
    <w:rsid w:val="00E858BA"/>
    <w:rsid w:val="00E94D1C"/>
    <w:rsid w:val="00E9610A"/>
    <w:rsid w:val="00E97254"/>
    <w:rsid w:val="00EA08DE"/>
    <w:rsid w:val="00EA0F18"/>
    <w:rsid w:val="00EA6D9F"/>
    <w:rsid w:val="00EB3D93"/>
    <w:rsid w:val="00EC3847"/>
    <w:rsid w:val="00EC6A6F"/>
    <w:rsid w:val="00EC7F45"/>
    <w:rsid w:val="00ED47F9"/>
    <w:rsid w:val="00ED7769"/>
    <w:rsid w:val="00EE19A2"/>
    <w:rsid w:val="00EE211A"/>
    <w:rsid w:val="00EE3476"/>
    <w:rsid w:val="00EE4823"/>
    <w:rsid w:val="00EF35F3"/>
    <w:rsid w:val="00F04E7D"/>
    <w:rsid w:val="00F11CAD"/>
    <w:rsid w:val="00F11E10"/>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3F5"/>
    <w:rsid w:val="00FD7D9C"/>
    <w:rsid w:val="00FD7EAE"/>
    <w:rsid w:val="00FE47CB"/>
    <w:rsid w:val="00FE50F9"/>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7543474">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256717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671E-B30B-4D84-B5CB-F459FD69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2018-02-16T14:40:00Z</dcterms:created>
  <dcterms:modified xsi:type="dcterms:W3CDTF">2018-02-16T14:40:00Z</dcterms:modified>
</cp:coreProperties>
</file>