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33330B"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49AFBADF"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77FE7">
        <w:rPr>
          <w:rStyle w:val="Bodytext285pt"/>
          <w:rFonts w:eastAsiaTheme="minorHAnsi"/>
          <w:b/>
          <w:sz w:val="18"/>
          <w:szCs w:val="18"/>
          <w:lang w:val="hr-HR"/>
        </w:rPr>
        <w:t>Kohezijski fond</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0AAD7F70"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C81703">
        <w:rPr>
          <w:rFonts w:ascii="Times New Roman" w:hAnsi="Times New Roman" w:cs="Times New Roman"/>
          <w:b/>
          <w:sz w:val="18"/>
          <w:szCs w:val="18"/>
        </w:rPr>
        <w:t>31.12.2018.</w:t>
      </w:r>
    </w:p>
    <w:p w14:paraId="0F944CA7" w14:textId="06A6601D"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C0280" w:rsidRPr="00BC0280">
        <w:rPr>
          <w:rFonts w:ascii="Times New Roman" w:hAnsi="Times New Roman" w:cs="Times New Roman"/>
          <w:b/>
          <w:sz w:val="18"/>
          <w:szCs w:val="18"/>
        </w:rPr>
        <w:t>7ii1 - Povećanje dostupnosti naseljenih otoka za njihove stanovnike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29A2C37E" w14:textId="77777777" w:rsidR="00425D19" w:rsidRPr="00425D19" w:rsidRDefault="00B60EAE" w:rsidP="00425D1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425D19" w:rsidRPr="00425D19">
        <w:rPr>
          <w:rFonts w:ascii="Times New Roman" w:hAnsi="Times New Roman" w:cs="Times New Roman"/>
          <w:b/>
          <w:sz w:val="18"/>
          <w:szCs w:val="18"/>
        </w:rPr>
        <w:t xml:space="preserve">Poziv za sufinanciranje  </w:t>
      </w:r>
    </w:p>
    <w:p w14:paraId="474D5924" w14:textId="64327B4F" w:rsidR="00B60EAE" w:rsidRPr="00826E16" w:rsidRDefault="00425D19" w:rsidP="00425D19">
      <w:pPr>
        <w:spacing w:after="0" w:line="240" w:lineRule="auto"/>
        <w:rPr>
          <w:rFonts w:ascii="Times New Roman" w:hAnsi="Times New Roman" w:cs="Times New Roman"/>
          <w:b/>
          <w:sz w:val="18"/>
          <w:szCs w:val="18"/>
        </w:rPr>
      </w:pPr>
      <w:r w:rsidRPr="00425D19">
        <w:rPr>
          <w:rFonts w:ascii="Times New Roman" w:hAnsi="Times New Roman" w:cs="Times New Roman"/>
          <w:b/>
          <w:sz w:val="18"/>
          <w:szCs w:val="18"/>
        </w:rPr>
        <w:t>unaprjeđenja lučke infrastrukture u funkciji obalnog linijskog pomorskog prometa</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2C3CD388"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E75300" w:rsidRPr="00E75300">
        <w:rPr>
          <w:rFonts w:ascii="Times New Roman" w:hAnsi="Times New Roman" w:cs="Times New Roman"/>
          <w:b/>
          <w:sz w:val="18"/>
          <w:szCs w:val="18"/>
        </w:rPr>
        <w:t>KK.07.4.2.05</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12D8B3DE" w14:textId="6F0AB1A2" w:rsidR="0022540C" w:rsidRPr="00EC7F45" w:rsidRDefault="0022540C" w:rsidP="00A3084B">
      <w:pPr>
        <w:spacing w:after="0" w:line="240" w:lineRule="auto"/>
        <w:jc w:val="both"/>
        <w:rPr>
          <w:rFonts w:ascii="Times New Roman" w:eastAsia="Times New Roman" w:hAnsi="Times New Roman" w:cs="Times New Roman"/>
          <w:sz w:val="18"/>
          <w:szCs w:val="18"/>
        </w:rPr>
      </w:pP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1421EB">
        <w:trPr>
          <w:trHeight w:val="433"/>
        </w:trPr>
        <w:tc>
          <w:tcPr>
            <w:tcW w:w="567" w:type="dxa"/>
            <w:shd w:val="clear" w:color="auto" w:fill="B0CB1F"/>
          </w:tcPr>
          <w:p w14:paraId="21A57E76" w14:textId="77777777" w:rsidR="00461F02" w:rsidRPr="00EC7F45" w:rsidRDefault="00461F02" w:rsidP="00313FE4">
            <w:pPr>
              <w:jc w:val="center"/>
              <w:rPr>
                <w:b/>
                <w:lang w:val="hr-HR"/>
              </w:rPr>
            </w:pPr>
          </w:p>
        </w:tc>
        <w:tc>
          <w:tcPr>
            <w:tcW w:w="6095" w:type="dxa"/>
            <w:shd w:val="clear" w:color="auto" w:fill="B0CB1F"/>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B0CB1F"/>
          </w:tcPr>
          <w:p w14:paraId="1416E906" w14:textId="787EE561" w:rsidR="00461F02" w:rsidRPr="00EC7F45" w:rsidRDefault="00B31435" w:rsidP="00424267">
            <w:pPr>
              <w:rPr>
                <w:b/>
                <w:lang w:val="hr-HR"/>
              </w:rPr>
            </w:pPr>
            <w:r>
              <w:rPr>
                <w:b/>
                <w:lang w:val="hr-HR"/>
              </w:rPr>
              <w:t>1</w:t>
            </w:r>
          </w:p>
        </w:tc>
      </w:tr>
      <w:tr w:rsidR="002A5212" w:rsidRPr="00EC7F45" w14:paraId="591A585F" w14:textId="77777777" w:rsidTr="001421EB">
        <w:trPr>
          <w:trHeight w:val="433"/>
        </w:trPr>
        <w:tc>
          <w:tcPr>
            <w:tcW w:w="567" w:type="dxa"/>
            <w:shd w:val="clear" w:color="auto" w:fill="B0CB1F"/>
          </w:tcPr>
          <w:p w14:paraId="7EBF774E" w14:textId="77777777" w:rsidR="002A5212" w:rsidRPr="00EC7F45" w:rsidRDefault="002A5212" w:rsidP="00313FE4">
            <w:pPr>
              <w:jc w:val="center"/>
              <w:rPr>
                <w:b/>
                <w:lang w:val="hr-HR"/>
              </w:rPr>
            </w:pPr>
          </w:p>
        </w:tc>
        <w:tc>
          <w:tcPr>
            <w:tcW w:w="6095" w:type="dxa"/>
            <w:shd w:val="clear" w:color="auto" w:fill="B0CB1F"/>
          </w:tcPr>
          <w:p w14:paraId="1250F668" w14:textId="1003E981" w:rsidR="002A5212" w:rsidRPr="00EC7F45" w:rsidRDefault="002A5212" w:rsidP="00781612">
            <w:pPr>
              <w:jc w:val="right"/>
              <w:rPr>
                <w:b/>
                <w:lang w:val="hr-HR"/>
              </w:rPr>
            </w:pPr>
            <w:r w:rsidRPr="00EC7F45">
              <w:rPr>
                <w:b/>
                <w:lang w:val="hr-HR"/>
              </w:rPr>
              <w:t>OBJAVA S</w:t>
            </w:r>
            <w:r w:rsidR="00B31435">
              <w:rPr>
                <w:b/>
                <w:lang w:val="hr-HR"/>
              </w:rPr>
              <w:t>VIH PITANJA/ODGOVORA IZ VERZIJE 1</w:t>
            </w:r>
            <w:r w:rsidRPr="00EC7F45">
              <w:rPr>
                <w:b/>
                <w:lang w:val="hr-HR"/>
              </w:rPr>
              <w:t>:</w:t>
            </w:r>
          </w:p>
        </w:tc>
        <w:tc>
          <w:tcPr>
            <w:tcW w:w="6946" w:type="dxa"/>
            <w:shd w:val="clear" w:color="auto" w:fill="B0CB1F"/>
          </w:tcPr>
          <w:p w14:paraId="4709AC0D" w14:textId="0121A7CC" w:rsidR="002A5212" w:rsidRPr="00B31435" w:rsidRDefault="00B31435" w:rsidP="00424267">
            <w:pPr>
              <w:rPr>
                <w:b/>
                <w:lang w:val="hr-HR"/>
              </w:rPr>
            </w:pPr>
            <w:r w:rsidRPr="00B31435">
              <w:rPr>
                <w:b/>
                <w:lang w:val="hr-HR"/>
              </w:rPr>
              <w:t>9.11.2017.</w:t>
            </w: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15668BEF"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0E3453">
              <w:rPr>
                <w:b/>
                <w:color w:val="FFFFFF" w:themeColor="background1"/>
                <w:sz w:val="22"/>
                <w:szCs w:val="22"/>
                <w:lang w:val="hr-HR"/>
              </w:rPr>
              <w:t>7.11.2017.</w:t>
            </w:r>
          </w:p>
        </w:tc>
        <w:tc>
          <w:tcPr>
            <w:tcW w:w="6946" w:type="dxa"/>
            <w:shd w:val="clear" w:color="auto" w:fill="538135" w:themeFill="accent6" w:themeFillShade="BF"/>
          </w:tcPr>
          <w:p w14:paraId="7B6817FD" w14:textId="1A1310CA"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0E3453">
              <w:rPr>
                <w:b/>
                <w:color w:val="FFFFFF" w:themeColor="background1"/>
                <w:sz w:val="22"/>
                <w:szCs w:val="22"/>
                <w:lang w:val="hr-HR"/>
              </w:rPr>
              <w:t xml:space="preserve"> 9.11.2017.</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6814D14B" w14:textId="42BCA825" w:rsidR="001421EB" w:rsidRPr="00EC7F45" w:rsidRDefault="00A31E0F" w:rsidP="00D82761">
            <w:pPr>
              <w:jc w:val="both"/>
              <w:rPr>
                <w:sz w:val="22"/>
                <w:szCs w:val="22"/>
                <w:lang w:val="hr-HR"/>
              </w:rPr>
            </w:pPr>
            <w:r w:rsidRPr="00A31E0F">
              <w:rPr>
                <w:sz w:val="22"/>
                <w:szCs w:val="22"/>
                <w:lang w:val="hr-HR"/>
              </w:rPr>
              <w:t>U MIS sustavu nije moguće odabrati Pokazatelj 7cb I 6 - Nadograđene luke koje pružaju usluge vezane za otoke već se pojavljuje pokazatelj “Pročišćavanje otpadnih voda: Povećanje u broju stanovnika koji koriste poboljšani sustav pročišćavanja otpadnih voda (Broj)” ?</w:t>
            </w:r>
          </w:p>
        </w:tc>
        <w:tc>
          <w:tcPr>
            <w:tcW w:w="6946" w:type="dxa"/>
          </w:tcPr>
          <w:p w14:paraId="01AE1061" w14:textId="2A27ECCE" w:rsidR="001421EB" w:rsidRPr="00EC7F45" w:rsidRDefault="00A31E0F" w:rsidP="00AE318F">
            <w:pPr>
              <w:jc w:val="both"/>
              <w:rPr>
                <w:sz w:val="22"/>
                <w:szCs w:val="22"/>
                <w:lang w:val="hr-HR"/>
              </w:rPr>
            </w:pPr>
            <w:r w:rsidRPr="00A31E0F">
              <w:rPr>
                <w:sz w:val="22"/>
                <w:szCs w:val="22"/>
                <w:lang w:val="hr-HR"/>
              </w:rPr>
              <w:t>Došlo je do pogreške prilikom unosa poziva u MIS Sustav. Isto</w:t>
            </w:r>
            <w:r>
              <w:rPr>
                <w:sz w:val="22"/>
                <w:szCs w:val="22"/>
                <w:lang w:val="hr-HR"/>
              </w:rPr>
              <w:t xml:space="preserve"> je ispravljeno i sada je</w:t>
            </w:r>
            <w:r w:rsidRPr="00A31E0F">
              <w:rPr>
                <w:sz w:val="22"/>
                <w:szCs w:val="22"/>
                <w:lang w:val="hr-HR"/>
              </w:rPr>
              <w:t xml:space="preserve"> moguće unijeti pravi pokazatelj.</w:t>
            </w:r>
          </w:p>
        </w:tc>
      </w:tr>
      <w:tr w:rsidR="001421EB" w:rsidRPr="00EC7F45" w14:paraId="335DBE76" w14:textId="77777777" w:rsidTr="002C5F04">
        <w:trPr>
          <w:trHeight w:val="272"/>
        </w:trPr>
        <w:tc>
          <w:tcPr>
            <w:tcW w:w="567" w:type="dxa"/>
            <w:vAlign w:val="center"/>
          </w:tcPr>
          <w:p w14:paraId="3FFFD638" w14:textId="77777777" w:rsidR="001421EB" w:rsidRPr="00EC7F45" w:rsidRDefault="001421EB" w:rsidP="00911198">
            <w:pPr>
              <w:pStyle w:val="ListParagraph"/>
              <w:numPr>
                <w:ilvl w:val="0"/>
                <w:numId w:val="4"/>
              </w:numPr>
              <w:ind w:hanging="549"/>
              <w:jc w:val="right"/>
              <w:rPr>
                <w:b/>
                <w:sz w:val="22"/>
                <w:szCs w:val="22"/>
                <w:lang w:val="hr-HR"/>
              </w:rPr>
            </w:pPr>
          </w:p>
        </w:tc>
        <w:tc>
          <w:tcPr>
            <w:tcW w:w="6095" w:type="dxa"/>
          </w:tcPr>
          <w:p w14:paraId="54C9F849" w14:textId="5F15F646" w:rsidR="001421EB" w:rsidRPr="00EC7F45" w:rsidRDefault="00FB4115" w:rsidP="00424267">
            <w:pPr>
              <w:jc w:val="both"/>
              <w:rPr>
                <w:sz w:val="22"/>
                <w:szCs w:val="22"/>
                <w:lang w:val="hr-HR"/>
              </w:rPr>
            </w:pPr>
            <w:r w:rsidRPr="00FB4115">
              <w:rPr>
                <w:sz w:val="22"/>
                <w:szCs w:val="22"/>
                <w:lang w:val="hr-HR"/>
              </w:rPr>
              <w:t>Da li je potrebno uz obrazac A priložiti potpisanu i pečatiranu Izjavu prijavitelja o istinitosti podataka ili je dovoljno ispuniti samo Obrazac 2. Izjava Prijavitelja kojom se također dokazuje istinitost i točnost navedenih podataka?</w:t>
            </w:r>
          </w:p>
        </w:tc>
        <w:tc>
          <w:tcPr>
            <w:tcW w:w="6946" w:type="dxa"/>
          </w:tcPr>
          <w:p w14:paraId="6346EF78" w14:textId="16134D86" w:rsidR="001421EB" w:rsidRPr="00EC7F45" w:rsidRDefault="00FB4115" w:rsidP="00971D8A">
            <w:pPr>
              <w:jc w:val="both"/>
              <w:rPr>
                <w:sz w:val="22"/>
                <w:szCs w:val="22"/>
                <w:lang w:val="hr-HR"/>
              </w:rPr>
            </w:pPr>
            <w:r w:rsidRPr="00FB4115">
              <w:rPr>
                <w:sz w:val="22"/>
                <w:szCs w:val="22"/>
                <w:lang w:val="hr-HR"/>
              </w:rPr>
              <w:t>Dovoljno je ispuniti, potpisati i pečatirati samo Obrazac 2. Izja</w:t>
            </w:r>
            <w:r w:rsidR="00971D8A">
              <w:rPr>
                <w:sz w:val="22"/>
                <w:szCs w:val="22"/>
                <w:lang w:val="hr-HR"/>
              </w:rPr>
              <w:t>va Prijavitelja kojom se</w:t>
            </w:r>
            <w:r w:rsidRPr="00FB4115">
              <w:rPr>
                <w:sz w:val="22"/>
                <w:szCs w:val="22"/>
                <w:lang w:val="hr-HR"/>
              </w:rPr>
              <w:t xml:space="preserve"> dokazuje istinitost i točnost navedeni</w:t>
            </w:r>
            <w:r w:rsidR="00971D8A">
              <w:rPr>
                <w:sz w:val="22"/>
                <w:szCs w:val="22"/>
                <w:lang w:val="hr-HR"/>
              </w:rPr>
              <w:t>h podataka</w:t>
            </w:r>
            <w:r w:rsidR="00C344B7">
              <w:rPr>
                <w:sz w:val="22"/>
                <w:szCs w:val="22"/>
                <w:lang w:val="hr-HR"/>
              </w:rPr>
              <w:t xml:space="preserve"> </w:t>
            </w:r>
            <w:r w:rsidR="00971D8A">
              <w:rPr>
                <w:sz w:val="22"/>
                <w:szCs w:val="22"/>
                <w:lang w:val="hr-HR"/>
              </w:rPr>
              <w:t>(u</w:t>
            </w:r>
            <w:r w:rsidR="00C344B7">
              <w:rPr>
                <w:sz w:val="22"/>
                <w:szCs w:val="22"/>
                <w:lang w:val="hr-HR"/>
              </w:rPr>
              <w:t>z Obrazac 2 prilaže se izjava</w:t>
            </w:r>
            <w:r w:rsidR="00C344B7" w:rsidRPr="00C344B7">
              <w:rPr>
                <w:sz w:val="22"/>
                <w:szCs w:val="22"/>
                <w:lang w:val="hr-HR"/>
              </w:rPr>
              <w:t xml:space="preserve"> prijavitelja o njegovom statusu u sustavu PDV-a</w:t>
            </w:r>
            <w:r w:rsidR="00971D8A">
              <w:rPr>
                <w:sz w:val="22"/>
                <w:szCs w:val="22"/>
                <w:lang w:val="hr-HR"/>
              </w:rPr>
              <w:t>)</w:t>
            </w:r>
            <w:r w:rsidR="00C344B7">
              <w:rPr>
                <w:sz w:val="22"/>
                <w:szCs w:val="22"/>
                <w:lang w:val="hr-HR"/>
              </w:rPr>
              <w:t>.</w:t>
            </w:r>
          </w:p>
        </w:tc>
      </w:tr>
      <w:tr w:rsidR="00E322AD" w:rsidRPr="00EC7F45" w14:paraId="5A097D9D" w14:textId="77777777" w:rsidTr="002C5F04">
        <w:trPr>
          <w:trHeight w:val="272"/>
        </w:trPr>
        <w:tc>
          <w:tcPr>
            <w:tcW w:w="567" w:type="dxa"/>
            <w:vAlign w:val="center"/>
          </w:tcPr>
          <w:p w14:paraId="4032E868" w14:textId="77777777" w:rsidR="00E322AD" w:rsidRPr="00EC7F45" w:rsidRDefault="00E322AD" w:rsidP="00911198">
            <w:pPr>
              <w:pStyle w:val="ListParagraph"/>
              <w:numPr>
                <w:ilvl w:val="0"/>
                <w:numId w:val="4"/>
              </w:numPr>
              <w:ind w:hanging="549"/>
              <w:jc w:val="right"/>
              <w:rPr>
                <w:b/>
              </w:rPr>
            </w:pPr>
          </w:p>
        </w:tc>
        <w:tc>
          <w:tcPr>
            <w:tcW w:w="6095" w:type="dxa"/>
          </w:tcPr>
          <w:p w14:paraId="49CC98B3" w14:textId="148DA7C9" w:rsidR="009C36B9" w:rsidRPr="009C36B9" w:rsidRDefault="009C36B9" w:rsidP="009C36B9">
            <w:pPr>
              <w:jc w:val="both"/>
              <w:rPr>
                <w:sz w:val="22"/>
                <w:szCs w:val="22"/>
                <w:lang w:val="hr-HR"/>
              </w:rPr>
            </w:pPr>
            <w:r w:rsidRPr="009C36B9">
              <w:rPr>
                <w:sz w:val="22"/>
                <w:szCs w:val="22"/>
                <w:lang w:val="hr-HR"/>
              </w:rPr>
              <w:t>Što je potrebno “umetnuti” u nastavku prve rečenici iz Obrasca 2</w:t>
            </w:r>
            <w:r w:rsidR="00FD21A2">
              <w:rPr>
                <w:sz w:val="22"/>
                <w:szCs w:val="22"/>
                <w:lang w:val="hr-HR"/>
              </w:rPr>
              <w:t>.</w:t>
            </w:r>
            <w:r w:rsidRPr="009C36B9">
              <w:rPr>
                <w:sz w:val="22"/>
                <w:szCs w:val="22"/>
                <w:lang w:val="hr-HR"/>
              </w:rPr>
              <w:t xml:space="preserve"> ?</w:t>
            </w:r>
          </w:p>
          <w:p w14:paraId="7C0AB66B" w14:textId="50DC3DCD" w:rsidR="00E322AD" w:rsidRPr="00EC7F45" w:rsidRDefault="009C36B9" w:rsidP="009C36B9">
            <w:pPr>
              <w:jc w:val="both"/>
            </w:pPr>
            <w:r w:rsidRPr="009C36B9">
              <w:rPr>
                <w:sz w:val="22"/>
                <w:szCs w:val="22"/>
                <w:lang w:val="hr-HR"/>
              </w:rPr>
              <w:t xml:space="preserve">- “ u postupku dodjele bespovratnih sredstava </w:t>
            </w:r>
            <w:r w:rsidRPr="009C36B9">
              <w:rPr>
                <w:color w:val="FF0000"/>
                <w:sz w:val="22"/>
                <w:szCs w:val="22"/>
                <w:lang w:val="hr-HR"/>
              </w:rPr>
              <w:t>&lt; umetnuti &gt;</w:t>
            </w:r>
            <w:r w:rsidRPr="009C36B9">
              <w:rPr>
                <w:sz w:val="22"/>
                <w:szCs w:val="22"/>
                <w:lang w:val="hr-HR"/>
              </w:rPr>
              <w:t>, istiniti i točni.</w:t>
            </w:r>
            <w:r w:rsidR="00570BEB">
              <w:rPr>
                <w:sz w:val="22"/>
                <w:szCs w:val="22"/>
                <w:lang w:val="hr-HR"/>
              </w:rPr>
              <w:t>“</w:t>
            </w:r>
          </w:p>
        </w:tc>
        <w:tc>
          <w:tcPr>
            <w:tcW w:w="6946" w:type="dxa"/>
          </w:tcPr>
          <w:p w14:paraId="42052281" w14:textId="612E8872" w:rsidR="00E322AD" w:rsidRPr="00EC7F45" w:rsidRDefault="004F0190" w:rsidP="00366959">
            <w:pPr>
              <w:jc w:val="both"/>
            </w:pPr>
            <w:r w:rsidRPr="004F0190">
              <w:rPr>
                <w:sz w:val="22"/>
                <w:szCs w:val="22"/>
                <w:lang w:val="hr-HR"/>
              </w:rPr>
              <w:t>Potrebno je umetnuti naziv poziva tj. Poziv za sufinanciranje unaprjeđenja lučke infrastrukture u funkciji obalnog linijskog pomorskog prometa</w:t>
            </w:r>
            <w:r>
              <w:rPr>
                <w:sz w:val="22"/>
                <w:szCs w:val="22"/>
                <w:lang w:val="hr-HR"/>
              </w:rPr>
              <w:t>.</w:t>
            </w:r>
          </w:p>
        </w:tc>
      </w:tr>
      <w:tr w:rsidR="00A2549D" w:rsidRPr="00EC7F45" w14:paraId="530D067A" w14:textId="77777777" w:rsidTr="002C5F04">
        <w:trPr>
          <w:trHeight w:val="272"/>
        </w:trPr>
        <w:tc>
          <w:tcPr>
            <w:tcW w:w="567" w:type="dxa"/>
            <w:vAlign w:val="center"/>
          </w:tcPr>
          <w:p w14:paraId="120D37F1" w14:textId="77777777" w:rsidR="00A2549D" w:rsidRPr="00EC7F45" w:rsidRDefault="00A2549D" w:rsidP="00911198">
            <w:pPr>
              <w:pStyle w:val="ListParagraph"/>
              <w:numPr>
                <w:ilvl w:val="0"/>
                <w:numId w:val="4"/>
              </w:numPr>
              <w:ind w:hanging="549"/>
              <w:jc w:val="right"/>
              <w:rPr>
                <w:b/>
              </w:rPr>
            </w:pPr>
          </w:p>
        </w:tc>
        <w:tc>
          <w:tcPr>
            <w:tcW w:w="6095" w:type="dxa"/>
          </w:tcPr>
          <w:p w14:paraId="2027C729" w14:textId="13C2E189" w:rsidR="00A2549D" w:rsidRPr="009C36B9" w:rsidRDefault="00A2549D" w:rsidP="009C36B9">
            <w:pPr>
              <w:jc w:val="both"/>
            </w:pPr>
            <w:r w:rsidRPr="00A2549D">
              <w:rPr>
                <w:sz w:val="22"/>
                <w:szCs w:val="22"/>
                <w:lang w:val="hr-HR"/>
              </w:rPr>
              <w:t>Da li izjava iz obrasca 2 treba biti isprin</w:t>
            </w:r>
            <w:r>
              <w:rPr>
                <w:sz w:val="22"/>
                <w:szCs w:val="22"/>
                <w:lang w:val="hr-HR"/>
              </w:rPr>
              <w:t>tana na memorandumu prijavitelja</w:t>
            </w:r>
            <w:r w:rsidRPr="00A2549D">
              <w:rPr>
                <w:sz w:val="22"/>
                <w:szCs w:val="22"/>
                <w:lang w:val="hr-HR"/>
              </w:rPr>
              <w:t>?</w:t>
            </w:r>
          </w:p>
        </w:tc>
        <w:tc>
          <w:tcPr>
            <w:tcW w:w="6946" w:type="dxa"/>
          </w:tcPr>
          <w:p w14:paraId="3110229F" w14:textId="1ACA39A6" w:rsidR="00A2549D" w:rsidRPr="004F0190" w:rsidRDefault="00B009DB" w:rsidP="00366959">
            <w:pPr>
              <w:jc w:val="both"/>
            </w:pPr>
            <w:r>
              <w:rPr>
                <w:sz w:val="22"/>
                <w:szCs w:val="22"/>
                <w:lang w:val="hr-HR"/>
              </w:rPr>
              <w:t>Nije potrebno da O</w:t>
            </w:r>
            <w:r w:rsidRPr="00B009DB">
              <w:rPr>
                <w:sz w:val="22"/>
                <w:szCs w:val="22"/>
                <w:lang w:val="hr-HR"/>
              </w:rPr>
              <w:t>brazac 2 bude ispri</w:t>
            </w:r>
            <w:r>
              <w:rPr>
                <w:sz w:val="22"/>
                <w:szCs w:val="22"/>
                <w:lang w:val="hr-HR"/>
              </w:rPr>
              <w:t>ntan na memorandumu.</w:t>
            </w:r>
          </w:p>
        </w:tc>
      </w:tr>
      <w:tr w:rsidR="00AC40CC" w:rsidRPr="00EC7F45" w14:paraId="51526FD2" w14:textId="77777777" w:rsidTr="002C5F04">
        <w:trPr>
          <w:trHeight w:val="272"/>
        </w:trPr>
        <w:tc>
          <w:tcPr>
            <w:tcW w:w="567" w:type="dxa"/>
            <w:vAlign w:val="center"/>
          </w:tcPr>
          <w:p w14:paraId="2C703A8E" w14:textId="77777777" w:rsidR="00AC40CC" w:rsidRPr="00EC7F45" w:rsidRDefault="00AC40CC" w:rsidP="00911198">
            <w:pPr>
              <w:pStyle w:val="ListParagraph"/>
              <w:numPr>
                <w:ilvl w:val="0"/>
                <w:numId w:val="4"/>
              </w:numPr>
              <w:ind w:hanging="549"/>
              <w:jc w:val="right"/>
              <w:rPr>
                <w:b/>
              </w:rPr>
            </w:pPr>
          </w:p>
        </w:tc>
        <w:tc>
          <w:tcPr>
            <w:tcW w:w="6095" w:type="dxa"/>
          </w:tcPr>
          <w:p w14:paraId="6883220A" w14:textId="2E1E44FB" w:rsidR="00AC40CC" w:rsidRPr="00A2549D" w:rsidRDefault="00AC40CC" w:rsidP="009C36B9">
            <w:pPr>
              <w:jc w:val="both"/>
            </w:pPr>
            <w:r w:rsidRPr="00AC40CC">
              <w:rPr>
                <w:sz w:val="22"/>
                <w:szCs w:val="22"/>
                <w:lang w:val="hr-HR"/>
              </w:rPr>
              <w:t>U Excel tablici “Dodatak 3 - Detaljan prikaz troškova projekta” su zaključana polja i ne mogu se proširiti vidljivost stupaca te kod više stupaca kada se unesu iznosi od desetak miliona kuna brojka nije vidljiva. To stvara problem kod kontrole točnosti unosa.</w:t>
            </w:r>
            <w:r w:rsidR="00BF511F">
              <w:rPr>
                <w:sz w:val="22"/>
                <w:szCs w:val="22"/>
                <w:lang w:val="hr-HR"/>
              </w:rPr>
              <w:t xml:space="preserve"> P</w:t>
            </w:r>
            <w:r w:rsidR="00BF511F" w:rsidRPr="00BF511F">
              <w:rPr>
                <w:sz w:val="22"/>
                <w:szCs w:val="22"/>
                <w:lang w:val="hr-HR"/>
              </w:rPr>
              <w:t xml:space="preserve">ored nemogućnosti prikaza iznosa u stotinama tisuća kuna, dodatan problem je što ne radi padajući izbornik kojim bi trebalo odabrati prijavitelja i naziv projekta (nije moguće niti samostalno upisati) te ukupni iznos projekta na vrhu prvog lista. Također, na </w:t>
            </w:r>
            <w:r w:rsidR="00BF511F" w:rsidRPr="00BF511F">
              <w:rPr>
                <w:sz w:val="22"/>
                <w:szCs w:val="22"/>
                <w:lang w:val="hr-HR"/>
              </w:rPr>
              <w:lastRenderedPageBreak/>
              <w:t>ostalim listovima gdje bi trebalo upisivati stavke građevinskog troškovnika nije moguće dodavati nove redove. Maksimalan broj redova je šest.</w:t>
            </w:r>
          </w:p>
        </w:tc>
        <w:tc>
          <w:tcPr>
            <w:tcW w:w="6946" w:type="dxa"/>
          </w:tcPr>
          <w:p w14:paraId="09BDCC47" w14:textId="5A25C0B4" w:rsidR="00AC40CC" w:rsidRPr="00756372" w:rsidRDefault="008974F9" w:rsidP="00366959">
            <w:pPr>
              <w:jc w:val="both"/>
              <w:rPr>
                <w:sz w:val="22"/>
                <w:szCs w:val="22"/>
              </w:rPr>
            </w:pPr>
            <w:r w:rsidRPr="00756372">
              <w:rPr>
                <w:sz w:val="22"/>
                <w:szCs w:val="22"/>
                <w:lang w:val="hr-HR"/>
              </w:rPr>
              <w:lastRenderedPageBreak/>
              <w:t>Tablica je dorađena i sada na bi trebalo biti problema prilikom ispunjavanja. Istu Vam dostavljamo te je ista učitana na stranici poziva</w:t>
            </w:r>
            <w:r w:rsidR="00756372" w:rsidRPr="00756372">
              <w:rPr>
                <w:sz w:val="22"/>
                <w:szCs w:val="22"/>
                <w:lang w:val="hr-HR"/>
              </w:rPr>
              <w:t xml:space="preserve"> </w:t>
            </w:r>
            <w:hyperlink r:id="rId10" w:history="1">
              <w:r w:rsidR="00756372" w:rsidRPr="00756372">
                <w:rPr>
                  <w:rStyle w:val="Hyperlink"/>
                  <w:sz w:val="22"/>
                  <w:szCs w:val="22"/>
                  <w:lang w:val="hr-HR"/>
                </w:rPr>
                <w:t>http://www.strukturnifondovi.hr/natjecaji/1462</w:t>
              </w:r>
            </w:hyperlink>
            <w:r w:rsidR="00756372" w:rsidRPr="00756372">
              <w:rPr>
                <w:sz w:val="22"/>
                <w:szCs w:val="22"/>
                <w:lang w:val="hr-HR"/>
              </w:rPr>
              <w:t xml:space="preserve">. </w:t>
            </w:r>
          </w:p>
        </w:tc>
      </w:tr>
      <w:tr w:rsidR="006C08B9" w:rsidRPr="00EC7F45" w14:paraId="51726DE5" w14:textId="77777777" w:rsidTr="002C5F04">
        <w:trPr>
          <w:trHeight w:val="272"/>
        </w:trPr>
        <w:tc>
          <w:tcPr>
            <w:tcW w:w="567" w:type="dxa"/>
            <w:vAlign w:val="center"/>
          </w:tcPr>
          <w:p w14:paraId="5604B557" w14:textId="77777777" w:rsidR="006C08B9" w:rsidRPr="00EC7F45" w:rsidRDefault="006C08B9" w:rsidP="00911198">
            <w:pPr>
              <w:pStyle w:val="ListParagraph"/>
              <w:numPr>
                <w:ilvl w:val="0"/>
                <w:numId w:val="4"/>
              </w:numPr>
              <w:ind w:hanging="549"/>
              <w:jc w:val="right"/>
              <w:rPr>
                <w:b/>
              </w:rPr>
            </w:pPr>
          </w:p>
        </w:tc>
        <w:tc>
          <w:tcPr>
            <w:tcW w:w="6095" w:type="dxa"/>
          </w:tcPr>
          <w:p w14:paraId="0DADBED3" w14:textId="1178F514" w:rsidR="006C08B9" w:rsidRPr="00AC40CC" w:rsidRDefault="00A81355" w:rsidP="009C36B9">
            <w:pPr>
              <w:jc w:val="both"/>
            </w:pPr>
            <w:r w:rsidRPr="00A81355">
              <w:rPr>
                <w:sz w:val="22"/>
                <w:szCs w:val="22"/>
                <w:lang w:val="hr-HR"/>
              </w:rPr>
              <w:t>Da li se sva sufinanciranja MMPI projekta Županijskih lučkih uprava u proteklim godinama smatraju državnim potporama u smislu de minimis pravila?</w:t>
            </w:r>
          </w:p>
        </w:tc>
        <w:tc>
          <w:tcPr>
            <w:tcW w:w="6946" w:type="dxa"/>
          </w:tcPr>
          <w:p w14:paraId="68264A7D" w14:textId="106C089D" w:rsidR="00936E3C" w:rsidRPr="00936E3C" w:rsidRDefault="00936E3C" w:rsidP="00936E3C">
            <w:pPr>
              <w:jc w:val="both"/>
              <w:rPr>
                <w:sz w:val="22"/>
                <w:szCs w:val="22"/>
                <w:lang w:val="hr-HR"/>
              </w:rPr>
            </w:pPr>
            <w:r w:rsidRPr="00936E3C">
              <w:rPr>
                <w:sz w:val="22"/>
                <w:szCs w:val="22"/>
                <w:lang w:val="hr-HR"/>
              </w:rPr>
              <w:t>Sukladno članku 10. Zakona o državnim potporama (Narodne novine, broj 47/14)  potpore male vrijednosti dodjeljuju se u skladu s važećom uredbom Europske unije kojom se uređuju potpore male vrijednosti. Uredba koja se primjenjuje na dodjelu potpora male vrijednosti od 1. siječnja 2014. do 31. prosinca 2020. je Uredba Komisije br. 1407/2013, od 18. prosinca 2013., o primjeni članaka 107. i 108. UFEU-a na de minimis potpore.</w:t>
            </w:r>
          </w:p>
          <w:p w14:paraId="20048C3B" w14:textId="77777777" w:rsidR="00936E3C" w:rsidRPr="00936E3C" w:rsidRDefault="00936E3C" w:rsidP="00936E3C">
            <w:pPr>
              <w:jc w:val="both"/>
              <w:rPr>
                <w:sz w:val="22"/>
                <w:szCs w:val="22"/>
                <w:lang w:val="hr-HR"/>
              </w:rPr>
            </w:pPr>
          </w:p>
          <w:p w14:paraId="69847FB5" w14:textId="77777777" w:rsidR="00936E3C" w:rsidRPr="00936E3C" w:rsidRDefault="00936E3C" w:rsidP="00936E3C">
            <w:pPr>
              <w:jc w:val="both"/>
              <w:rPr>
                <w:sz w:val="22"/>
                <w:szCs w:val="22"/>
                <w:lang w:val="hr-HR"/>
              </w:rPr>
            </w:pPr>
            <w:r w:rsidRPr="00936E3C">
              <w:rPr>
                <w:sz w:val="22"/>
                <w:szCs w:val="22"/>
                <w:lang w:val="hr-HR"/>
              </w:rPr>
              <w:t>Osnovna karakteristika potpora male vrijednosti odnosi se na prag njihove dodjele, pa tako pojedini poduzetnik u bilo kojem razdoblju od 3 fiskalne godine ne smije dobiti potpore male vrijednosti koje premašuju iznos od 200.000 eura, ako poduzetnik obavlja cestovni prijevoz tereta za najamninu ili naknadu taj prag ne smije prijeći 100.000 eura za razdoblje od 3 fiskalne godine.</w:t>
            </w:r>
          </w:p>
          <w:p w14:paraId="1B243F83" w14:textId="77777777" w:rsidR="00936E3C" w:rsidRPr="00936E3C" w:rsidRDefault="00936E3C" w:rsidP="00936E3C">
            <w:pPr>
              <w:jc w:val="both"/>
              <w:rPr>
                <w:sz w:val="22"/>
                <w:szCs w:val="22"/>
                <w:lang w:val="hr-HR"/>
              </w:rPr>
            </w:pPr>
          </w:p>
          <w:p w14:paraId="58A548A0" w14:textId="77777777" w:rsidR="00936E3C" w:rsidRPr="00936E3C" w:rsidRDefault="00936E3C" w:rsidP="00936E3C">
            <w:pPr>
              <w:jc w:val="both"/>
              <w:rPr>
                <w:sz w:val="22"/>
                <w:szCs w:val="22"/>
                <w:lang w:val="hr-HR"/>
              </w:rPr>
            </w:pPr>
            <w:r w:rsidRPr="00936E3C">
              <w:rPr>
                <w:sz w:val="22"/>
                <w:szCs w:val="22"/>
                <w:lang w:val="hr-HR"/>
              </w:rPr>
              <w:t xml:space="preserve">Člankom 14. stavak 1. ZDP-a propisano je da su davatelji državnih potpora i potpora male vrijednosti dužni voditi evidenciju dodijeljenih državnih potpora i potpora male vrijednosti iz svoje nadležnosti. </w:t>
            </w:r>
          </w:p>
          <w:p w14:paraId="5D7E4D90" w14:textId="347A2DA5" w:rsidR="006C08B9" w:rsidRPr="00756372" w:rsidRDefault="00936E3C" w:rsidP="00936E3C">
            <w:pPr>
              <w:jc w:val="both"/>
            </w:pPr>
            <w:r w:rsidRPr="00936E3C">
              <w:rPr>
                <w:sz w:val="22"/>
                <w:szCs w:val="22"/>
                <w:lang w:val="hr-HR"/>
              </w:rPr>
              <w:t xml:space="preserve">Uprava za strateško planiranje i EU fondove raspisuje pozive u okviru svoje nadležnosti te nema podataka o sufinanciranjima projekata Županijskih lučkih uprava u proteklim godinama, obzirom ih ova </w:t>
            </w:r>
            <w:r>
              <w:rPr>
                <w:sz w:val="22"/>
                <w:szCs w:val="22"/>
                <w:lang w:val="hr-HR"/>
              </w:rPr>
              <w:t>Uprava nije ranije financirala.</w:t>
            </w:r>
          </w:p>
        </w:tc>
      </w:tr>
    </w:tbl>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45F18908" w:rsidR="0077279C" w:rsidRPr="00EC7F45" w:rsidRDefault="00705A4D" w:rsidP="0077279C">
            <w:pPr>
              <w:rPr>
                <w:b/>
                <w:lang w:val="hr-HR"/>
              </w:rPr>
            </w:pPr>
            <w:r>
              <w:rPr>
                <w:b/>
                <w:lang w:val="hr-HR"/>
              </w:rPr>
              <w:t>2</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6351EF3E" w:rsidR="0077279C" w:rsidRPr="00EC7F45" w:rsidRDefault="0077279C" w:rsidP="00781612">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705A4D">
              <w:rPr>
                <w:b/>
                <w:lang w:val="hr-HR"/>
              </w:rPr>
              <w:t>2</w:t>
            </w:r>
            <w:r w:rsidRPr="00EC7F45">
              <w:rPr>
                <w:b/>
                <w:lang w:val="hr-HR"/>
              </w:rPr>
              <w:t>:</w:t>
            </w:r>
          </w:p>
        </w:tc>
        <w:tc>
          <w:tcPr>
            <w:tcW w:w="6946" w:type="dxa"/>
            <w:shd w:val="clear" w:color="auto" w:fill="B0CB1F"/>
          </w:tcPr>
          <w:p w14:paraId="27E80A02" w14:textId="59540BAB" w:rsidR="0077279C" w:rsidRPr="00705A4D" w:rsidRDefault="00705A4D" w:rsidP="0077279C">
            <w:pPr>
              <w:rPr>
                <w:b/>
                <w:lang w:val="hr-HR"/>
              </w:rPr>
            </w:pPr>
            <w:r w:rsidRPr="00705A4D">
              <w:rPr>
                <w:b/>
                <w:lang w:val="hr-HR"/>
              </w:rPr>
              <w:t>9.11.2017.</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03F071F7" w:rsidR="0077279C"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705A4D">
              <w:rPr>
                <w:b/>
                <w:color w:val="FFFFFF" w:themeColor="background1"/>
                <w:sz w:val="22"/>
                <w:szCs w:val="22"/>
                <w:lang w:val="hr-HR"/>
              </w:rPr>
              <w:t>8.11.2017.</w:t>
            </w:r>
          </w:p>
        </w:tc>
        <w:tc>
          <w:tcPr>
            <w:tcW w:w="6946" w:type="dxa"/>
            <w:shd w:val="clear" w:color="auto" w:fill="538135" w:themeFill="accent6" w:themeFillShade="BF"/>
          </w:tcPr>
          <w:p w14:paraId="1DB87F0E" w14:textId="3A50B9B8" w:rsidR="0077279C" w:rsidRPr="00EC7F45" w:rsidRDefault="00324620" w:rsidP="00324620">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705A4D">
              <w:rPr>
                <w:b/>
                <w:color w:val="FFFFFF" w:themeColor="background1"/>
                <w:sz w:val="22"/>
                <w:szCs w:val="22"/>
                <w:lang w:val="hr-HR"/>
              </w:rPr>
              <w:t xml:space="preserve"> 9.11.2017.</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19F7608A" w14:textId="61C63F23" w:rsidR="0077279C" w:rsidRPr="00EC7F45" w:rsidRDefault="006419E5" w:rsidP="00E43107">
            <w:pPr>
              <w:jc w:val="both"/>
              <w:rPr>
                <w:sz w:val="22"/>
                <w:szCs w:val="22"/>
                <w:lang w:val="hr-HR"/>
              </w:rPr>
            </w:pPr>
            <w:r w:rsidRPr="006419E5">
              <w:rPr>
                <w:sz w:val="22"/>
                <w:szCs w:val="22"/>
                <w:lang w:val="hr-HR"/>
              </w:rPr>
              <w:t>Obzirom da pojedine Lučke uprave imaju u provedbi više projekata za različite luke molimo vas pojašnjenje kako u tom slučaju provesti postupak javne nabave budući da svaki projekt ima svoj budžet projekta. Uz to pojedini projekti će se provoditi u različitim godinama pa vas molimo odgovor da li moramo za svaki projekt provoditi pojedinačnu javnu nabavu iako se radi o srodnim uslugama npr. usluge nadzornog inženjera. Iako će njihov angažman biti prisutan na svim projektima, mi u strukturi investicije moramo navesti trošak za svaki projekt zasebno te da li to znači i provedba javne nabave za svaki projekt zasebno?</w:t>
            </w:r>
          </w:p>
        </w:tc>
        <w:tc>
          <w:tcPr>
            <w:tcW w:w="6946" w:type="dxa"/>
          </w:tcPr>
          <w:p w14:paraId="423F43DB" w14:textId="04AAD559" w:rsidR="0077279C" w:rsidRPr="00EC7F45" w:rsidRDefault="006419E5" w:rsidP="00E43107">
            <w:pPr>
              <w:jc w:val="both"/>
              <w:rPr>
                <w:sz w:val="22"/>
                <w:szCs w:val="22"/>
                <w:lang w:val="hr-HR"/>
              </w:rPr>
            </w:pPr>
            <w:r w:rsidRPr="006419E5">
              <w:rPr>
                <w:sz w:val="22"/>
                <w:szCs w:val="22"/>
                <w:lang w:val="hr-HR"/>
              </w:rPr>
              <w:t>Za svaki projekt koji se sufinancira iz fondova EU, u slučaju da je prijavitelj obveznik Zakona o javnoj nabavi (dalje u tekstu: Zakon), mora se provesti propisana procedura, a posebice u odnosu na članak 205. Zakona koji propisuje da se predmet nabave mora opisati na jasan, nedvojben, potpun i neutralan način koji osigurava usporedivost ponuda u pogledu uvjeta i zahtjeva koje je javni naručitelj postavio.</w:t>
            </w: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1"/>
      <w:headerReference w:type="default" r:id="rId12"/>
      <w:footerReference w:type="even" r:id="rId13"/>
      <w:footerReference w:type="default" r:id="rId14"/>
      <w:headerReference w:type="first" r:id="rId15"/>
      <w:footerReference w:type="first" r:id="rId16"/>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ED71D" w14:textId="77777777" w:rsidR="0033330B" w:rsidRDefault="0033330B" w:rsidP="00FC265C">
      <w:pPr>
        <w:spacing w:after="0" w:line="240" w:lineRule="auto"/>
      </w:pPr>
      <w:r>
        <w:separator/>
      </w:r>
    </w:p>
  </w:endnote>
  <w:endnote w:type="continuationSeparator" w:id="0">
    <w:p w14:paraId="66F89F85" w14:textId="77777777" w:rsidR="0033330B" w:rsidRDefault="0033330B"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B04540">
          <w:rPr>
            <w:noProof/>
          </w:rPr>
          <w:t>2</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901A6" w14:textId="77777777" w:rsidR="0033330B" w:rsidRDefault="0033330B" w:rsidP="00FC265C">
      <w:pPr>
        <w:spacing w:after="0" w:line="240" w:lineRule="auto"/>
      </w:pPr>
      <w:r>
        <w:separator/>
      </w:r>
    </w:p>
  </w:footnote>
  <w:footnote w:type="continuationSeparator" w:id="0">
    <w:p w14:paraId="50C82A38" w14:textId="77777777" w:rsidR="0033330B" w:rsidRDefault="0033330B"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B16FD"/>
    <w:rsid w:val="000C22AB"/>
    <w:rsid w:val="000C5E2D"/>
    <w:rsid w:val="000D2ECF"/>
    <w:rsid w:val="000E048D"/>
    <w:rsid w:val="000E3453"/>
    <w:rsid w:val="000E3753"/>
    <w:rsid w:val="00102D7E"/>
    <w:rsid w:val="00105079"/>
    <w:rsid w:val="00126B47"/>
    <w:rsid w:val="00133307"/>
    <w:rsid w:val="00135309"/>
    <w:rsid w:val="0013776A"/>
    <w:rsid w:val="001421EB"/>
    <w:rsid w:val="001449EF"/>
    <w:rsid w:val="001521C3"/>
    <w:rsid w:val="001534AC"/>
    <w:rsid w:val="00162062"/>
    <w:rsid w:val="0017031A"/>
    <w:rsid w:val="00185383"/>
    <w:rsid w:val="0019596C"/>
    <w:rsid w:val="001974B9"/>
    <w:rsid w:val="001A0094"/>
    <w:rsid w:val="001A17C6"/>
    <w:rsid w:val="001A2939"/>
    <w:rsid w:val="001A3DC4"/>
    <w:rsid w:val="001B23B8"/>
    <w:rsid w:val="001B6C35"/>
    <w:rsid w:val="001B7D2D"/>
    <w:rsid w:val="001D5C15"/>
    <w:rsid w:val="001E2BCC"/>
    <w:rsid w:val="001E32CC"/>
    <w:rsid w:val="001F23F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33F5"/>
    <w:rsid w:val="002A5212"/>
    <w:rsid w:val="002B2324"/>
    <w:rsid w:val="002C33CF"/>
    <w:rsid w:val="002C3C3C"/>
    <w:rsid w:val="002C5E0E"/>
    <w:rsid w:val="002C5F04"/>
    <w:rsid w:val="002C6F5D"/>
    <w:rsid w:val="002D6A56"/>
    <w:rsid w:val="002D6C75"/>
    <w:rsid w:val="002E5C6E"/>
    <w:rsid w:val="002E650B"/>
    <w:rsid w:val="002F6DA2"/>
    <w:rsid w:val="0031107B"/>
    <w:rsid w:val="00313FE4"/>
    <w:rsid w:val="00324620"/>
    <w:rsid w:val="0033330B"/>
    <w:rsid w:val="0033705B"/>
    <w:rsid w:val="00344DE8"/>
    <w:rsid w:val="00345819"/>
    <w:rsid w:val="003512C9"/>
    <w:rsid w:val="00354EFC"/>
    <w:rsid w:val="00366959"/>
    <w:rsid w:val="0037749C"/>
    <w:rsid w:val="00377D87"/>
    <w:rsid w:val="00384BE7"/>
    <w:rsid w:val="00386638"/>
    <w:rsid w:val="00393243"/>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5D19"/>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44D17"/>
    <w:rsid w:val="0054576C"/>
    <w:rsid w:val="00565EEF"/>
    <w:rsid w:val="00570BEB"/>
    <w:rsid w:val="00571959"/>
    <w:rsid w:val="005813DD"/>
    <w:rsid w:val="005824F7"/>
    <w:rsid w:val="005849F9"/>
    <w:rsid w:val="00584E2A"/>
    <w:rsid w:val="00592ADF"/>
    <w:rsid w:val="00593C7C"/>
    <w:rsid w:val="005A47E8"/>
    <w:rsid w:val="005A668A"/>
    <w:rsid w:val="005D165D"/>
    <w:rsid w:val="005D44D1"/>
    <w:rsid w:val="005D4B64"/>
    <w:rsid w:val="005D681B"/>
    <w:rsid w:val="005E0D89"/>
    <w:rsid w:val="005E2BEC"/>
    <w:rsid w:val="00601BE1"/>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C08B9"/>
    <w:rsid w:val="006C16EA"/>
    <w:rsid w:val="006C414B"/>
    <w:rsid w:val="006C7AE0"/>
    <w:rsid w:val="006D2170"/>
    <w:rsid w:val="006D7D73"/>
    <w:rsid w:val="006E49CF"/>
    <w:rsid w:val="006E58C6"/>
    <w:rsid w:val="006E6D9D"/>
    <w:rsid w:val="006F02B4"/>
    <w:rsid w:val="006F5631"/>
    <w:rsid w:val="006F61F0"/>
    <w:rsid w:val="006F716F"/>
    <w:rsid w:val="006F7A36"/>
    <w:rsid w:val="00701958"/>
    <w:rsid w:val="00705A4D"/>
    <w:rsid w:val="0071752A"/>
    <w:rsid w:val="007247DD"/>
    <w:rsid w:val="00726557"/>
    <w:rsid w:val="00726D6C"/>
    <w:rsid w:val="00732F8E"/>
    <w:rsid w:val="00734037"/>
    <w:rsid w:val="00734F2D"/>
    <w:rsid w:val="007361D2"/>
    <w:rsid w:val="00742B44"/>
    <w:rsid w:val="007519B8"/>
    <w:rsid w:val="0075438A"/>
    <w:rsid w:val="00756372"/>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E0476"/>
    <w:rsid w:val="007E716A"/>
    <w:rsid w:val="007F6B9A"/>
    <w:rsid w:val="00800EBC"/>
    <w:rsid w:val="0080768F"/>
    <w:rsid w:val="0081394B"/>
    <w:rsid w:val="008143AD"/>
    <w:rsid w:val="00826E16"/>
    <w:rsid w:val="00831DF8"/>
    <w:rsid w:val="0083782C"/>
    <w:rsid w:val="008401B2"/>
    <w:rsid w:val="008467B9"/>
    <w:rsid w:val="008553D0"/>
    <w:rsid w:val="00862E3A"/>
    <w:rsid w:val="00863739"/>
    <w:rsid w:val="0087033A"/>
    <w:rsid w:val="00872A74"/>
    <w:rsid w:val="008743D7"/>
    <w:rsid w:val="008755B5"/>
    <w:rsid w:val="008773F6"/>
    <w:rsid w:val="008839AA"/>
    <w:rsid w:val="00886C6D"/>
    <w:rsid w:val="00887D3D"/>
    <w:rsid w:val="00893A7E"/>
    <w:rsid w:val="008960A7"/>
    <w:rsid w:val="008974F9"/>
    <w:rsid w:val="0089766F"/>
    <w:rsid w:val="008979A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38C2"/>
    <w:rsid w:val="00925989"/>
    <w:rsid w:val="009360A4"/>
    <w:rsid w:val="00936E3C"/>
    <w:rsid w:val="00971D8A"/>
    <w:rsid w:val="00971E56"/>
    <w:rsid w:val="0098396A"/>
    <w:rsid w:val="00984845"/>
    <w:rsid w:val="00996300"/>
    <w:rsid w:val="00996FE8"/>
    <w:rsid w:val="009A0A4C"/>
    <w:rsid w:val="009A59DD"/>
    <w:rsid w:val="009C36B9"/>
    <w:rsid w:val="009C6EDE"/>
    <w:rsid w:val="009D17A7"/>
    <w:rsid w:val="009E06F7"/>
    <w:rsid w:val="009E45B2"/>
    <w:rsid w:val="009E4B14"/>
    <w:rsid w:val="009F1F0C"/>
    <w:rsid w:val="009F490E"/>
    <w:rsid w:val="00A019E1"/>
    <w:rsid w:val="00A166B4"/>
    <w:rsid w:val="00A22696"/>
    <w:rsid w:val="00A24F6F"/>
    <w:rsid w:val="00A2549D"/>
    <w:rsid w:val="00A3084B"/>
    <w:rsid w:val="00A31E0F"/>
    <w:rsid w:val="00A415B4"/>
    <w:rsid w:val="00A4448A"/>
    <w:rsid w:val="00A47FC8"/>
    <w:rsid w:val="00A50770"/>
    <w:rsid w:val="00A600DE"/>
    <w:rsid w:val="00A645BC"/>
    <w:rsid w:val="00A71EE6"/>
    <w:rsid w:val="00A7352C"/>
    <w:rsid w:val="00A766C2"/>
    <w:rsid w:val="00A81355"/>
    <w:rsid w:val="00A81C96"/>
    <w:rsid w:val="00A84628"/>
    <w:rsid w:val="00A87842"/>
    <w:rsid w:val="00A97B60"/>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4540"/>
    <w:rsid w:val="00B072D0"/>
    <w:rsid w:val="00B20CFE"/>
    <w:rsid w:val="00B21B8C"/>
    <w:rsid w:val="00B31435"/>
    <w:rsid w:val="00B37EAB"/>
    <w:rsid w:val="00B40421"/>
    <w:rsid w:val="00B45804"/>
    <w:rsid w:val="00B53970"/>
    <w:rsid w:val="00B5423E"/>
    <w:rsid w:val="00B554AD"/>
    <w:rsid w:val="00B60EAE"/>
    <w:rsid w:val="00B7526C"/>
    <w:rsid w:val="00B80913"/>
    <w:rsid w:val="00B94381"/>
    <w:rsid w:val="00B96CCD"/>
    <w:rsid w:val="00BA0BB7"/>
    <w:rsid w:val="00BA50AB"/>
    <w:rsid w:val="00BA68EF"/>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81675"/>
    <w:rsid w:val="00C81703"/>
    <w:rsid w:val="00C93C99"/>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4CE6"/>
    <w:rsid w:val="00D66E14"/>
    <w:rsid w:val="00D73041"/>
    <w:rsid w:val="00D77FE7"/>
    <w:rsid w:val="00D82761"/>
    <w:rsid w:val="00D82E32"/>
    <w:rsid w:val="00D946CC"/>
    <w:rsid w:val="00D956F1"/>
    <w:rsid w:val="00D96048"/>
    <w:rsid w:val="00DA23CA"/>
    <w:rsid w:val="00DB03E0"/>
    <w:rsid w:val="00DB6455"/>
    <w:rsid w:val="00DC02A0"/>
    <w:rsid w:val="00DC0B8E"/>
    <w:rsid w:val="00DC71C8"/>
    <w:rsid w:val="00DD2AAC"/>
    <w:rsid w:val="00DD78D8"/>
    <w:rsid w:val="00DE67F3"/>
    <w:rsid w:val="00DF6922"/>
    <w:rsid w:val="00E053F8"/>
    <w:rsid w:val="00E06670"/>
    <w:rsid w:val="00E1073F"/>
    <w:rsid w:val="00E10ED4"/>
    <w:rsid w:val="00E156A0"/>
    <w:rsid w:val="00E15B8C"/>
    <w:rsid w:val="00E322AD"/>
    <w:rsid w:val="00E34584"/>
    <w:rsid w:val="00E50633"/>
    <w:rsid w:val="00E61823"/>
    <w:rsid w:val="00E75300"/>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1E10"/>
    <w:rsid w:val="00F14137"/>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trukturnifondovi.hr/natjecaji/1462" TargetMode="Externa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B5AF-0804-46FD-826B-0807EF5F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2017-11-09T11:22:00Z</dcterms:created>
  <dcterms:modified xsi:type="dcterms:W3CDTF">2017-11-09T11:22:00Z</dcterms:modified>
</cp:coreProperties>
</file>