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D4AC9" w14:textId="642F3E6A" w:rsidR="00FF5856" w:rsidRPr="00FE2CBA" w:rsidRDefault="00FF5856" w:rsidP="00FF5856">
      <w:pPr>
        <w:jc w:val="center"/>
        <w:rPr>
          <w:i/>
        </w:rPr>
      </w:pPr>
      <w:bookmarkStart w:id="0" w:name="_GoBack"/>
      <w:bookmarkEnd w:id="0"/>
      <w:r w:rsidRPr="00FE2CBA">
        <w:rPr>
          <w:i/>
        </w:rPr>
        <w:t xml:space="preserve">Ovaj </w:t>
      </w:r>
      <w:r w:rsidR="002065B0">
        <w:rPr>
          <w:i/>
        </w:rPr>
        <w:t>P</w:t>
      </w:r>
      <w:r w:rsidRPr="00FE2CBA">
        <w:rPr>
          <w:i/>
        </w:rPr>
        <w:t>oziv se financira iz Europskog fonda za regionalni razvoj</w:t>
      </w:r>
    </w:p>
    <w:p w14:paraId="2D273C6E" w14:textId="2098401F" w:rsidR="00456D82" w:rsidRPr="00FE2CBA" w:rsidRDefault="00741A8F" w:rsidP="00456D82">
      <w:pPr>
        <w:tabs>
          <w:tab w:val="left" w:pos="1257"/>
        </w:tabs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FE2CBA">
        <w:rPr>
          <w:rFonts w:eastAsia="Times New Roman" w:cs="Times New Roman"/>
          <w:b/>
          <w:sz w:val="24"/>
          <w:szCs w:val="24"/>
        </w:rPr>
        <w:t>Izjava</w:t>
      </w:r>
      <w:r w:rsidR="004841B9">
        <w:rPr>
          <w:rFonts w:eastAsia="Times New Roman" w:cs="Times New Roman"/>
          <w:b/>
          <w:sz w:val="24"/>
          <w:szCs w:val="24"/>
        </w:rPr>
        <w:t xml:space="preserve"> P</w:t>
      </w:r>
      <w:r w:rsidR="00DF2C84" w:rsidRPr="00FE2CBA">
        <w:rPr>
          <w:rFonts w:eastAsia="Times New Roman" w:cs="Times New Roman"/>
          <w:b/>
          <w:sz w:val="24"/>
          <w:szCs w:val="24"/>
        </w:rPr>
        <w:t>rijavitelja o istinitosti podataka, izbjegavanju dvostrukog financiranja i ispunjavanju preduvjeta za sudjelovanje u postupku dodjele</w:t>
      </w:r>
      <w:r w:rsidR="00B349B7" w:rsidRPr="00FE2CBA">
        <w:rPr>
          <w:rStyle w:val="FootnoteReference"/>
          <w:rFonts w:eastAsia="Times New Roman"/>
          <w:b/>
          <w:sz w:val="24"/>
          <w:szCs w:val="24"/>
        </w:rPr>
        <w:footnoteReference w:id="1"/>
      </w:r>
    </w:p>
    <w:p w14:paraId="5CB4CF70" w14:textId="55460BEC" w:rsidR="0031555E" w:rsidRPr="00FE2CBA" w:rsidRDefault="0031555E" w:rsidP="00456D82">
      <w:pPr>
        <w:tabs>
          <w:tab w:val="left" w:pos="1257"/>
        </w:tabs>
        <w:spacing w:line="240" w:lineRule="auto"/>
        <w:rPr>
          <w:rFonts w:eastAsia="Times New Roman" w:cs="Times New Roman"/>
          <w:b/>
          <w:sz w:val="24"/>
          <w:szCs w:val="24"/>
        </w:rPr>
      </w:pPr>
      <w:r w:rsidRPr="00FE2CBA">
        <w:rPr>
          <w:rFonts w:eastAsia="Times New Roman" w:cs="Times New Roman"/>
          <w:b/>
          <w:sz w:val="24"/>
          <w:szCs w:val="24"/>
        </w:rPr>
        <w:tab/>
      </w:r>
      <w:r w:rsidRPr="00FE2CBA">
        <w:rPr>
          <w:rFonts w:eastAsia="Times New Roman" w:cs="Times New Roman"/>
          <w:b/>
          <w:sz w:val="24"/>
          <w:szCs w:val="24"/>
        </w:rPr>
        <w:tab/>
      </w:r>
    </w:p>
    <w:p w14:paraId="581BC859" w14:textId="5B5DD50E" w:rsidR="004841B9" w:rsidRDefault="0031555E" w:rsidP="004841B9">
      <w:pPr>
        <w:tabs>
          <w:tab w:val="left" w:pos="1257"/>
        </w:tabs>
        <w:jc w:val="center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Ja </w:t>
      </w:r>
      <w:r w:rsidR="004841B9">
        <w:rPr>
          <w:rFonts w:eastAsia="Times New Roman" w:cs="Times New Roman"/>
          <w:sz w:val="24"/>
          <w:szCs w:val="24"/>
        </w:rPr>
        <w:t xml:space="preserve">________________________________________________________________________,  </w:t>
      </w:r>
      <w:r w:rsidRPr="00FE2CBA">
        <w:rPr>
          <w:rFonts w:eastAsia="Times New Roman" w:cs="Times New Roman"/>
          <w:sz w:val="24"/>
          <w:szCs w:val="24"/>
        </w:rPr>
        <w:t xml:space="preserve">&lt; </w:t>
      </w:r>
      <w:r w:rsidRPr="00FE2CBA">
        <w:rPr>
          <w:rFonts w:eastAsia="Times New Roman" w:cs="Times New Roman"/>
          <w:i/>
          <w:sz w:val="24"/>
          <w:szCs w:val="24"/>
        </w:rPr>
        <w:t xml:space="preserve">umetnuti ime/naziv, adresa, OIB </w:t>
      </w:r>
      <w:r w:rsidRPr="00FE2CBA">
        <w:rPr>
          <w:rFonts w:eastAsia="Times New Roman" w:cs="Times New Roman"/>
          <w:sz w:val="24"/>
          <w:szCs w:val="24"/>
        </w:rPr>
        <w:t>&gt;</w:t>
      </w:r>
    </w:p>
    <w:p w14:paraId="2B895D32" w14:textId="77777777" w:rsidR="004841B9" w:rsidRDefault="0031555E" w:rsidP="0031555E">
      <w:pPr>
        <w:tabs>
          <w:tab w:val="left" w:pos="1257"/>
        </w:tabs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dolje potpisani, kao osoba ovlaštena za zastupanje Prijavitelja </w:t>
      </w:r>
    </w:p>
    <w:p w14:paraId="30BAE80C" w14:textId="77777777" w:rsidR="004841B9" w:rsidRDefault="004841B9" w:rsidP="004841B9">
      <w:pP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</w:p>
    <w:p w14:paraId="59B04BEE" w14:textId="39C373FF" w:rsidR="004841B9" w:rsidRDefault="004841B9" w:rsidP="004841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  <w:r w:rsidRPr="004841B9">
        <w:rPr>
          <w:rFonts w:eastAsia="Times New Roman" w:cs="Times New Roman"/>
          <w:i/>
          <w:sz w:val="24"/>
          <w:szCs w:val="24"/>
        </w:rPr>
        <w:t>&lt; umetnuti naziv Prijavitelja&gt;</w:t>
      </w:r>
    </w:p>
    <w:p w14:paraId="1A45C56C" w14:textId="77777777" w:rsidR="004841B9" w:rsidRPr="004841B9" w:rsidRDefault="004841B9" w:rsidP="004841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14:paraId="642AEA13" w14:textId="77777777" w:rsidR="004841B9" w:rsidRDefault="004841B9" w:rsidP="0031555E">
      <w:pPr>
        <w:tabs>
          <w:tab w:val="left" w:pos="1257"/>
        </w:tabs>
        <w:jc w:val="both"/>
        <w:rPr>
          <w:rFonts w:eastAsia="Times New Roman" w:cs="Times New Roman"/>
          <w:sz w:val="24"/>
          <w:szCs w:val="24"/>
        </w:rPr>
      </w:pPr>
      <w:r w:rsidRPr="004841B9">
        <w:rPr>
          <w:rFonts w:eastAsia="Times New Roman" w:cs="Times New Roman"/>
          <w:sz w:val="24"/>
          <w:szCs w:val="24"/>
        </w:rPr>
        <w:t xml:space="preserve">(u nastavku teksta: Prijavitelj), </w:t>
      </w:r>
      <w:r>
        <w:rPr>
          <w:rFonts w:eastAsia="Times New Roman" w:cs="Times New Roman"/>
          <w:sz w:val="24"/>
          <w:szCs w:val="24"/>
        </w:rPr>
        <w:t>osobno i u ime Prijavitelja</w:t>
      </w:r>
      <w:r w:rsidR="0031555E" w:rsidRPr="00FE2CBA">
        <w:rPr>
          <w:rFonts w:eastAsia="Times New Roman" w:cs="Times New Roman"/>
          <w:sz w:val="24"/>
          <w:szCs w:val="24"/>
        </w:rPr>
        <w:t xml:space="preserve"> potvrđujem da su podaci sadržani u dokumentaciji</w:t>
      </w:r>
      <w:r w:rsidR="0031555E" w:rsidRPr="00FE2CBA">
        <w:rPr>
          <w:rFonts w:cs="Times New Roman"/>
          <w:sz w:val="24"/>
          <w:szCs w:val="24"/>
        </w:rPr>
        <w:t xml:space="preserve"> </w:t>
      </w:r>
      <w:r w:rsidR="0031555E" w:rsidRPr="00FE2CBA">
        <w:rPr>
          <w:rFonts w:eastAsia="Times New Roman" w:cs="Times New Roman"/>
          <w:sz w:val="24"/>
          <w:szCs w:val="24"/>
        </w:rPr>
        <w:t xml:space="preserve">projektnog prijedloga </w:t>
      </w:r>
    </w:p>
    <w:p w14:paraId="63C4695C" w14:textId="01B3742A" w:rsidR="004841B9" w:rsidRDefault="004841B9" w:rsidP="004841B9">
      <w:pPr>
        <w:tabs>
          <w:tab w:val="left" w:pos="1257"/>
        </w:tabs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  <w:r w:rsidR="0031555E" w:rsidRPr="00FE2CBA">
        <w:rPr>
          <w:rFonts w:eastAsia="Times New Roman" w:cs="Times New Roman"/>
          <w:sz w:val="24"/>
          <w:szCs w:val="24"/>
        </w:rPr>
        <w:t xml:space="preserve">&lt; </w:t>
      </w:r>
      <w:r w:rsidR="0031555E" w:rsidRPr="00FE2CBA">
        <w:rPr>
          <w:rFonts w:eastAsia="Times New Roman" w:cs="Times New Roman"/>
          <w:i/>
          <w:sz w:val="24"/>
          <w:szCs w:val="24"/>
        </w:rPr>
        <w:t>umetnuti</w:t>
      </w:r>
      <w:r w:rsidR="0031555E" w:rsidRPr="00FE2CBA">
        <w:rPr>
          <w:rFonts w:eastAsia="Times New Roman" w:cs="Times New Roman"/>
          <w:sz w:val="24"/>
          <w:szCs w:val="24"/>
        </w:rPr>
        <w:t xml:space="preserve">  </w:t>
      </w:r>
      <w:r w:rsidR="0031555E" w:rsidRPr="00FE2CBA">
        <w:rPr>
          <w:rFonts w:eastAsia="Times New Roman" w:cs="Times New Roman"/>
          <w:i/>
          <w:sz w:val="24"/>
          <w:szCs w:val="24"/>
        </w:rPr>
        <w:t xml:space="preserve">naziv </w:t>
      </w:r>
      <w:r w:rsidR="0031555E" w:rsidRPr="00FE2CBA">
        <w:rPr>
          <w:rFonts w:eastAsia="Times New Roman" w:cs="Times New Roman"/>
          <w:sz w:val="24"/>
          <w:szCs w:val="24"/>
        </w:rPr>
        <w:t>&gt;</w:t>
      </w:r>
    </w:p>
    <w:p w14:paraId="1F86D993" w14:textId="0F45E044" w:rsidR="0031555E" w:rsidRPr="00FE2CBA" w:rsidRDefault="0031555E" w:rsidP="0031555E">
      <w:pPr>
        <w:tabs>
          <w:tab w:val="left" w:pos="1257"/>
        </w:tabs>
        <w:jc w:val="both"/>
        <w:rPr>
          <w:rFonts w:eastAsia="Times New Roman" w:cs="Times New Roman"/>
          <w:b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>u postupku d</w:t>
      </w:r>
      <w:r w:rsidR="004841B9">
        <w:rPr>
          <w:rFonts w:eastAsia="Times New Roman" w:cs="Times New Roman"/>
          <w:sz w:val="24"/>
          <w:szCs w:val="24"/>
        </w:rPr>
        <w:t>odjele bespovratnih sredstava „Priprema IRI infrastrukturnih projekata“ KK.01.1.1.</w:t>
      </w:r>
      <w:r w:rsidR="00F26285">
        <w:rPr>
          <w:rFonts w:eastAsia="Times New Roman" w:cs="Times New Roman"/>
          <w:sz w:val="24"/>
          <w:szCs w:val="24"/>
          <w:highlight w:val="yellow"/>
        </w:rPr>
        <w:t>09</w:t>
      </w:r>
      <w:r w:rsidRPr="00FE2CBA">
        <w:rPr>
          <w:rFonts w:eastAsia="Times New Roman" w:cs="Times New Roman"/>
          <w:sz w:val="24"/>
          <w:szCs w:val="24"/>
        </w:rPr>
        <w:t xml:space="preserve">, </w:t>
      </w:r>
      <w:r w:rsidRPr="00FE2CBA">
        <w:rPr>
          <w:rFonts w:eastAsia="Times New Roman" w:cs="Times New Roman"/>
          <w:b/>
          <w:sz w:val="24"/>
          <w:szCs w:val="24"/>
        </w:rPr>
        <w:t>istiniti i točni</w:t>
      </w:r>
      <w:r w:rsidRPr="00FE2CBA">
        <w:rPr>
          <w:rFonts w:eastAsia="Times New Roman" w:cs="Times New Roman"/>
          <w:sz w:val="24"/>
          <w:szCs w:val="24"/>
        </w:rPr>
        <w:t>.</w:t>
      </w:r>
    </w:p>
    <w:p w14:paraId="1355A6BC" w14:textId="35EAAA7E" w:rsidR="0031555E" w:rsidRPr="00FE2CBA" w:rsidRDefault="0031555E" w:rsidP="0031555E">
      <w:pPr>
        <w:tabs>
          <w:tab w:val="left" w:pos="1257"/>
        </w:tabs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Poštujući </w:t>
      </w:r>
      <w:r w:rsidRPr="00FE2CBA">
        <w:rPr>
          <w:rFonts w:eastAsia="Times New Roman" w:cs="Times New Roman"/>
          <w:b/>
          <w:sz w:val="24"/>
          <w:szCs w:val="24"/>
        </w:rPr>
        <w:t>načelo izbjegavanja dvostrukog financiranja</w:t>
      </w:r>
      <w:r w:rsidRPr="00FE2CBA">
        <w:rPr>
          <w:rFonts w:eastAsia="Times New Roman" w:cs="Times New Roman"/>
          <w:sz w:val="24"/>
          <w:szCs w:val="24"/>
        </w:rPr>
        <w:t xml:space="preserve">, ujedno, </w:t>
      </w:r>
      <w:r w:rsidR="000220EB">
        <w:rPr>
          <w:rFonts w:eastAsia="Times New Roman" w:cs="Times New Roman"/>
          <w:sz w:val="24"/>
          <w:szCs w:val="24"/>
        </w:rPr>
        <w:t>osobno i u ime Prijavitelja</w:t>
      </w:r>
      <w:r w:rsidRPr="00FE2CBA">
        <w:rPr>
          <w:rFonts w:eastAsia="Times New Roman" w:cs="Times New Roman"/>
          <w:sz w:val="24"/>
          <w:szCs w:val="24"/>
        </w:rPr>
        <w:t xml:space="preserve"> potvrđujem da predloženi prihvatljivi izdaci nisu prethodno (su)financirani bespovratnim sredstvima iz bilo kojeg javnog izvora (uključujući iz Europske unije, odnosno Europskih strukturnih i investicijskih fondova), niti da će isti biti više od jednom (su)financirani nakon potencijalno uspješnog okončanja dvaju ili više postupaka dodjele bespovratnih sredstava.</w:t>
      </w:r>
    </w:p>
    <w:p w14:paraId="57EA34F7" w14:textId="06B95711" w:rsidR="0031555E" w:rsidRPr="00FE2CBA" w:rsidRDefault="0031555E" w:rsidP="0031555E">
      <w:pPr>
        <w:tabs>
          <w:tab w:val="left" w:pos="1257"/>
        </w:tabs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Potpisom ove Izjave osobno i u </w:t>
      </w:r>
      <w:r w:rsidR="000220EB">
        <w:rPr>
          <w:rFonts w:eastAsia="Times New Roman" w:cs="Times New Roman"/>
          <w:sz w:val="24"/>
          <w:szCs w:val="24"/>
        </w:rPr>
        <w:t>ime Prijavitelja</w:t>
      </w:r>
      <w:r w:rsidRPr="00FE2CBA">
        <w:rPr>
          <w:rFonts w:eastAsia="Times New Roman" w:cs="Times New Roman"/>
          <w:sz w:val="24"/>
          <w:szCs w:val="24"/>
        </w:rPr>
        <w:t xml:space="preserve"> potvrđujem da su na strani </w:t>
      </w:r>
      <w:r w:rsidR="000220EB">
        <w:rPr>
          <w:rFonts w:eastAsia="Times New Roman" w:cs="Times New Roman"/>
          <w:sz w:val="24"/>
          <w:szCs w:val="24"/>
        </w:rPr>
        <w:t>Prijavitelja</w:t>
      </w:r>
      <w:r w:rsidRPr="00FE2CBA">
        <w:rPr>
          <w:rFonts w:eastAsia="Times New Roman" w:cs="Times New Roman"/>
          <w:sz w:val="24"/>
          <w:szCs w:val="24"/>
        </w:rPr>
        <w:t xml:space="preserve"> </w:t>
      </w:r>
      <w:r w:rsidRPr="00FE2CBA">
        <w:rPr>
          <w:rFonts w:eastAsia="Times New Roman" w:cs="Times New Roman"/>
          <w:b/>
          <w:sz w:val="24"/>
          <w:szCs w:val="24"/>
        </w:rPr>
        <w:t>ispunjeni preduvjeti za sudjelovanje u postupku dodjele bespovratnih sredstava</w:t>
      </w:r>
      <w:r w:rsidRPr="00FE2CBA">
        <w:rPr>
          <w:rFonts w:eastAsia="Times New Roman" w:cs="Times New Roman"/>
          <w:sz w:val="24"/>
          <w:szCs w:val="24"/>
        </w:rPr>
        <w:t xml:space="preserve">, odnosno da se </w:t>
      </w:r>
      <w:r w:rsidR="000220EB">
        <w:rPr>
          <w:rFonts w:eastAsia="Times New Roman" w:cs="Times New Roman"/>
          <w:sz w:val="24"/>
          <w:szCs w:val="24"/>
        </w:rPr>
        <w:t>Prijavitelj</w:t>
      </w:r>
      <w:r w:rsidRPr="00FE2CBA">
        <w:rPr>
          <w:rFonts w:eastAsia="Times New Roman" w:cs="Times New Roman"/>
          <w:sz w:val="24"/>
          <w:szCs w:val="24"/>
        </w:rPr>
        <w:t xml:space="preserve">, niti dolje spominjane osobe u točkama a) – </w:t>
      </w:r>
      <w:r w:rsidR="00F26285">
        <w:rPr>
          <w:rFonts w:eastAsia="Times New Roman" w:cs="Times New Roman"/>
          <w:sz w:val="24"/>
          <w:szCs w:val="24"/>
        </w:rPr>
        <w:t>g</w:t>
      </w:r>
      <w:r w:rsidRPr="00FE2CBA">
        <w:rPr>
          <w:rFonts w:eastAsia="Times New Roman" w:cs="Times New Roman"/>
          <w:sz w:val="24"/>
          <w:szCs w:val="24"/>
        </w:rPr>
        <w:t xml:space="preserve">) </w:t>
      </w:r>
      <w:r w:rsidRPr="00FE2CBA">
        <w:rPr>
          <w:rFonts w:eastAsia="Times New Roman" w:cs="Times New Roman"/>
          <w:b/>
          <w:sz w:val="24"/>
          <w:szCs w:val="24"/>
        </w:rPr>
        <w:t>ne nalaze niti u jednoj od situacija</w:t>
      </w:r>
      <w:r w:rsidRPr="00FE2CBA">
        <w:rPr>
          <w:rFonts w:eastAsia="Times New Roman" w:cs="Times New Roman"/>
          <w:sz w:val="24"/>
          <w:szCs w:val="24"/>
        </w:rPr>
        <w:t>:</w:t>
      </w:r>
    </w:p>
    <w:p w14:paraId="4EFECA30" w14:textId="230EC677" w:rsidR="0031555E" w:rsidRPr="00FE2CBA" w:rsidRDefault="0031555E" w:rsidP="0031555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E2CBA">
        <w:rPr>
          <w:rFonts w:cs="Times New Roman"/>
          <w:sz w:val="24"/>
          <w:szCs w:val="24"/>
        </w:rPr>
        <w:t xml:space="preserve">da je nad </w:t>
      </w:r>
      <w:r w:rsidR="000220EB">
        <w:rPr>
          <w:rFonts w:eastAsia="Times New Roman" w:cs="Times New Roman"/>
          <w:sz w:val="24"/>
          <w:szCs w:val="24"/>
        </w:rPr>
        <w:t>Prijaviteljem</w:t>
      </w:r>
      <w:r w:rsidRPr="00FE2CBA">
        <w:rPr>
          <w:rFonts w:eastAsia="Times New Roman" w:cs="Times New Roman"/>
          <w:sz w:val="24"/>
          <w:szCs w:val="24"/>
        </w:rPr>
        <w:t xml:space="preserve"> </w:t>
      </w:r>
      <w:r w:rsidRPr="00FE2CBA">
        <w:rPr>
          <w:rFonts w:cs="Times New Roman"/>
          <w:sz w:val="24"/>
          <w:szCs w:val="24"/>
        </w:rPr>
        <w:t xml:space="preserve">podnesen </w:t>
      </w:r>
      <w:r w:rsidRPr="00FE2CBA">
        <w:rPr>
          <w:rFonts w:cs="Times New Roman"/>
          <w:b/>
          <w:sz w:val="24"/>
          <w:szCs w:val="24"/>
        </w:rPr>
        <w:t xml:space="preserve">prijedlog za pokretanje </w:t>
      </w:r>
      <w:proofErr w:type="spellStart"/>
      <w:r w:rsidRPr="00FE2CBA">
        <w:rPr>
          <w:rFonts w:cs="Times New Roman"/>
          <w:b/>
          <w:sz w:val="24"/>
          <w:szCs w:val="24"/>
        </w:rPr>
        <w:t>predstečajnog</w:t>
      </w:r>
      <w:proofErr w:type="spellEnd"/>
      <w:r w:rsidRPr="00FE2CBA">
        <w:rPr>
          <w:rFonts w:cs="Times New Roman"/>
          <w:b/>
          <w:sz w:val="24"/>
          <w:szCs w:val="24"/>
        </w:rPr>
        <w:t xml:space="preserve"> ili stečajnog postupka</w:t>
      </w:r>
      <w:r w:rsidRPr="00FE2CBA">
        <w:rPr>
          <w:rFonts w:cs="Times New Roman"/>
          <w:sz w:val="24"/>
          <w:szCs w:val="24"/>
        </w:rPr>
        <w:t xml:space="preserve">; pokrenut </w:t>
      </w:r>
      <w:r w:rsidRPr="00FE2CBA">
        <w:rPr>
          <w:rFonts w:cs="Times New Roman"/>
          <w:b/>
          <w:sz w:val="24"/>
          <w:szCs w:val="24"/>
        </w:rPr>
        <w:t>prethodni postupak</w:t>
      </w:r>
      <w:r w:rsidRPr="00FE2CBA">
        <w:rPr>
          <w:rFonts w:cs="Times New Roman"/>
          <w:sz w:val="24"/>
          <w:szCs w:val="24"/>
        </w:rPr>
        <w:t xml:space="preserve"> radi utvrđivanja uvjeta za otvaranje stečajnog postupka; </w:t>
      </w:r>
      <w:r w:rsidRPr="00FE2CBA">
        <w:rPr>
          <w:rFonts w:cs="Times New Roman"/>
          <w:b/>
          <w:sz w:val="24"/>
          <w:szCs w:val="24"/>
        </w:rPr>
        <w:t xml:space="preserve">otvoren </w:t>
      </w:r>
      <w:proofErr w:type="spellStart"/>
      <w:r w:rsidRPr="00FE2CBA">
        <w:rPr>
          <w:rFonts w:cs="Times New Roman"/>
          <w:b/>
          <w:sz w:val="24"/>
          <w:szCs w:val="24"/>
        </w:rPr>
        <w:t>predstečajni</w:t>
      </w:r>
      <w:proofErr w:type="spellEnd"/>
      <w:r w:rsidRPr="00FE2CBA">
        <w:rPr>
          <w:rFonts w:cs="Times New Roman"/>
          <w:b/>
          <w:sz w:val="24"/>
          <w:szCs w:val="24"/>
        </w:rPr>
        <w:t xml:space="preserve"> ili stečajni postupak</w:t>
      </w:r>
      <w:r w:rsidRPr="00FE2CBA">
        <w:rPr>
          <w:rFonts w:cs="Times New Roman"/>
          <w:sz w:val="24"/>
          <w:szCs w:val="24"/>
        </w:rPr>
        <w:t xml:space="preserve">, ispunjeni uvjeti za pokretanje ili je pokrenut </w:t>
      </w:r>
      <w:r w:rsidRPr="00FE2CBA">
        <w:rPr>
          <w:rFonts w:cs="Times New Roman"/>
          <w:b/>
          <w:sz w:val="24"/>
          <w:szCs w:val="24"/>
        </w:rPr>
        <w:t>postupak likvidacije</w:t>
      </w:r>
      <w:r w:rsidRPr="00FE2CBA">
        <w:rPr>
          <w:rFonts w:cs="Times New Roman"/>
          <w:sz w:val="24"/>
          <w:szCs w:val="24"/>
        </w:rPr>
        <w:t xml:space="preserve"> (po službenoj dužnosti ili po prijedlogu); podnesen prijedlog za otvaranje </w:t>
      </w:r>
      <w:r w:rsidRPr="00FE2CBA">
        <w:rPr>
          <w:rFonts w:cs="Times New Roman"/>
          <w:b/>
          <w:sz w:val="24"/>
          <w:szCs w:val="24"/>
        </w:rPr>
        <w:t>postupka izvanredne uprave</w:t>
      </w:r>
      <w:r w:rsidRPr="00FE2CBA">
        <w:rPr>
          <w:rFonts w:cs="Times New Roman"/>
          <w:sz w:val="24"/>
          <w:szCs w:val="24"/>
        </w:rPr>
        <w:t xml:space="preserve">; da njime upravlja </w:t>
      </w:r>
      <w:r w:rsidRPr="00FE2CBA">
        <w:rPr>
          <w:rFonts w:cs="Times New Roman"/>
          <w:b/>
          <w:sz w:val="24"/>
          <w:szCs w:val="24"/>
        </w:rPr>
        <w:t>osoba postavljena od strane nadležnog suda</w:t>
      </w:r>
      <w:r w:rsidRPr="00FE2CBA">
        <w:rPr>
          <w:rFonts w:cs="Times New Roman"/>
          <w:sz w:val="24"/>
          <w:szCs w:val="24"/>
        </w:rPr>
        <w:t xml:space="preserve"> ili je pokrenut postupak nadležnog suda za postavljanje osobe koja će njime upravljati; da je u </w:t>
      </w:r>
      <w:r w:rsidRPr="00FE2CBA">
        <w:rPr>
          <w:rFonts w:cs="Times New Roman"/>
          <w:b/>
          <w:sz w:val="24"/>
          <w:szCs w:val="24"/>
        </w:rPr>
        <w:t>nagodbi s vjerovnicima</w:t>
      </w:r>
      <w:r w:rsidRPr="00FE2CBA">
        <w:rPr>
          <w:rFonts w:cs="Times New Roman"/>
          <w:sz w:val="24"/>
          <w:szCs w:val="24"/>
        </w:rPr>
        <w:t xml:space="preserve"> ili je pokrenut postupak nagodbe s vjerovnicima; da je </w:t>
      </w:r>
      <w:r w:rsidRPr="00FE2CBA">
        <w:rPr>
          <w:rFonts w:cs="Times New Roman"/>
          <w:b/>
          <w:sz w:val="24"/>
          <w:szCs w:val="24"/>
        </w:rPr>
        <w:t>obustavio poslovne djelatnosti</w:t>
      </w:r>
      <w:r w:rsidRPr="00FE2CBA">
        <w:rPr>
          <w:rFonts w:eastAsia="Times New Roman" w:cs="Times New Roman"/>
          <w:sz w:val="24"/>
          <w:szCs w:val="24"/>
        </w:rPr>
        <w:t>,</w:t>
      </w:r>
    </w:p>
    <w:p w14:paraId="1F9F60D7" w14:textId="08E07E21" w:rsidR="0031555E" w:rsidRPr="00FE2CBA" w:rsidRDefault="0031555E" w:rsidP="0031555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FE2CBA">
        <w:rPr>
          <w:rFonts w:eastAsia="Times New Roman" w:cs="Times New Roman"/>
          <w:sz w:val="24"/>
          <w:szCs w:val="24"/>
          <w:shd w:val="clear" w:color="auto" w:fill="FFFFFF"/>
        </w:rPr>
        <w:lastRenderedPageBreak/>
        <w:t>da</w:t>
      </w:r>
      <w:r w:rsidR="000220EB">
        <w:rPr>
          <w:rFonts w:eastAsia="Times New Roman" w:cs="Times New Roman"/>
          <w:sz w:val="24"/>
          <w:szCs w:val="24"/>
          <w:shd w:val="clear" w:color="auto" w:fill="FFFFFF"/>
        </w:rPr>
        <w:t xml:space="preserve"> je protiv Prijavitelja</w:t>
      </w:r>
      <w:r w:rsidRPr="00FE2CBA">
        <w:rPr>
          <w:rFonts w:eastAsia="Times New Roman" w:cs="Times New Roman"/>
          <w:sz w:val="24"/>
          <w:szCs w:val="24"/>
          <w:shd w:val="clear" w:color="auto" w:fill="FFFFFF"/>
        </w:rPr>
        <w:t xml:space="preserve"> ili osobe koja je član njegovog upravnog, upravljačkog ili nadzornog tijela ili ima ovlasti zastupanja</w:t>
      </w:r>
      <w:r w:rsidR="00934012">
        <w:rPr>
          <w:rFonts w:eastAsia="Times New Roman" w:cs="Times New Roman"/>
          <w:sz w:val="24"/>
          <w:szCs w:val="24"/>
          <w:shd w:val="clear" w:color="auto" w:fill="FFFFFF"/>
        </w:rPr>
        <w:t>, donošenja odluka ili nadzora P</w:t>
      </w:r>
      <w:r w:rsidRPr="00FE2CBA">
        <w:rPr>
          <w:rFonts w:eastAsia="Times New Roman" w:cs="Times New Roman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FE2CBA">
        <w:rPr>
          <w:rFonts w:eastAsia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FE2CBA">
        <w:rPr>
          <w:rFonts w:eastAsia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14:paraId="4052E3EF" w14:textId="4DCA81B6" w:rsidR="0031555E" w:rsidRPr="00FE2CBA" w:rsidRDefault="0031555E" w:rsidP="0031555E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</w:rPr>
      </w:pPr>
      <w:r w:rsidRPr="00FE2CBA">
        <w:rPr>
          <w:rFonts w:asciiTheme="minorHAnsi" w:hAnsiTheme="minorHAnsi"/>
        </w:rPr>
        <w:t xml:space="preserve">sudjelovanje u zločinačkoj organizaciji, na temelju članka 328. (zločinačko udruženje) i članka 329. (počinjenje kaznenog djela u sastavu zločinačkog udruženja) iz Kaznenog zakona (Narodne novine, broj </w:t>
      </w:r>
      <w:hyperlink r:id="rId11" w:tooltip="kazneni zakon" w:history="1">
        <w:r w:rsidRPr="00FE2CBA">
          <w:rPr>
            <w:rStyle w:val="Hyperlink"/>
            <w:rFonts w:asciiTheme="minorHAnsi" w:hAnsiTheme="minorHAnsi"/>
            <w:color w:val="auto"/>
          </w:rPr>
          <w:t>125/2011</w:t>
        </w:r>
      </w:hyperlink>
      <w:r w:rsidRPr="00FE2CBA">
        <w:rPr>
          <w:rFonts w:asciiTheme="minorHAnsi" w:hAnsiTheme="minorHAnsi"/>
        </w:rPr>
        <w:t xml:space="preserve">, </w:t>
      </w:r>
      <w:hyperlink r:id="rId12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144/2012</w:t>
        </w:r>
      </w:hyperlink>
      <w:r w:rsidRPr="00FE2CBA">
        <w:rPr>
          <w:rFonts w:asciiTheme="minorHAnsi" w:hAnsiTheme="minorHAnsi"/>
        </w:rPr>
        <w:t xml:space="preserve">, </w:t>
      </w:r>
      <w:hyperlink r:id="rId13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56/2015</w:t>
        </w:r>
      </w:hyperlink>
      <w:r w:rsidRPr="00FE2CBA">
        <w:rPr>
          <w:rFonts w:asciiTheme="minorHAnsi" w:hAnsiTheme="minorHAnsi"/>
        </w:rPr>
        <w:t xml:space="preserve">, </w:t>
      </w:r>
      <w:hyperlink r:id="rId14" w:tooltip="ispravak zakona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61/2015</w:t>
        </w:r>
      </w:hyperlink>
      <w:r w:rsidR="00F27307">
        <w:rPr>
          <w:rStyle w:val="Hyperlink"/>
          <w:rFonts w:asciiTheme="minorHAnsi" w:hAnsiTheme="minorHAnsi"/>
          <w:color w:val="auto"/>
        </w:rPr>
        <w:t xml:space="preserve"> i 101/</w:t>
      </w:r>
      <w:r w:rsidR="001E663F">
        <w:rPr>
          <w:rStyle w:val="Hyperlink"/>
          <w:rFonts w:asciiTheme="minorHAnsi" w:hAnsiTheme="minorHAnsi"/>
          <w:color w:val="auto"/>
        </w:rPr>
        <w:t>20</w:t>
      </w:r>
      <w:r w:rsidR="00F27307">
        <w:rPr>
          <w:rStyle w:val="Hyperlink"/>
          <w:rFonts w:asciiTheme="minorHAnsi" w:hAnsiTheme="minorHAnsi"/>
          <w:color w:val="auto"/>
        </w:rPr>
        <w:t>17</w:t>
      </w:r>
      <w:r w:rsidRPr="00FE2CBA">
        <w:rPr>
          <w:rFonts w:asciiTheme="minorHAnsi" w:hAnsiTheme="minorHAnsi"/>
        </w:rPr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14:paraId="46FF1AC5" w14:textId="73A3053A" w:rsidR="0031555E" w:rsidRPr="00FE2CBA" w:rsidRDefault="0031555E" w:rsidP="0031555E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</w:rPr>
      </w:pPr>
      <w:r w:rsidRPr="00FE2CBA">
        <w:rPr>
          <w:rFonts w:asciiTheme="minorHAnsi" w:hAnsiTheme="minorHAnsi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5" w:tooltip="kazneni zakon" w:history="1">
        <w:r w:rsidRPr="00FE2CBA">
          <w:rPr>
            <w:rStyle w:val="Hyperlink"/>
            <w:rFonts w:asciiTheme="minorHAnsi" w:hAnsiTheme="minorHAnsi"/>
            <w:color w:val="auto"/>
          </w:rPr>
          <w:t>125/2011</w:t>
        </w:r>
      </w:hyperlink>
      <w:r w:rsidRPr="00FE2CBA">
        <w:rPr>
          <w:rFonts w:asciiTheme="minorHAnsi" w:hAnsiTheme="minorHAnsi"/>
        </w:rPr>
        <w:t xml:space="preserve">, </w:t>
      </w:r>
      <w:hyperlink r:id="rId16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144/2012</w:t>
        </w:r>
      </w:hyperlink>
      <w:r w:rsidRPr="00FE2CBA">
        <w:rPr>
          <w:rFonts w:asciiTheme="minorHAnsi" w:hAnsiTheme="minorHAnsi"/>
        </w:rPr>
        <w:t xml:space="preserve">, </w:t>
      </w:r>
      <w:hyperlink r:id="rId17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56/2015</w:t>
        </w:r>
      </w:hyperlink>
      <w:r w:rsidRPr="00FE2CBA">
        <w:rPr>
          <w:rFonts w:asciiTheme="minorHAnsi" w:hAnsiTheme="minorHAnsi"/>
        </w:rPr>
        <w:t xml:space="preserve">, </w:t>
      </w:r>
      <w:hyperlink r:id="rId18" w:tooltip="ispravak zakona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61/2015</w:t>
        </w:r>
      </w:hyperlink>
      <w:r w:rsidR="001C4088">
        <w:rPr>
          <w:rStyle w:val="Hyperlink"/>
          <w:rFonts w:asciiTheme="minorHAnsi" w:hAnsiTheme="minorHAnsi"/>
          <w:color w:val="auto"/>
        </w:rPr>
        <w:t xml:space="preserve"> i 101/2017</w:t>
      </w:r>
      <w:r w:rsidRPr="00FE2CBA">
        <w:rPr>
          <w:rFonts w:asciiTheme="minorHAnsi" w:hAnsiTheme="minorHAnsi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14:paraId="43B2D454" w14:textId="500C67E6" w:rsidR="0031555E" w:rsidRPr="00FE2CBA" w:rsidRDefault="0031555E" w:rsidP="0031555E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</w:rPr>
      </w:pPr>
      <w:r w:rsidRPr="00FE2CBA">
        <w:rPr>
          <w:rFonts w:asciiTheme="minorHAnsi" w:hAnsiTheme="minorHAnsi"/>
        </w:rPr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9" w:tooltip="kazneni zakon" w:history="1">
        <w:r w:rsidRPr="00FE2CBA">
          <w:rPr>
            <w:rStyle w:val="Hyperlink"/>
            <w:rFonts w:asciiTheme="minorHAnsi" w:hAnsiTheme="minorHAnsi"/>
            <w:color w:val="auto"/>
          </w:rPr>
          <w:t>125/2011</w:t>
        </w:r>
      </w:hyperlink>
      <w:r w:rsidRPr="00FE2CBA">
        <w:rPr>
          <w:rFonts w:asciiTheme="minorHAnsi" w:hAnsiTheme="minorHAnsi"/>
        </w:rPr>
        <w:t xml:space="preserve">, </w:t>
      </w:r>
      <w:hyperlink r:id="rId20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144/2012</w:t>
        </w:r>
      </w:hyperlink>
      <w:r w:rsidRPr="00FE2CBA">
        <w:rPr>
          <w:rFonts w:asciiTheme="minorHAnsi" w:hAnsiTheme="minorHAnsi"/>
        </w:rPr>
        <w:t xml:space="preserve">, </w:t>
      </w:r>
      <w:hyperlink r:id="rId21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56/2015</w:t>
        </w:r>
      </w:hyperlink>
      <w:r w:rsidRPr="00FE2CBA">
        <w:rPr>
          <w:rFonts w:asciiTheme="minorHAnsi" w:hAnsiTheme="minorHAnsi"/>
        </w:rPr>
        <w:t xml:space="preserve">, </w:t>
      </w:r>
      <w:hyperlink r:id="rId22" w:tooltip="ispravak zakona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61/2015</w:t>
        </w:r>
      </w:hyperlink>
      <w:r w:rsidR="001C4088">
        <w:rPr>
          <w:rStyle w:val="Hyperlink"/>
          <w:rFonts w:asciiTheme="minorHAnsi" w:hAnsiTheme="minorHAnsi"/>
          <w:color w:val="auto"/>
        </w:rPr>
        <w:t xml:space="preserve"> i 101/2017</w:t>
      </w:r>
      <w:r w:rsidRPr="00FE2CBA">
        <w:rPr>
          <w:rFonts w:asciiTheme="minorHAnsi" w:hAnsiTheme="minorHAnsi"/>
        </w:rPr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14:paraId="3E886F69" w14:textId="06FAB6B4" w:rsidR="0031555E" w:rsidRPr="00FE2CBA" w:rsidRDefault="0031555E" w:rsidP="0031555E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</w:rPr>
      </w:pPr>
      <w:r w:rsidRPr="00FE2CBA">
        <w:rPr>
          <w:rFonts w:asciiTheme="minorHAnsi" w:hAnsiTheme="minorHAnsi"/>
        </w:rPr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3" w:tooltip="kazneni zakon" w:history="1">
        <w:r w:rsidRPr="00FE2CBA">
          <w:rPr>
            <w:rStyle w:val="Hyperlink"/>
            <w:rFonts w:asciiTheme="minorHAnsi" w:hAnsiTheme="minorHAnsi"/>
            <w:color w:val="auto"/>
          </w:rPr>
          <w:t>125/2011</w:t>
        </w:r>
      </w:hyperlink>
      <w:r w:rsidRPr="00FE2CBA">
        <w:rPr>
          <w:rFonts w:asciiTheme="minorHAnsi" w:hAnsiTheme="minorHAnsi"/>
        </w:rPr>
        <w:t xml:space="preserve">, </w:t>
      </w:r>
      <w:hyperlink r:id="rId24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144/2012</w:t>
        </w:r>
      </w:hyperlink>
      <w:r w:rsidRPr="00FE2CBA">
        <w:rPr>
          <w:rFonts w:asciiTheme="minorHAnsi" w:hAnsiTheme="minorHAnsi"/>
        </w:rPr>
        <w:t xml:space="preserve">, </w:t>
      </w:r>
      <w:hyperlink r:id="rId25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56/2015</w:t>
        </w:r>
      </w:hyperlink>
      <w:r w:rsidRPr="00FE2CBA">
        <w:rPr>
          <w:rFonts w:asciiTheme="minorHAnsi" w:hAnsiTheme="minorHAnsi"/>
        </w:rPr>
        <w:t xml:space="preserve">, </w:t>
      </w:r>
      <w:hyperlink r:id="rId26" w:tooltip="ispravak zakona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61/2015</w:t>
        </w:r>
      </w:hyperlink>
      <w:r w:rsidR="001C4088">
        <w:rPr>
          <w:rStyle w:val="Hyperlink"/>
          <w:rFonts w:asciiTheme="minorHAnsi" w:hAnsiTheme="minorHAnsi"/>
          <w:color w:val="auto"/>
        </w:rPr>
        <w:t>, 101/2017</w:t>
      </w:r>
      <w:r w:rsidRPr="00FE2CBA">
        <w:rPr>
          <w:rFonts w:asciiTheme="minorHAnsi" w:hAnsiTheme="minorHAnsi"/>
        </w:rPr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14:paraId="1326E145" w14:textId="5B3FCA31" w:rsidR="0031555E" w:rsidRPr="00FE2CBA" w:rsidRDefault="0031555E" w:rsidP="0031555E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</w:rPr>
      </w:pPr>
      <w:r w:rsidRPr="00FE2CBA">
        <w:rPr>
          <w:rFonts w:asciiTheme="minorHAnsi" w:hAnsiTheme="minorHAnsi"/>
        </w:rPr>
        <w:t xml:space="preserve">pranje novca ili financiranje terorizma, na temelju članka 98. (financiranje terorizma) i članka 265. (pranje novca) Kaznenog zakona (Narodne novine, broj </w:t>
      </w:r>
      <w:hyperlink r:id="rId27" w:tooltip="kazneni zakon" w:history="1">
        <w:r w:rsidRPr="00FE2CBA">
          <w:rPr>
            <w:rStyle w:val="Hyperlink"/>
            <w:rFonts w:asciiTheme="minorHAnsi" w:hAnsiTheme="minorHAnsi"/>
            <w:color w:val="auto"/>
          </w:rPr>
          <w:t>125/2011</w:t>
        </w:r>
      </w:hyperlink>
      <w:r w:rsidRPr="00FE2CBA">
        <w:rPr>
          <w:rFonts w:asciiTheme="minorHAnsi" w:hAnsiTheme="minorHAnsi"/>
        </w:rPr>
        <w:t xml:space="preserve">, </w:t>
      </w:r>
      <w:hyperlink r:id="rId28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144/2012</w:t>
        </w:r>
      </w:hyperlink>
      <w:r w:rsidRPr="00FE2CBA">
        <w:rPr>
          <w:rFonts w:asciiTheme="minorHAnsi" w:hAnsiTheme="minorHAnsi"/>
        </w:rPr>
        <w:t xml:space="preserve">, </w:t>
      </w:r>
      <w:hyperlink r:id="rId29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56/2015</w:t>
        </w:r>
      </w:hyperlink>
      <w:r w:rsidRPr="00FE2CBA">
        <w:rPr>
          <w:rFonts w:asciiTheme="minorHAnsi" w:hAnsiTheme="minorHAnsi"/>
        </w:rPr>
        <w:t xml:space="preserve">, </w:t>
      </w:r>
      <w:hyperlink r:id="rId30" w:tooltip="ispravak zakona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61/2015</w:t>
        </w:r>
      </w:hyperlink>
      <w:r w:rsidR="001C4088">
        <w:rPr>
          <w:rStyle w:val="Hyperlink"/>
          <w:rFonts w:asciiTheme="minorHAnsi" w:hAnsiTheme="minorHAnsi"/>
          <w:color w:val="auto"/>
        </w:rPr>
        <w:t>, 101/2017</w:t>
      </w:r>
      <w:r w:rsidRPr="00FE2CBA">
        <w:rPr>
          <w:rFonts w:asciiTheme="minorHAnsi" w:hAnsiTheme="minorHAnsi"/>
        </w:rPr>
        <w:t>) i članka 279. (pranje novca) iz Kaznenog zakona (Narodne novine, broj 110/97., 27/98., 50/00., 129/00., 51/01., 111/03., 190/03., 105/04., 84/05., 71/06., 110/07., 152/08., 57/11., 77/11. i 143/12.);</w:t>
      </w:r>
    </w:p>
    <w:p w14:paraId="1FF463A4" w14:textId="393C997C" w:rsidR="0031555E" w:rsidRPr="007E0EAE" w:rsidRDefault="0031555E" w:rsidP="007E0EAE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</w:rPr>
      </w:pPr>
      <w:r w:rsidRPr="00FE2CBA">
        <w:rPr>
          <w:rFonts w:asciiTheme="minorHAnsi" w:hAnsiTheme="minorHAnsi"/>
        </w:rPr>
        <w:t xml:space="preserve">dječji rad ili druge oblike trgovanja ljudima, na temelju članka 106. (trgovanje ljudima) Kaznenog zakona (Narodne novine, broj </w:t>
      </w:r>
      <w:hyperlink r:id="rId31" w:tooltip="kazneni zakon" w:history="1">
        <w:r w:rsidRPr="00FE2CBA">
          <w:rPr>
            <w:rStyle w:val="Hyperlink"/>
            <w:rFonts w:asciiTheme="minorHAnsi" w:hAnsiTheme="minorHAnsi"/>
            <w:color w:val="auto"/>
          </w:rPr>
          <w:t>125/2011</w:t>
        </w:r>
      </w:hyperlink>
      <w:r w:rsidRPr="00FE2CBA">
        <w:rPr>
          <w:rFonts w:asciiTheme="minorHAnsi" w:hAnsiTheme="minorHAnsi"/>
        </w:rPr>
        <w:t xml:space="preserve">, </w:t>
      </w:r>
      <w:hyperlink r:id="rId32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144/2012</w:t>
        </w:r>
      </w:hyperlink>
      <w:r w:rsidRPr="00FE2CBA">
        <w:rPr>
          <w:rFonts w:asciiTheme="minorHAnsi" w:hAnsiTheme="minorHAnsi"/>
        </w:rPr>
        <w:t xml:space="preserve">, </w:t>
      </w:r>
      <w:hyperlink r:id="rId33" w:tooltip="zakon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56/2015</w:t>
        </w:r>
      </w:hyperlink>
      <w:r w:rsidRPr="00FE2CBA">
        <w:rPr>
          <w:rFonts w:asciiTheme="minorHAnsi" w:hAnsiTheme="minorHAnsi"/>
        </w:rPr>
        <w:t xml:space="preserve">, </w:t>
      </w:r>
      <w:hyperlink r:id="rId34" w:tooltip="ispravak zakona o izmjenama i dopunama kaznenog zakona" w:history="1">
        <w:r w:rsidRPr="00FE2CBA">
          <w:rPr>
            <w:rStyle w:val="Hyperlink"/>
            <w:rFonts w:asciiTheme="minorHAnsi" w:hAnsiTheme="minorHAnsi"/>
            <w:color w:val="auto"/>
          </w:rPr>
          <w:t>61/2015</w:t>
        </w:r>
      </w:hyperlink>
      <w:r w:rsidR="001C4088">
        <w:rPr>
          <w:rStyle w:val="Hyperlink"/>
          <w:rFonts w:asciiTheme="minorHAnsi" w:hAnsiTheme="minorHAnsi"/>
          <w:color w:val="auto"/>
        </w:rPr>
        <w:t>, 101/2017</w:t>
      </w:r>
      <w:r w:rsidRPr="00FE2CBA">
        <w:rPr>
          <w:rFonts w:asciiTheme="minorHAnsi" w:hAnsiTheme="minorHAnsi"/>
        </w:rPr>
        <w:t xml:space="preserve">) i  članka 175. (trgovanje ljudima i ropstvo) iz Kaznenog zakona (Narodne novine, broj 110/97., 27/98., 50/00., 129/00., 51/01., 111/03., 190/03., 105/04., 84/05., 71/06., 110/07., 152/08., 57/11., 77/11. i 143/12), </w:t>
      </w:r>
    </w:p>
    <w:p w14:paraId="7D9F417F" w14:textId="07EF1DB1" w:rsidR="0031555E" w:rsidRPr="00FE2CBA" w:rsidRDefault="0031555E" w:rsidP="0031555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>da je</w:t>
      </w:r>
      <w:r w:rsidRPr="00FE2CBA"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="000220EB">
        <w:rPr>
          <w:rFonts w:eastAsia="Times New Roman" w:cs="Times New Roman"/>
          <w:sz w:val="24"/>
          <w:szCs w:val="24"/>
        </w:rPr>
        <w:t>Prijavitelj</w:t>
      </w:r>
      <w:r w:rsidRPr="00FE2CBA">
        <w:rPr>
          <w:rFonts w:eastAsia="Times New Roman" w:cs="Times New Roman"/>
          <w:sz w:val="24"/>
          <w:szCs w:val="24"/>
        </w:rPr>
        <w:t xml:space="preserve">/osobe ovlaštene po zakonu za zastupanje proglašen krivim zbog </w:t>
      </w:r>
      <w:r w:rsidRPr="00FE2CBA">
        <w:rPr>
          <w:rFonts w:eastAsia="Times New Roman" w:cs="Times New Roman"/>
          <w:b/>
          <w:sz w:val="24"/>
          <w:szCs w:val="24"/>
        </w:rPr>
        <w:t>teškog profesionalnog propusta</w:t>
      </w:r>
      <w:r w:rsidRPr="00FE2CBA">
        <w:rPr>
          <w:rFonts w:eastAsia="Times New Roman" w:cs="Times New Roman"/>
          <w:i/>
          <w:iCs/>
          <w:sz w:val="24"/>
          <w:szCs w:val="24"/>
          <w:shd w:val="clear" w:color="auto" w:fill="FFFFFF"/>
        </w:rPr>
        <w:t>,</w:t>
      </w:r>
    </w:p>
    <w:p w14:paraId="61A0AACF" w14:textId="77777777" w:rsidR="0031555E" w:rsidRPr="007E0EAE" w:rsidRDefault="0031555E" w:rsidP="0031555E">
      <w:pPr>
        <w:spacing w:after="0" w:line="240" w:lineRule="auto"/>
        <w:ind w:left="720"/>
        <w:jc w:val="both"/>
        <w:rPr>
          <w:rFonts w:eastAsia="Times New Roman" w:cs="Times New Roman"/>
          <w:sz w:val="16"/>
          <w:szCs w:val="24"/>
        </w:rPr>
      </w:pPr>
    </w:p>
    <w:p w14:paraId="6BC5A2D6" w14:textId="0ABC9660" w:rsidR="0031555E" w:rsidRPr="00FE2CBA" w:rsidRDefault="0031555E" w:rsidP="0031555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da nije ispunjena obveza isplate </w:t>
      </w:r>
      <w:r w:rsidRPr="00FE2CBA">
        <w:rPr>
          <w:rFonts w:eastAsia="Times New Roman" w:cs="Times New Roman"/>
          <w:b/>
          <w:sz w:val="24"/>
          <w:szCs w:val="24"/>
        </w:rPr>
        <w:t>plaća</w:t>
      </w:r>
      <w:r w:rsidRPr="00FE2CBA">
        <w:rPr>
          <w:rFonts w:eastAsia="Times New Roman" w:cs="Times New Roman"/>
          <w:sz w:val="24"/>
          <w:szCs w:val="24"/>
        </w:rPr>
        <w:t xml:space="preserve"> zaposlenicima, </w:t>
      </w:r>
      <w:r w:rsidRPr="00FE2CBA">
        <w:rPr>
          <w:rFonts w:eastAsia="Times New Roman" w:cs="Times New Roman"/>
          <w:b/>
          <w:sz w:val="24"/>
          <w:szCs w:val="24"/>
        </w:rPr>
        <w:t>plaćanja doprinosa za financiranje obveznih osiguranja</w:t>
      </w:r>
      <w:r w:rsidRPr="00FE2CBA">
        <w:rPr>
          <w:rFonts w:eastAsia="Times New Roman" w:cs="Times New Roman"/>
          <w:sz w:val="24"/>
          <w:szCs w:val="24"/>
        </w:rPr>
        <w:t xml:space="preserve"> (osobito zdravstveno ili mirovinsko) ili plaćanja </w:t>
      </w:r>
      <w:r w:rsidRPr="00FE2CBA">
        <w:rPr>
          <w:rFonts w:eastAsia="Times New Roman" w:cs="Times New Roman"/>
          <w:b/>
          <w:sz w:val="24"/>
          <w:szCs w:val="24"/>
        </w:rPr>
        <w:t>poreza</w:t>
      </w:r>
      <w:r w:rsidRPr="00FE2CBA">
        <w:rPr>
          <w:rFonts w:eastAsia="Times New Roman" w:cs="Times New Roman"/>
          <w:sz w:val="24"/>
          <w:szCs w:val="24"/>
        </w:rPr>
        <w:t xml:space="preserve"> u skladu s propisima Republike Hrvatske</w:t>
      </w:r>
      <w:r w:rsidR="00B26B48">
        <w:rPr>
          <w:rFonts w:eastAsia="Times New Roman" w:cs="Times New Roman"/>
          <w:sz w:val="24"/>
          <w:szCs w:val="24"/>
        </w:rPr>
        <w:t xml:space="preserve">. </w:t>
      </w:r>
      <w:r w:rsidRPr="00FE2CBA">
        <w:rPr>
          <w:rFonts w:eastAsia="Times New Roman" w:cs="Times New Roman"/>
          <w:sz w:val="24"/>
          <w:szCs w:val="24"/>
        </w:rPr>
        <w:t>U pogledu ove toč</w:t>
      </w:r>
      <w:r w:rsidR="00B862EC">
        <w:rPr>
          <w:rFonts w:eastAsia="Times New Roman" w:cs="Times New Roman"/>
          <w:sz w:val="24"/>
          <w:szCs w:val="24"/>
        </w:rPr>
        <w:t>ke, smatra se prihvatljivim da Prijavitelj/K</w:t>
      </w:r>
      <w:r w:rsidRPr="00FE2CBA">
        <w:rPr>
          <w:rFonts w:eastAsia="Times New Roman" w:cs="Times New Roman"/>
          <w:sz w:val="24"/>
          <w:szCs w:val="24"/>
        </w:rPr>
        <w:t>orisnik</w:t>
      </w:r>
      <w:r w:rsidRPr="00FE2CBA">
        <w:rPr>
          <w:rStyle w:val="FootnoteReference"/>
          <w:rFonts w:eastAsia="Times New Roman"/>
          <w:sz w:val="24"/>
          <w:szCs w:val="24"/>
        </w:rPr>
        <w:footnoteReference w:id="2"/>
      </w:r>
      <w:r w:rsidRPr="00FE2CBA">
        <w:rPr>
          <w:rFonts w:eastAsia="Times New Roman" w:cs="Times New Roman"/>
          <w:sz w:val="24"/>
          <w:szCs w:val="24"/>
        </w:rPr>
        <w:t xml:space="preserve"> nije udovoljio spomenutim obvezama, ako mu, </w:t>
      </w:r>
      <w:r w:rsidRPr="00FE2CBA">
        <w:rPr>
          <w:rFonts w:cs="Times New Roman"/>
          <w:sz w:val="24"/>
          <w:szCs w:val="24"/>
        </w:rPr>
        <w:t>sukladno posebnom propisu, plaćanje tih obveza nije dopušteno ili mu je odobrena odgoda plaćanja</w:t>
      </w:r>
      <w:r w:rsidRPr="00FE2CBA">
        <w:rPr>
          <w:rFonts w:eastAsia="Times New Roman" w:cs="Times New Roman"/>
          <w:iCs/>
          <w:sz w:val="24"/>
          <w:szCs w:val="24"/>
          <w:shd w:val="clear" w:color="auto" w:fill="FFFFFF"/>
        </w:rPr>
        <w:t>,</w:t>
      </w:r>
    </w:p>
    <w:p w14:paraId="1804CB34" w14:textId="77777777" w:rsidR="0031555E" w:rsidRPr="007E0EAE" w:rsidRDefault="0031555E" w:rsidP="0031555E">
      <w:pPr>
        <w:spacing w:after="0" w:line="240" w:lineRule="auto"/>
        <w:ind w:left="720"/>
        <w:jc w:val="both"/>
        <w:rPr>
          <w:rFonts w:eastAsia="Times New Roman" w:cs="Times New Roman"/>
          <w:sz w:val="16"/>
          <w:szCs w:val="24"/>
        </w:rPr>
      </w:pPr>
    </w:p>
    <w:p w14:paraId="0AF44D41" w14:textId="7E08925C" w:rsidR="0031555E" w:rsidRPr="00FE2CBA" w:rsidRDefault="0031555E" w:rsidP="0031555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da je </w:t>
      </w:r>
      <w:r w:rsidR="003A12E2">
        <w:rPr>
          <w:rFonts w:eastAsia="Times New Roman" w:cs="Times New Roman"/>
          <w:sz w:val="24"/>
          <w:szCs w:val="24"/>
        </w:rPr>
        <w:t>P</w:t>
      </w:r>
      <w:r w:rsidRPr="00FE2CBA">
        <w:rPr>
          <w:rFonts w:eastAsia="Times New Roman" w:cs="Times New Roman"/>
          <w:sz w:val="24"/>
          <w:szCs w:val="24"/>
        </w:rPr>
        <w:t xml:space="preserve">rijavitelju utvrđeno </w:t>
      </w:r>
      <w:r w:rsidRPr="00FE2CBA">
        <w:rPr>
          <w:rFonts w:eastAsia="Times New Roman" w:cs="Times New Roman"/>
          <w:b/>
          <w:sz w:val="24"/>
          <w:szCs w:val="24"/>
        </w:rPr>
        <w:t>teško</w:t>
      </w:r>
      <w:r w:rsidRPr="00FE2CBA">
        <w:rPr>
          <w:rStyle w:val="FootnoteReference"/>
          <w:rFonts w:eastAsia="Times New Roman"/>
          <w:b/>
          <w:sz w:val="24"/>
          <w:szCs w:val="24"/>
        </w:rPr>
        <w:footnoteReference w:id="3"/>
      </w:r>
      <w:r w:rsidRPr="00FE2CBA">
        <w:rPr>
          <w:rFonts w:eastAsia="Times New Roman" w:cs="Times New Roman"/>
          <w:b/>
          <w:sz w:val="24"/>
          <w:szCs w:val="24"/>
        </w:rPr>
        <w:t xml:space="preserve"> kršenje ugovora zbog neispunjavanja obveza iz Ugovora o dodjeli bespovratnih sredstva</w:t>
      </w:r>
      <w:r w:rsidRPr="00FE2CBA">
        <w:rPr>
          <w:rFonts w:eastAsia="Times New Roman" w:cs="Times New Roman"/>
          <w:sz w:val="24"/>
          <w:szCs w:val="24"/>
        </w:rPr>
        <w:t xml:space="preserve"> koji je potpisan nakon provedbe drugog postupka dodjele bespovratnih sredstava postupka (su)financiranog sredstvima E</w:t>
      </w:r>
      <w:r w:rsidR="003A12E2">
        <w:rPr>
          <w:rFonts w:eastAsia="Times New Roman" w:cs="Times New Roman"/>
          <w:sz w:val="24"/>
          <w:szCs w:val="24"/>
        </w:rPr>
        <w:t>uropske unije</w:t>
      </w:r>
      <w:r w:rsidRPr="00FE2CBA">
        <w:rPr>
          <w:rFonts w:eastAsia="Times New Roman" w:cs="Times New Roman"/>
          <w:sz w:val="24"/>
          <w:szCs w:val="24"/>
        </w:rPr>
        <w:t>, odnosno Europskih strukturnih i investicijskih fondova;</w:t>
      </w:r>
    </w:p>
    <w:p w14:paraId="59447567" w14:textId="77777777" w:rsidR="0031555E" w:rsidRPr="007E0EAE" w:rsidRDefault="0031555E" w:rsidP="0031555E">
      <w:pPr>
        <w:spacing w:after="0" w:line="240" w:lineRule="auto"/>
        <w:ind w:left="720"/>
        <w:jc w:val="both"/>
        <w:rPr>
          <w:rFonts w:eastAsia="Times New Roman" w:cs="Times New Roman"/>
          <w:sz w:val="16"/>
          <w:szCs w:val="24"/>
        </w:rPr>
      </w:pPr>
    </w:p>
    <w:p w14:paraId="3258D280" w14:textId="752D1FC7" w:rsidR="0031555E" w:rsidRPr="00FE2CBA" w:rsidRDefault="003A12E2" w:rsidP="0031555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da je Prijavitelj</w:t>
      </w:r>
      <w:r w:rsidR="0031555E" w:rsidRPr="00FE2CBA">
        <w:rPr>
          <w:rFonts w:eastAsia="Times New Roman" w:cs="Times New Roman"/>
          <w:sz w:val="24"/>
          <w:szCs w:val="24"/>
        </w:rPr>
        <w:t xml:space="preserve"> u </w:t>
      </w:r>
      <w:r w:rsidR="0031555E" w:rsidRPr="00FE2CBA">
        <w:rPr>
          <w:rFonts w:eastAsia="Times New Roman" w:cs="Times New Roman"/>
          <w:b/>
          <w:sz w:val="24"/>
          <w:szCs w:val="24"/>
        </w:rPr>
        <w:t>sukobu interesa</w:t>
      </w:r>
      <w:r w:rsidR="0031555E" w:rsidRPr="00FE2CBA">
        <w:rPr>
          <w:rFonts w:eastAsia="Times New Roman" w:cs="Times New Roman"/>
          <w:sz w:val="24"/>
          <w:szCs w:val="24"/>
        </w:rPr>
        <w:t xml:space="preserve"> u predmetnom postupku dodjele bespovratnih sredstava;</w:t>
      </w:r>
    </w:p>
    <w:p w14:paraId="1490496D" w14:textId="77777777" w:rsidR="0031555E" w:rsidRPr="007E0EAE" w:rsidRDefault="0031555E" w:rsidP="0031555E">
      <w:pPr>
        <w:spacing w:after="0" w:line="240" w:lineRule="auto"/>
        <w:ind w:left="720"/>
        <w:jc w:val="both"/>
        <w:rPr>
          <w:rFonts w:eastAsia="Times New Roman" w:cs="Times New Roman"/>
          <w:sz w:val="16"/>
          <w:szCs w:val="24"/>
        </w:rPr>
      </w:pPr>
    </w:p>
    <w:p w14:paraId="671D3531" w14:textId="09864592" w:rsidR="0031555E" w:rsidRDefault="003A12E2" w:rsidP="007E0EA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da Prijavitelj</w:t>
      </w:r>
      <w:r w:rsidR="0031555E" w:rsidRPr="00FE2CBA">
        <w:rPr>
          <w:rFonts w:eastAsia="Times New Roman" w:cs="Times New Roman"/>
          <w:sz w:val="24"/>
          <w:szCs w:val="24"/>
        </w:rPr>
        <w:t xml:space="preserve">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="0031555E" w:rsidRPr="00FE2CBA">
        <w:rPr>
          <w:rFonts w:eastAsia="Times New Roman" w:cs="Times New Roman"/>
          <w:b/>
          <w:sz w:val="24"/>
          <w:szCs w:val="24"/>
        </w:rPr>
        <w:t>koji nisu izvršeni</w:t>
      </w:r>
      <w:r w:rsidR="0031555E" w:rsidRPr="00FE2CBA">
        <w:rPr>
          <w:rFonts w:eastAsia="Times New Roman" w:cs="Times New Roman"/>
          <w:sz w:val="24"/>
          <w:szCs w:val="24"/>
        </w:rPr>
        <w:t>.</w:t>
      </w:r>
    </w:p>
    <w:p w14:paraId="2B15D077" w14:textId="77777777" w:rsidR="007E0EAE" w:rsidRPr="007E0EAE" w:rsidRDefault="007E0EAE" w:rsidP="007E0EAE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</w:p>
    <w:p w14:paraId="668E8751" w14:textId="495994B6" w:rsidR="0031555E" w:rsidRPr="00FE2CBA" w:rsidRDefault="0031555E" w:rsidP="0031555E">
      <w:pPr>
        <w:tabs>
          <w:tab w:val="left" w:pos="851"/>
        </w:tabs>
        <w:jc w:val="both"/>
        <w:rPr>
          <w:rFonts w:eastAsia="Cambria" w:cs="Times New Roman"/>
          <w:bCs/>
          <w:iCs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Poštujući </w:t>
      </w:r>
      <w:r w:rsidRPr="00FE2CBA">
        <w:rPr>
          <w:rFonts w:eastAsia="Times New Roman" w:cs="Times New Roman"/>
          <w:b/>
          <w:sz w:val="24"/>
          <w:szCs w:val="24"/>
        </w:rPr>
        <w:t xml:space="preserve">načelo </w:t>
      </w:r>
      <w:proofErr w:type="spellStart"/>
      <w:r w:rsidRPr="00FE2CBA">
        <w:rPr>
          <w:rFonts w:eastAsia="Times New Roman" w:cs="Times New Roman"/>
          <w:b/>
          <w:sz w:val="24"/>
          <w:szCs w:val="24"/>
        </w:rPr>
        <w:t>dodatnosti</w:t>
      </w:r>
      <w:proofErr w:type="spellEnd"/>
      <w:r w:rsidRPr="00FE2CBA">
        <w:rPr>
          <w:rFonts w:eastAsia="Times New Roman" w:cs="Times New Roman"/>
          <w:sz w:val="24"/>
          <w:szCs w:val="24"/>
        </w:rPr>
        <w:t xml:space="preserve">, ujedno potvrđujem, u svoje ime i u ime </w:t>
      </w:r>
      <w:r w:rsidR="003A12E2">
        <w:rPr>
          <w:rFonts w:eastAsia="Times New Roman" w:cs="Times New Roman"/>
          <w:sz w:val="24"/>
          <w:szCs w:val="24"/>
        </w:rPr>
        <w:t xml:space="preserve">Prijavitelja </w:t>
      </w:r>
      <w:r w:rsidRPr="00FE2CBA">
        <w:rPr>
          <w:rFonts w:eastAsia="Times New Roman" w:cs="Times New Roman"/>
          <w:sz w:val="24"/>
          <w:szCs w:val="24"/>
        </w:rPr>
        <w:t xml:space="preserve">da, u dijelu u kojem traži sufinanciranje iz Fondova u predmetnom postupku dodjele bespovratnih sredstava, </w:t>
      </w:r>
      <w:r w:rsidR="003A12E2">
        <w:rPr>
          <w:rFonts w:eastAsia="Times New Roman" w:cs="Times New Roman"/>
          <w:sz w:val="24"/>
          <w:szCs w:val="24"/>
        </w:rPr>
        <w:t>Prijavitelj</w:t>
      </w:r>
      <w:r w:rsidRPr="00FE2CBA">
        <w:rPr>
          <w:rFonts w:eastAsia="Times New Roman" w:cs="Times New Roman"/>
          <w:sz w:val="24"/>
          <w:szCs w:val="24"/>
        </w:rPr>
        <w:t xml:space="preserve"> </w:t>
      </w:r>
      <w:r w:rsidRPr="00FE2CBA">
        <w:rPr>
          <w:rFonts w:eastAsia="Cambria" w:cs="Times New Roman"/>
          <w:bCs/>
          <w:iCs/>
          <w:sz w:val="24"/>
          <w:szCs w:val="24"/>
        </w:rPr>
        <w:t xml:space="preserve">nema osigurana sredstva za provedbu projekta na način, u opsegu i </w:t>
      </w:r>
      <w:r w:rsidRPr="00FE2CBA">
        <w:rPr>
          <w:rFonts w:eastAsia="Cambria" w:cs="Times New Roman"/>
          <w:bCs/>
          <w:iCs/>
          <w:sz w:val="24"/>
          <w:szCs w:val="24"/>
        </w:rPr>
        <w:lastRenderedPageBreak/>
        <w:t>vremenskom okviru kako je opisano u projektnom prijedlogu, odnosno potporom iz Fondova osigurava se dodana vrijednost, bilo u opsegu ili kvaliteti aktivnosti, ili u pogledu vremena potrebnog za ostvarenje cilja/ciljeva projekta.</w:t>
      </w:r>
    </w:p>
    <w:p w14:paraId="5CC3C030" w14:textId="6638ADDA" w:rsidR="007A41D0" w:rsidRPr="00FE2CBA" w:rsidRDefault="007A41D0" w:rsidP="007A41D0">
      <w:pPr>
        <w:tabs>
          <w:tab w:val="left" w:pos="1257"/>
        </w:tabs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sz w:val="24"/>
          <w:szCs w:val="24"/>
        </w:rPr>
        <w:t xml:space="preserve">Ja, </w:t>
      </w:r>
      <w:r w:rsidR="00B94947" w:rsidRPr="00FE2CBA">
        <w:rPr>
          <w:rFonts w:eastAsia="Times New Roman" w:cs="Times New Roman"/>
          <w:sz w:val="24"/>
          <w:szCs w:val="24"/>
        </w:rPr>
        <w:t xml:space="preserve">dolje potpisani, kao osoba ovlaštena za zastupanje Prijavitelja, </w:t>
      </w:r>
      <w:r w:rsidRPr="00FE2CBA">
        <w:rPr>
          <w:rFonts w:eastAsia="Times New Roman" w:cs="Times New Roman"/>
          <w:sz w:val="24"/>
          <w:szCs w:val="24"/>
        </w:rPr>
        <w:t>potvrđujem da:</w:t>
      </w:r>
    </w:p>
    <w:p w14:paraId="1E752853" w14:textId="57207869" w:rsidR="00F92ED7" w:rsidRPr="00152C6A" w:rsidRDefault="00F92ED7" w:rsidP="00F92ED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3490D">
        <w:rPr>
          <w:rFonts w:eastAsia="Times New Roman" w:cs="Times New Roman"/>
          <w:sz w:val="24"/>
          <w:szCs w:val="24"/>
        </w:rPr>
        <w:t>ću osigurati učinkovitu uporabu sredstava u skladu s načelima ekonomičnosti, učinkovitosti i djelotvornosti te da imam stabilne i dostatne izvore financiranja;</w:t>
      </w:r>
    </w:p>
    <w:p w14:paraId="332B1337" w14:textId="135DA149" w:rsidR="007A41D0" w:rsidRPr="00B7119B" w:rsidRDefault="007A41D0" w:rsidP="007A41D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7119B">
        <w:rPr>
          <w:rFonts w:eastAsia="Times New Roman" w:cs="Times New Roman"/>
          <w:sz w:val="24"/>
          <w:szCs w:val="24"/>
        </w:rPr>
        <w:t xml:space="preserve">sam </w:t>
      </w:r>
      <w:r w:rsidR="0006664C" w:rsidRPr="00B7119B">
        <w:rPr>
          <w:rFonts w:eastAsia="Times New Roman" w:cs="Times New Roman"/>
          <w:sz w:val="24"/>
          <w:szCs w:val="24"/>
        </w:rPr>
        <w:t>izravno</w:t>
      </w:r>
      <w:r w:rsidRPr="00B7119B">
        <w:rPr>
          <w:rFonts w:eastAsia="Times New Roman" w:cs="Times New Roman"/>
          <w:sz w:val="24"/>
          <w:szCs w:val="24"/>
        </w:rPr>
        <w:t xml:space="preserve"> odgovoran za pripremu, upravljanje, provedbu i rezultate projekta te da ne djelujem kao posrednik u ime bilo koje treće strane; </w:t>
      </w:r>
    </w:p>
    <w:p w14:paraId="3E4E6287" w14:textId="0357F6D8" w:rsidR="007D7011" w:rsidRPr="009D595A" w:rsidRDefault="007A41D0" w:rsidP="007B7F5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7119B">
        <w:rPr>
          <w:rFonts w:eastAsia="Times New Roman" w:cs="Times New Roman"/>
          <w:sz w:val="24"/>
          <w:szCs w:val="24"/>
        </w:rPr>
        <w:t>projekt zadovoljava zahtjeve u pogledu pravila o državnim potporama</w:t>
      </w:r>
      <w:r w:rsidR="007A3CF1" w:rsidRPr="00B7119B">
        <w:rPr>
          <w:rFonts w:eastAsia="Times New Roman" w:cs="Times New Roman"/>
          <w:sz w:val="24"/>
          <w:szCs w:val="24"/>
        </w:rPr>
        <w:t xml:space="preserve">, odnosno </w:t>
      </w:r>
      <w:r w:rsidR="007A3CF1" w:rsidRPr="009D595A">
        <w:rPr>
          <w:rFonts w:eastAsia="Times New Roman" w:cs="Times New Roman"/>
          <w:sz w:val="24"/>
          <w:szCs w:val="24"/>
        </w:rPr>
        <w:t xml:space="preserve"> s</w:t>
      </w:r>
      <w:r w:rsidR="007A3CF1" w:rsidRPr="00B7119B">
        <w:rPr>
          <w:rFonts w:eastAsia="Times New Roman" w:cs="Times New Roman"/>
          <w:sz w:val="24"/>
          <w:szCs w:val="24"/>
        </w:rPr>
        <w:t>redstva dodijeljena</w:t>
      </w:r>
      <w:r w:rsidR="007A3CF1" w:rsidRPr="009D595A">
        <w:rPr>
          <w:rFonts w:eastAsia="Times New Roman" w:cs="Times New Roman"/>
          <w:sz w:val="24"/>
          <w:szCs w:val="24"/>
        </w:rPr>
        <w:t xml:space="preserve"> temeljem ovog postupka dodje</w:t>
      </w:r>
      <w:r w:rsidR="007A3CF1" w:rsidRPr="00B7119B">
        <w:rPr>
          <w:rFonts w:eastAsia="Times New Roman" w:cs="Times New Roman"/>
          <w:sz w:val="24"/>
          <w:szCs w:val="24"/>
        </w:rPr>
        <w:t>le koristit će se</w:t>
      </w:r>
      <w:r w:rsidR="007A3CF1" w:rsidRPr="009D595A">
        <w:rPr>
          <w:rFonts w:eastAsia="Times New Roman" w:cs="Times New Roman"/>
          <w:sz w:val="24"/>
          <w:szCs w:val="24"/>
        </w:rPr>
        <w:t xml:space="preserve"> za </w:t>
      </w:r>
      <w:r w:rsidR="007A3CF1" w:rsidRPr="00B7119B">
        <w:rPr>
          <w:rFonts w:eastAsia="Times New Roman" w:cs="Times New Roman"/>
          <w:sz w:val="24"/>
          <w:szCs w:val="24"/>
        </w:rPr>
        <w:t>ne</w:t>
      </w:r>
      <w:r w:rsidR="007A3CF1" w:rsidRPr="009D595A">
        <w:rPr>
          <w:rFonts w:eastAsia="Times New Roman" w:cs="Times New Roman"/>
          <w:sz w:val="24"/>
          <w:szCs w:val="24"/>
        </w:rPr>
        <w:t>ekonomske djelatnosti</w:t>
      </w:r>
      <w:r w:rsidR="007A3CF1" w:rsidRPr="00B7119B">
        <w:rPr>
          <w:rFonts w:eastAsia="Times New Roman" w:cs="Times New Roman"/>
          <w:sz w:val="24"/>
          <w:szCs w:val="24"/>
        </w:rPr>
        <w:t>;</w:t>
      </w:r>
    </w:p>
    <w:p w14:paraId="0FBEA051" w14:textId="77777777" w:rsidR="007A41D0" w:rsidRPr="00376080" w:rsidRDefault="007A41D0" w:rsidP="007A41D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76080">
        <w:rPr>
          <w:rFonts w:eastAsia="Times New Roman" w:cs="Times New Roman"/>
          <w:sz w:val="24"/>
          <w:szCs w:val="24"/>
        </w:rPr>
        <w:t xml:space="preserve">projekt u trenutku prijave na Poziv nije fizički ni financijski završen; </w:t>
      </w:r>
    </w:p>
    <w:p w14:paraId="1F18EA9E" w14:textId="76B6F78B" w:rsidR="007A41D0" w:rsidRPr="00376080" w:rsidRDefault="007A41D0" w:rsidP="007A41D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76080">
        <w:rPr>
          <w:rFonts w:eastAsia="Times New Roman" w:cs="Times New Roman"/>
          <w:sz w:val="24"/>
          <w:szCs w:val="24"/>
        </w:rPr>
        <w:t>je izrađena projektna dokumentacija u potpunom vlasništvu Prijavitelja</w:t>
      </w:r>
      <w:r w:rsidR="00376080" w:rsidRPr="00376080">
        <w:rPr>
          <w:rFonts w:eastAsia="Times New Roman" w:cs="Times New Roman"/>
          <w:sz w:val="24"/>
          <w:szCs w:val="24"/>
        </w:rPr>
        <w:t>, ako je primjenjivo</w:t>
      </w:r>
      <w:r w:rsidR="00973980">
        <w:rPr>
          <w:rFonts w:eastAsia="Times New Roman" w:cs="Times New Roman"/>
          <w:sz w:val="24"/>
          <w:szCs w:val="24"/>
        </w:rPr>
        <w:t>;</w:t>
      </w:r>
    </w:p>
    <w:p w14:paraId="42F41D2D" w14:textId="77777777" w:rsidR="007A41D0" w:rsidRDefault="007A41D0" w:rsidP="007A41D0">
      <w:pPr>
        <w:pStyle w:val="ListParagraph"/>
        <w:numPr>
          <w:ilvl w:val="0"/>
          <w:numId w:val="25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376080">
        <w:rPr>
          <w:rFonts w:eastAsia="Times New Roman" w:cs="Times New Roman"/>
          <w:sz w:val="24"/>
          <w:szCs w:val="24"/>
        </w:rPr>
        <w:t>je projekt u skladu s odredbama svih relevantnih nacionalnih zakonodavnih akata, te u skladu sa specifičnim pravilima i zahtjevima primjenjivima na ovaj Poziv;</w:t>
      </w:r>
    </w:p>
    <w:p w14:paraId="3750C983" w14:textId="043EBE6F" w:rsidR="007E0EAE" w:rsidRDefault="007A41D0" w:rsidP="007A41D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A6F7D">
        <w:rPr>
          <w:rFonts w:eastAsia="Times New Roman" w:cs="Times New Roman"/>
          <w:sz w:val="24"/>
          <w:szCs w:val="24"/>
        </w:rPr>
        <w:t>je projekt spreman za početak provedbe aktivnosti projekta i njihov završetak u skladu s</w:t>
      </w:r>
      <w:r w:rsidR="007D393B" w:rsidRPr="003A6F7D">
        <w:rPr>
          <w:rFonts w:eastAsia="Times New Roman" w:cs="Times New Roman"/>
          <w:sz w:val="24"/>
          <w:szCs w:val="24"/>
        </w:rPr>
        <w:t xml:space="preserve"> planom aktivnosti navedenim u Prijavnom obrascu </w:t>
      </w:r>
      <w:r w:rsidRPr="003A6F7D">
        <w:rPr>
          <w:rFonts w:eastAsia="Times New Roman" w:cs="Times New Roman"/>
          <w:sz w:val="24"/>
          <w:szCs w:val="24"/>
        </w:rPr>
        <w:t>i zadanim vremenskim okvirima za provedbu projekta</w:t>
      </w:r>
      <w:r w:rsidR="007D393B" w:rsidRPr="003A6F7D">
        <w:rPr>
          <w:rFonts w:eastAsia="Times New Roman" w:cs="Times New Roman"/>
          <w:sz w:val="24"/>
          <w:szCs w:val="24"/>
        </w:rPr>
        <w:t xml:space="preserve"> definiranima u točki 5.1 Uputa</w:t>
      </w:r>
      <w:r w:rsidR="007E0EAE">
        <w:rPr>
          <w:rFonts w:eastAsia="Times New Roman" w:cs="Times New Roman"/>
          <w:sz w:val="24"/>
          <w:szCs w:val="24"/>
        </w:rPr>
        <w:t>;</w:t>
      </w:r>
    </w:p>
    <w:p w14:paraId="1B4A9D2F" w14:textId="45B271B9" w:rsidR="003D71D0" w:rsidRPr="00460EA2" w:rsidRDefault="000D4535" w:rsidP="000D4535">
      <w:pPr>
        <w:pStyle w:val="ListParagraph"/>
        <w:numPr>
          <w:ilvl w:val="0"/>
          <w:numId w:val="25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Pr="000D4535">
        <w:rPr>
          <w:rFonts w:eastAsia="Times New Roman" w:cs="Times New Roman"/>
          <w:sz w:val="24"/>
          <w:szCs w:val="24"/>
        </w:rPr>
        <w:t>rojekt nije sadržajno izmijenjen u odnosu na projekt koji je prijavljen na Javni poziv za iskaz interesa za sudjelovanje u pred-odabiru</w:t>
      </w:r>
      <w:r>
        <w:rPr>
          <w:rFonts w:eastAsia="Times New Roman" w:cs="Times New Roman"/>
          <w:sz w:val="24"/>
          <w:szCs w:val="24"/>
        </w:rPr>
        <w:t>.</w:t>
      </w:r>
    </w:p>
    <w:p w14:paraId="5E229756" w14:textId="5DCD7780" w:rsidR="004B4FEA" w:rsidRDefault="0031555E" w:rsidP="0031555E">
      <w:pPr>
        <w:tabs>
          <w:tab w:val="left" w:pos="1257"/>
        </w:tabs>
        <w:jc w:val="both"/>
        <w:rPr>
          <w:rFonts w:eastAsia="Times New Roman" w:cs="Times New Roman"/>
          <w:sz w:val="24"/>
          <w:szCs w:val="24"/>
        </w:rPr>
      </w:pPr>
      <w:r w:rsidRPr="00FE2CBA">
        <w:rPr>
          <w:rFonts w:eastAsia="Times New Roman" w:cs="Times New Roman"/>
          <w:b/>
          <w:sz w:val="24"/>
          <w:szCs w:val="24"/>
        </w:rPr>
        <w:t>Pod materijalnom i kaznenom odgovornošću</w:t>
      </w:r>
      <w:r w:rsidRPr="00FE2CBA">
        <w:rPr>
          <w:rFonts w:eastAsia="Times New Roman" w:cs="Times New Roman"/>
          <w:sz w:val="24"/>
          <w:szCs w:val="24"/>
        </w:rPr>
        <w:t xml:space="preserve">, u svoje ime i u ime </w:t>
      </w:r>
      <w:r w:rsidR="00C6264D">
        <w:rPr>
          <w:rFonts w:eastAsia="Times New Roman" w:cs="Times New Roman"/>
          <w:sz w:val="24"/>
          <w:szCs w:val="24"/>
        </w:rPr>
        <w:t xml:space="preserve">Prijavitelja </w:t>
      </w:r>
      <w:r w:rsidRPr="00FE2CBA">
        <w:rPr>
          <w:rFonts w:eastAsia="Times New Roman" w:cs="Times New Roman"/>
          <w:sz w:val="24"/>
          <w:szCs w:val="24"/>
        </w:rPr>
        <w:t xml:space="preserve">potvrđujem da sam kao </w:t>
      </w:r>
      <w:r w:rsidR="00C6264D">
        <w:rPr>
          <w:rFonts w:eastAsia="Times New Roman" w:cs="Times New Roman"/>
          <w:sz w:val="24"/>
          <w:szCs w:val="24"/>
        </w:rPr>
        <w:t xml:space="preserve">Prijavitelj </w:t>
      </w:r>
      <w:r w:rsidRPr="00FE2CBA">
        <w:rPr>
          <w:rFonts w:eastAsia="Times New Roman" w:cs="Times New Roman"/>
          <w:i/>
          <w:sz w:val="24"/>
          <w:szCs w:val="24"/>
        </w:rPr>
        <w:t xml:space="preserve">i kao osoba po zakonu ovlaštena za zastupanje </w:t>
      </w:r>
      <w:r w:rsidR="00C6264D">
        <w:rPr>
          <w:rFonts w:eastAsia="Times New Roman" w:cs="Times New Roman"/>
          <w:i/>
          <w:sz w:val="24"/>
          <w:szCs w:val="24"/>
        </w:rPr>
        <w:t>Prijavitelja</w:t>
      </w:r>
      <w:r w:rsidRPr="00FE2CBA">
        <w:rPr>
          <w:rFonts w:eastAsia="Times New Roman" w:cs="Times New Roman"/>
          <w:sz w:val="24"/>
          <w:szCs w:val="24"/>
        </w:rPr>
        <w:t xml:space="preserve"> svjestan da će se </w:t>
      </w:r>
      <w:r w:rsidRPr="00FE2CBA">
        <w:rPr>
          <w:rFonts w:eastAsia="Times New Roman" w:cs="Times New Roman"/>
          <w:b/>
          <w:sz w:val="24"/>
          <w:szCs w:val="24"/>
        </w:rPr>
        <w:t>u slučaju davanja lažne izjave</w:t>
      </w:r>
      <w:r w:rsidRPr="00FE2CBA">
        <w:rPr>
          <w:rFonts w:eastAsia="Times New Roman" w:cs="Times New Roman"/>
          <w:sz w:val="24"/>
          <w:szCs w:val="24"/>
        </w:rPr>
        <w:t xml:space="preserve"> ili </w:t>
      </w:r>
      <w:r w:rsidRPr="00FE2CBA">
        <w:rPr>
          <w:rFonts w:eastAsia="Times New Roman" w:cs="Times New Roman"/>
          <w:b/>
          <w:sz w:val="24"/>
          <w:szCs w:val="24"/>
        </w:rPr>
        <w:t>lažnih podataka</w:t>
      </w:r>
      <w:r w:rsidRPr="00FE2CBA">
        <w:rPr>
          <w:rFonts w:eastAsia="Times New Roman" w:cs="Times New Roman"/>
          <w:sz w:val="24"/>
          <w:szCs w:val="24"/>
        </w:rPr>
        <w:t xml:space="preserve"> primijeniti za to propisane kazne i sankcije.</w:t>
      </w:r>
    </w:p>
    <w:p w14:paraId="09CFEEE2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14:paraId="090BFA52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4B4FEA">
        <w:rPr>
          <w:rFonts w:eastAsia="Times New Roman" w:cs="Times New Roman"/>
          <w:sz w:val="24"/>
          <w:szCs w:val="24"/>
        </w:rPr>
        <w:t>U_____________________&lt;</w:t>
      </w:r>
      <w:r w:rsidRPr="004B4FEA">
        <w:rPr>
          <w:rFonts w:eastAsia="Times New Roman" w:cs="Times New Roman"/>
          <w:i/>
          <w:sz w:val="24"/>
          <w:szCs w:val="24"/>
        </w:rPr>
        <w:t>umetnuti mjesto</w:t>
      </w:r>
      <w:r w:rsidRPr="004B4FEA">
        <w:rPr>
          <w:rFonts w:eastAsia="Times New Roman" w:cs="Times New Roman"/>
          <w:sz w:val="24"/>
          <w:szCs w:val="24"/>
        </w:rPr>
        <w:t>&gt;, dana ________________&lt;</w:t>
      </w:r>
      <w:r w:rsidRPr="004B4FEA">
        <w:rPr>
          <w:rFonts w:eastAsia="Times New Roman" w:cs="Times New Roman"/>
          <w:i/>
          <w:sz w:val="24"/>
          <w:szCs w:val="24"/>
        </w:rPr>
        <w:t>umetnuti</w:t>
      </w:r>
      <w:r w:rsidRPr="004B4FEA">
        <w:rPr>
          <w:rFonts w:eastAsia="Times New Roman" w:cs="Times New Roman"/>
          <w:sz w:val="24"/>
          <w:szCs w:val="24"/>
        </w:rPr>
        <w:t xml:space="preserve">  </w:t>
      </w:r>
      <w:r w:rsidRPr="004B4FEA">
        <w:rPr>
          <w:rFonts w:eastAsia="Times New Roman" w:cs="Times New Roman"/>
          <w:i/>
          <w:sz w:val="24"/>
          <w:szCs w:val="24"/>
        </w:rPr>
        <w:t>datum&gt;</w:t>
      </w:r>
    </w:p>
    <w:p w14:paraId="2B8EC154" w14:textId="77777777" w:rsidR="004B4FEA" w:rsidRPr="00A17DE0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 w:val="18"/>
          <w:szCs w:val="24"/>
        </w:rPr>
      </w:pPr>
    </w:p>
    <w:p w14:paraId="1E9B8D6F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B4FE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</w:p>
    <w:p w14:paraId="508D8D9A" w14:textId="250AB5B0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4B4FEA">
        <w:rPr>
          <w:rFonts w:eastAsia="Times New Roman" w:cs="Times New Roman"/>
          <w:i/>
          <w:sz w:val="24"/>
          <w:szCs w:val="24"/>
        </w:rPr>
        <w:t xml:space="preserve">&lt;upisati ime/naziv </w:t>
      </w:r>
      <w:r>
        <w:rPr>
          <w:rFonts w:eastAsia="Times New Roman" w:cs="Times New Roman"/>
          <w:i/>
          <w:sz w:val="24"/>
          <w:szCs w:val="24"/>
        </w:rPr>
        <w:t>Prijavitelja</w:t>
      </w:r>
      <w:r w:rsidRPr="004B4FEA">
        <w:rPr>
          <w:rFonts w:eastAsia="Times New Roman" w:cs="Times New Roman"/>
          <w:i/>
          <w:sz w:val="24"/>
          <w:szCs w:val="24"/>
        </w:rPr>
        <w:t xml:space="preserve"> ili, ako je primjenjivo, osobe po zakonu ovlaštene za zastupanje </w:t>
      </w:r>
      <w:r>
        <w:rPr>
          <w:rFonts w:eastAsia="Times New Roman" w:cs="Times New Roman"/>
          <w:i/>
          <w:sz w:val="24"/>
          <w:szCs w:val="24"/>
        </w:rPr>
        <w:t>Prijavitelja</w:t>
      </w:r>
      <w:r w:rsidRPr="004B4FEA">
        <w:rPr>
          <w:rFonts w:eastAsia="Times New Roman" w:cs="Times New Roman"/>
          <w:i/>
          <w:sz w:val="24"/>
          <w:szCs w:val="24"/>
        </w:rPr>
        <w:t xml:space="preserve">&gt; </w:t>
      </w:r>
    </w:p>
    <w:p w14:paraId="617E2236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3EF36695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4B4FEA">
        <w:rPr>
          <w:rFonts w:eastAsia="Times New Roman" w:cs="Times New Roman"/>
          <w:i/>
          <w:sz w:val="24"/>
          <w:szCs w:val="24"/>
        </w:rPr>
        <w:t>______________________________________</w:t>
      </w:r>
    </w:p>
    <w:p w14:paraId="1AB32A5D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12"/>
          <w:szCs w:val="24"/>
        </w:rPr>
      </w:pPr>
      <w:r w:rsidRPr="004B4FEA">
        <w:rPr>
          <w:rFonts w:eastAsia="Times New Roman" w:cs="Times New Roman"/>
          <w:i/>
          <w:sz w:val="24"/>
          <w:szCs w:val="24"/>
        </w:rPr>
        <w:t>Funkcija</w:t>
      </w:r>
    </w:p>
    <w:p w14:paraId="666CE928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7B398649" w14:textId="77777777" w:rsidR="004B4FEA" w:rsidRPr="004B4FEA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4B4FEA">
        <w:rPr>
          <w:rFonts w:eastAsia="Times New Roman" w:cs="Times New Roman"/>
          <w:i/>
          <w:sz w:val="24"/>
          <w:szCs w:val="24"/>
        </w:rPr>
        <w:t>_______________________________________</w:t>
      </w:r>
    </w:p>
    <w:p w14:paraId="2F235887" w14:textId="2E6E4763" w:rsidR="004B4FEA" w:rsidRPr="00A17DE0" w:rsidRDefault="004B4FEA" w:rsidP="004B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4B4FEA">
        <w:rPr>
          <w:rFonts w:eastAsia="Times New Roman" w:cs="Times New Roman"/>
          <w:i/>
          <w:sz w:val="24"/>
          <w:szCs w:val="24"/>
        </w:rPr>
        <w:t>Potpis i pečat</w:t>
      </w:r>
    </w:p>
    <w:sectPr w:rsidR="004B4FEA" w:rsidRPr="00A17DE0" w:rsidSect="00954908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C69305" w16cid:durableId="1F4B4D77"/>
  <w16cid:commentId w16cid:paraId="0EAFB565" w16cid:durableId="1F4B50A8"/>
  <w16cid:commentId w16cid:paraId="1FBA8015" w16cid:durableId="1F4B509F"/>
  <w16cid:commentId w16cid:paraId="566B2D58" w16cid:durableId="1F4B50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AE8A4" w14:textId="77777777" w:rsidR="002E180D" w:rsidRDefault="002E180D" w:rsidP="00EC4A16">
      <w:pPr>
        <w:spacing w:after="0" w:line="240" w:lineRule="auto"/>
      </w:pPr>
      <w:r>
        <w:separator/>
      </w:r>
    </w:p>
  </w:endnote>
  <w:endnote w:type="continuationSeparator" w:id="0">
    <w:p w14:paraId="0E7B0E9D" w14:textId="77777777" w:rsidR="002E180D" w:rsidRDefault="002E180D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976CF" w14:textId="77777777" w:rsidR="00E33BB4" w:rsidRDefault="00E33B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77777777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A3B8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A3B8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98941" w14:textId="77777777" w:rsidR="00E33BB4" w:rsidRDefault="00E33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8835C" w14:textId="77777777" w:rsidR="002E180D" w:rsidRDefault="002E180D" w:rsidP="00EC4A16">
      <w:pPr>
        <w:spacing w:after="0" w:line="240" w:lineRule="auto"/>
      </w:pPr>
      <w:r>
        <w:separator/>
      </w:r>
    </w:p>
  </w:footnote>
  <w:footnote w:type="continuationSeparator" w:id="0">
    <w:p w14:paraId="50FBF86A" w14:textId="77777777" w:rsidR="002E180D" w:rsidRDefault="002E180D" w:rsidP="00EC4A16">
      <w:pPr>
        <w:spacing w:after="0" w:line="240" w:lineRule="auto"/>
      </w:pPr>
      <w:r>
        <w:continuationSeparator/>
      </w:r>
    </w:p>
  </w:footnote>
  <w:footnote w:id="1">
    <w:p w14:paraId="0BF4A3A1" w14:textId="77777777" w:rsidR="00B349B7" w:rsidRPr="00741A8F" w:rsidRDefault="00B349B7" w:rsidP="00B349B7">
      <w:pPr>
        <w:pStyle w:val="FootnoteText"/>
        <w:jc w:val="both"/>
        <w:rPr>
          <w:rFonts w:asciiTheme="minorHAnsi" w:hAnsiTheme="minorHAnsi"/>
          <w:sz w:val="16"/>
          <w:szCs w:val="16"/>
        </w:rPr>
      </w:pPr>
      <w:r w:rsidRPr="00741A8F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741A8F">
        <w:rPr>
          <w:rFonts w:asciiTheme="minorHAnsi" w:hAnsiTheme="minorHAnsi"/>
          <w:sz w:val="16"/>
          <w:szCs w:val="16"/>
        </w:rPr>
        <w:t xml:space="preserve"> </w:t>
      </w:r>
      <w:r w:rsidR="00913FA6" w:rsidRPr="00741A8F">
        <w:rPr>
          <w:rFonts w:asciiTheme="minorHAnsi" w:eastAsiaTheme="minorEastAsia" w:hAnsiTheme="minorHAnsi"/>
          <w:noProof w:val="0"/>
          <w:sz w:val="16"/>
          <w:szCs w:val="16"/>
          <w:lang w:eastAsia="hr-HR"/>
        </w:rPr>
        <w:t xml:space="preserve">Prijavitelj, kao potencijalni </w:t>
      </w:r>
      <w:r w:rsidRPr="00741A8F">
        <w:rPr>
          <w:rFonts w:asciiTheme="minorHAnsi" w:eastAsiaTheme="minorEastAsia" w:hAnsiTheme="minorHAnsi"/>
          <w:noProof w:val="0"/>
          <w:sz w:val="16"/>
          <w:szCs w:val="16"/>
          <w:lang w:eastAsia="hr-HR"/>
        </w:rPr>
        <w:t xml:space="preserve">Korisnik </w:t>
      </w:r>
      <w:r w:rsidR="00913FA6" w:rsidRPr="00741A8F">
        <w:rPr>
          <w:rFonts w:asciiTheme="minorHAnsi" w:eastAsiaTheme="minorEastAsia" w:hAnsiTheme="minorHAnsi"/>
          <w:noProof w:val="0"/>
          <w:sz w:val="16"/>
          <w:szCs w:val="16"/>
          <w:lang w:eastAsia="hr-HR"/>
        </w:rPr>
        <w:t xml:space="preserve">u postupku dodjele bespovratnih sredstava, </w:t>
      </w:r>
      <w:r w:rsidRPr="00741A8F">
        <w:rPr>
          <w:rFonts w:asciiTheme="minorHAnsi" w:eastAsiaTheme="minorEastAsia" w:hAnsiTheme="minorHAnsi"/>
          <w:noProof w:val="0"/>
          <w:sz w:val="16"/>
          <w:szCs w:val="16"/>
          <w:lang w:eastAsia="hr-HR"/>
        </w:rPr>
        <w:t xml:space="preserve">potpisuje </w:t>
      </w:r>
      <w:r w:rsidR="008B42E0" w:rsidRPr="00741A8F">
        <w:rPr>
          <w:rFonts w:asciiTheme="minorHAnsi" w:eastAsiaTheme="minorEastAsia" w:hAnsiTheme="minorHAnsi"/>
          <w:noProof w:val="0"/>
          <w:sz w:val="16"/>
          <w:szCs w:val="16"/>
          <w:lang w:eastAsia="hr-HR"/>
        </w:rPr>
        <w:t xml:space="preserve">Izjavu </w:t>
      </w:r>
      <w:r w:rsidRPr="00741A8F">
        <w:rPr>
          <w:rFonts w:asciiTheme="minorHAnsi" w:eastAsiaTheme="minorEastAsia" w:hAnsiTheme="minorHAnsi"/>
          <w:noProof w:val="0"/>
          <w:sz w:val="16"/>
          <w:szCs w:val="16"/>
          <w:lang w:eastAsia="hr-HR"/>
        </w:rPr>
        <w:t>prilikom podnošenja projektnog prijedloga.</w:t>
      </w:r>
    </w:p>
  </w:footnote>
  <w:footnote w:id="2">
    <w:p w14:paraId="6AC221F7" w14:textId="77777777" w:rsidR="0031555E" w:rsidRDefault="0031555E" w:rsidP="0031555E">
      <w:pPr>
        <w:spacing w:after="0" w:line="240" w:lineRule="auto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A2679B">
        <w:rPr>
          <w:sz w:val="16"/>
          <w:szCs w:val="16"/>
        </w:rPr>
        <w:t>Prema definiciji Korisnika iz Pravilnika o prihvatljivosti i</w:t>
      </w:r>
      <w:r>
        <w:rPr>
          <w:sz w:val="16"/>
          <w:szCs w:val="16"/>
        </w:rPr>
        <w:t>zdataka (Narodne novine, broj 143</w:t>
      </w:r>
      <w:r w:rsidRPr="00A2679B">
        <w:rPr>
          <w:sz w:val="16"/>
          <w:szCs w:val="16"/>
        </w:rPr>
        <w:t xml:space="preserve">/2014) - </w:t>
      </w:r>
      <w:r w:rsidRPr="00A2679B">
        <w:rPr>
          <w:rFonts w:eastAsia="Calibri"/>
          <w:sz w:val="16"/>
          <w:szCs w:val="16"/>
        </w:rPr>
        <w:t xml:space="preserve">Korisnik je svaka </w:t>
      </w:r>
      <w:r w:rsidRPr="00A2679B">
        <w:rPr>
          <w:rFonts w:eastAsia="Calibri"/>
          <w:b/>
          <w:bCs/>
          <w:sz w:val="16"/>
          <w:szCs w:val="16"/>
        </w:rPr>
        <w:t>pravna osoba javnog ili privatnog prava</w:t>
      </w:r>
      <w:r w:rsidRPr="00A2679B">
        <w:rPr>
          <w:rFonts w:eastAsia="Calibri"/>
          <w:sz w:val="16"/>
          <w:szCs w:val="16"/>
        </w:rPr>
        <w:t xml:space="preserve">, uključujući </w:t>
      </w:r>
      <w:r w:rsidRPr="00A2679B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A2679B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A2679B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A2679B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3">
    <w:p w14:paraId="349DF1CC" w14:textId="77777777" w:rsidR="0031555E" w:rsidRPr="00B30414" w:rsidRDefault="0031555E" w:rsidP="0031555E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B30414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B30414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B30414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14:paraId="2A51FC9F" w14:textId="77777777" w:rsidR="0031555E" w:rsidRDefault="0031555E" w:rsidP="0031555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ED08A" w14:textId="77777777" w:rsidR="00E33BB4" w:rsidRDefault="00E33B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FD112" w14:textId="7392B26F" w:rsidR="00230E38" w:rsidRDefault="00230E38">
    <w:pPr>
      <w:pStyle w:val="Header"/>
    </w:pPr>
    <w:r>
      <w:t xml:space="preserve">Obrazac </w:t>
    </w:r>
    <w:r w:rsidR="00E33BB4">
      <w:t>3</w:t>
    </w:r>
    <w:r>
      <w:t>.</w:t>
    </w:r>
  </w:p>
  <w:p w14:paraId="704DC423" w14:textId="1CC65175" w:rsidR="00E935B0" w:rsidRPr="00F006F6" w:rsidRDefault="00741A8F">
    <w:pPr>
      <w:pStyle w:val="Header"/>
    </w:pPr>
    <w:r w:rsidRPr="00381B47">
      <w:rPr>
        <w:noProof/>
        <w:color w:val="BFBFBF"/>
        <w:sz w:val="18"/>
      </w:rPr>
      <w:drawing>
        <wp:inline distT="0" distB="0" distL="0" distR="0" wp14:anchorId="7F2FB63D" wp14:editId="7B1F8C8C">
          <wp:extent cx="5760720" cy="1079500"/>
          <wp:effectExtent l="0" t="0" r="0" b="6350"/>
          <wp:docPr id="1" name="Picture 1" descr="C:\Users\ajurisic\AppData\Local\Microsoft\Windows\INetCache\Content.Outlook\9WMAWF0K\MZO pasica logoti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urisic\AppData\Local\Microsoft\Windows\INetCache\Content.Outlook\9WMAWF0K\MZO pasica logoti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E8108" w14:textId="77777777" w:rsidR="00E33BB4" w:rsidRDefault="00E33B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9F18CF"/>
    <w:multiLevelType w:val="hybridMultilevel"/>
    <w:tmpl w:val="FEFA5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2572E"/>
    <w:multiLevelType w:val="hybridMultilevel"/>
    <w:tmpl w:val="3066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65181"/>
    <w:multiLevelType w:val="hybridMultilevel"/>
    <w:tmpl w:val="F09AF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0"/>
  </w:num>
  <w:num w:numId="5">
    <w:abstractNumId w:val="7"/>
  </w:num>
  <w:num w:numId="6">
    <w:abstractNumId w:val="17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4"/>
  </w:num>
  <w:num w:numId="12">
    <w:abstractNumId w:val="5"/>
  </w:num>
  <w:num w:numId="13">
    <w:abstractNumId w:val="18"/>
  </w:num>
  <w:num w:numId="14">
    <w:abstractNumId w:val="24"/>
  </w:num>
  <w:num w:numId="15">
    <w:abstractNumId w:val="21"/>
  </w:num>
  <w:num w:numId="16">
    <w:abstractNumId w:val="1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3"/>
  </w:num>
  <w:num w:numId="21">
    <w:abstractNumId w:val="25"/>
  </w:num>
  <w:num w:numId="22">
    <w:abstractNumId w:val="8"/>
  </w:num>
  <w:num w:numId="23">
    <w:abstractNumId w:val="19"/>
  </w:num>
  <w:num w:numId="24">
    <w:abstractNumId w:val="3"/>
  </w:num>
  <w:num w:numId="25">
    <w:abstractNumId w:val="15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20EB"/>
    <w:rsid w:val="000254D9"/>
    <w:rsid w:val="00027652"/>
    <w:rsid w:val="00041744"/>
    <w:rsid w:val="000427C8"/>
    <w:rsid w:val="00054986"/>
    <w:rsid w:val="0006498B"/>
    <w:rsid w:val="0006664C"/>
    <w:rsid w:val="00067136"/>
    <w:rsid w:val="00087D38"/>
    <w:rsid w:val="000917AF"/>
    <w:rsid w:val="00096401"/>
    <w:rsid w:val="00097826"/>
    <w:rsid w:val="000B147D"/>
    <w:rsid w:val="000C46DD"/>
    <w:rsid w:val="000C65B2"/>
    <w:rsid w:val="000C724A"/>
    <w:rsid w:val="000C78C3"/>
    <w:rsid w:val="000D4535"/>
    <w:rsid w:val="000D665E"/>
    <w:rsid w:val="001011BD"/>
    <w:rsid w:val="0011439D"/>
    <w:rsid w:val="001148FE"/>
    <w:rsid w:val="00115FF7"/>
    <w:rsid w:val="00121122"/>
    <w:rsid w:val="00136062"/>
    <w:rsid w:val="00137BC9"/>
    <w:rsid w:val="00142EEA"/>
    <w:rsid w:val="001434E2"/>
    <w:rsid w:val="0014602E"/>
    <w:rsid w:val="00152C6A"/>
    <w:rsid w:val="00153B5B"/>
    <w:rsid w:val="00160BF8"/>
    <w:rsid w:val="00166250"/>
    <w:rsid w:val="001677AC"/>
    <w:rsid w:val="0017692C"/>
    <w:rsid w:val="00182930"/>
    <w:rsid w:val="00185C4D"/>
    <w:rsid w:val="00191771"/>
    <w:rsid w:val="00197C5F"/>
    <w:rsid w:val="001A3678"/>
    <w:rsid w:val="001B564C"/>
    <w:rsid w:val="001C0DEE"/>
    <w:rsid w:val="001C4088"/>
    <w:rsid w:val="001E61A9"/>
    <w:rsid w:val="001E663F"/>
    <w:rsid w:val="001F22EA"/>
    <w:rsid w:val="00201472"/>
    <w:rsid w:val="002065B0"/>
    <w:rsid w:val="002204CD"/>
    <w:rsid w:val="00230E38"/>
    <w:rsid w:val="00235E1F"/>
    <w:rsid w:val="0023777E"/>
    <w:rsid w:val="00261D5E"/>
    <w:rsid w:val="00266026"/>
    <w:rsid w:val="002727E8"/>
    <w:rsid w:val="00287B12"/>
    <w:rsid w:val="00287D34"/>
    <w:rsid w:val="00292F46"/>
    <w:rsid w:val="002B2376"/>
    <w:rsid w:val="002B47FD"/>
    <w:rsid w:val="002B4A96"/>
    <w:rsid w:val="002B7A36"/>
    <w:rsid w:val="002C0DF7"/>
    <w:rsid w:val="002C17C1"/>
    <w:rsid w:val="002C43F3"/>
    <w:rsid w:val="002C7DAE"/>
    <w:rsid w:val="002D0791"/>
    <w:rsid w:val="002D7877"/>
    <w:rsid w:val="002E180D"/>
    <w:rsid w:val="002E3C83"/>
    <w:rsid w:val="002F38BD"/>
    <w:rsid w:val="002F3AB9"/>
    <w:rsid w:val="002F58B3"/>
    <w:rsid w:val="00304567"/>
    <w:rsid w:val="003057A0"/>
    <w:rsid w:val="0031555E"/>
    <w:rsid w:val="003225ED"/>
    <w:rsid w:val="00331936"/>
    <w:rsid w:val="00332F52"/>
    <w:rsid w:val="00345139"/>
    <w:rsid w:val="0034536A"/>
    <w:rsid w:val="00347E92"/>
    <w:rsid w:val="00352104"/>
    <w:rsid w:val="00376080"/>
    <w:rsid w:val="00376552"/>
    <w:rsid w:val="003818D2"/>
    <w:rsid w:val="00383930"/>
    <w:rsid w:val="003869A6"/>
    <w:rsid w:val="00391575"/>
    <w:rsid w:val="00395321"/>
    <w:rsid w:val="003A12E2"/>
    <w:rsid w:val="003A68FE"/>
    <w:rsid w:val="003A6F7D"/>
    <w:rsid w:val="003B1296"/>
    <w:rsid w:val="003C60CF"/>
    <w:rsid w:val="003D0D61"/>
    <w:rsid w:val="003D71D0"/>
    <w:rsid w:val="003E3836"/>
    <w:rsid w:val="003E3D3A"/>
    <w:rsid w:val="003E68DC"/>
    <w:rsid w:val="003F1477"/>
    <w:rsid w:val="004075DC"/>
    <w:rsid w:val="004247C4"/>
    <w:rsid w:val="004263FE"/>
    <w:rsid w:val="00442818"/>
    <w:rsid w:val="004431D2"/>
    <w:rsid w:val="00444504"/>
    <w:rsid w:val="004509A8"/>
    <w:rsid w:val="00456D82"/>
    <w:rsid w:val="00460789"/>
    <w:rsid w:val="00460EA2"/>
    <w:rsid w:val="00464415"/>
    <w:rsid w:val="00466808"/>
    <w:rsid w:val="004841B9"/>
    <w:rsid w:val="00485F2A"/>
    <w:rsid w:val="004868E9"/>
    <w:rsid w:val="004A2899"/>
    <w:rsid w:val="004A53A7"/>
    <w:rsid w:val="004B1012"/>
    <w:rsid w:val="004B3184"/>
    <w:rsid w:val="004B4FEA"/>
    <w:rsid w:val="004C1DF3"/>
    <w:rsid w:val="004D3B5E"/>
    <w:rsid w:val="004D44CD"/>
    <w:rsid w:val="004D47FF"/>
    <w:rsid w:val="004D7CAB"/>
    <w:rsid w:val="004E2371"/>
    <w:rsid w:val="005029D5"/>
    <w:rsid w:val="00506288"/>
    <w:rsid w:val="005157BC"/>
    <w:rsid w:val="005176D5"/>
    <w:rsid w:val="00523361"/>
    <w:rsid w:val="005400B8"/>
    <w:rsid w:val="00544299"/>
    <w:rsid w:val="00544B37"/>
    <w:rsid w:val="005458AE"/>
    <w:rsid w:val="00551A73"/>
    <w:rsid w:val="00557335"/>
    <w:rsid w:val="00557E86"/>
    <w:rsid w:val="00564147"/>
    <w:rsid w:val="0056417F"/>
    <w:rsid w:val="00571BDD"/>
    <w:rsid w:val="00575256"/>
    <w:rsid w:val="005755B1"/>
    <w:rsid w:val="00586723"/>
    <w:rsid w:val="00591ABF"/>
    <w:rsid w:val="00592E3E"/>
    <w:rsid w:val="00597556"/>
    <w:rsid w:val="005A349F"/>
    <w:rsid w:val="005B6BE5"/>
    <w:rsid w:val="005C2A98"/>
    <w:rsid w:val="005C2C7B"/>
    <w:rsid w:val="005E23A1"/>
    <w:rsid w:val="005F242D"/>
    <w:rsid w:val="005F342F"/>
    <w:rsid w:val="005F42BA"/>
    <w:rsid w:val="00601DE6"/>
    <w:rsid w:val="006112B5"/>
    <w:rsid w:val="00641B94"/>
    <w:rsid w:val="0064609E"/>
    <w:rsid w:val="00656283"/>
    <w:rsid w:val="0066228D"/>
    <w:rsid w:val="00666573"/>
    <w:rsid w:val="00671D71"/>
    <w:rsid w:val="006754F1"/>
    <w:rsid w:val="00675B8A"/>
    <w:rsid w:val="00683AE5"/>
    <w:rsid w:val="0069277C"/>
    <w:rsid w:val="006975D5"/>
    <w:rsid w:val="006A1A3D"/>
    <w:rsid w:val="006A3858"/>
    <w:rsid w:val="006A567E"/>
    <w:rsid w:val="006A6077"/>
    <w:rsid w:val="006B7446"/>
    <w:rsid w:val="006C7C93"/>
    <w:rsid w:val="006D30AC"/>
    <w:rsid w:val="006E0DC7"/>
    <w:rsid w:val="006E7F86"/>
    <w:rsid w:val="006F2DF5"/>
    <w:rsid w:val="006F4746"/>
    <w:rsid w:val="006F79CA"/>
    <w:rsid w:val="0070722A"/>
    <w:rsid w:val="00722776"/>
    <w:rsid w:val="0072778E"/>
    <w:rsid w:val="00741A8F"/>
    <w:rsid w:val="00756337"/>
    <w:rsid w:val="00763E66"/>
    <w:rsid w:val="00773EB9"/>
    <w:rsid w:val="0077692F"/>
    <w:rsid w:val="00782F1C"/>
    <w:rsid w:val="00793E97"/>
    <w:rsid w:val="007947FB"/>
    <w:rsid w:val="00796FA0"/>
    <w:rsid w:val="007A2544"/>
    <w:rsid w:val="007A3CF1"/>
    <w:rsid w:val="007A41D0"/>
    <w:rsid w:val="007A51C9"/>
    <w:rsid w:val="007A7574"/>
    <w:rsid w:val="007B2E91"/>
    <w:rsid w:val="007B7F55"/>
    <w:rsid w:val="007C336E"/>
    <w:rsid w:val="007C3AD9"/>
    <w:rsid w:val="007C7BC6"/>
    <w:rsid w:val="007D393B"/>
    <w:rsid w:val="007D61C0"/>
    <w:rsid w:val="007D7011"/>
    <w:rsid w:val="007E0561"/>
    <w:rsid w:val="007E0EAE"/>
    <w:rsid w:val="007E175A"/>
    <w:rsid w:val="007E1F7F"/>
    <w:rsid w:val="007E504A"/>
    <w:rsid w:val="007F0B06"/>
    <w:rsid w:val="007F269B"/>
    <w:rsid w:val="007F30F9"/>
    <w:rsid w:val="00810E6E"/>
    <w:rsid w:val="00815D76"/>
    <w:rsid w:val="00816527"/>
    <w:rsid w:val="00817C7E"/>
    <w:rsid w:val="00823BAB"/>
    <w:rsid w:val="00830E77"/>
    <w:rsid w:val="0083290B"/>
    <w:rsid w:val="008445DA"/>
    <w:rsid w:val="00845F0C"/>
    <w:rsid w:val="00865D3D"/>
    <w:rsid w:val="00866F03"/>
    <w:rsid w:val="0087152D"/>
    <w:rsid w:val="008924FD"/>
    <w:rsid w:val="008926DE"/>
    <w:rsid w:val="00894854"/>
    <w:rsid w:val="008B42E0"/>
    <w:rsid w:val="008D0F78"/>
    <w:rsid w:val="008D421D"/>
    <w:rsid w:val="0090490B"/>
    <w:rsid w:val="009102DB"/>
    <w:rsid w:val="009116EF"/>
    <w:rsid w:val="00913FA6"/>
    <w:rsid w:val="009248FD"/>
    <w:rsid w:val="00924F18"/>
    <w:rsid w:val="00927FD3"/>
    <w:rsid w:val="00934012"/>
    <w:rsid w:val="00945A0B"/>
    <w:rsid w:val="009534DC"/>
    <w:rsid w:val="00954908"/>
    <w:rsid w:val="00966853"/>
    <w:rsid w:val="00966CAC"/>
    <w:rsid w:val="00973005"/>
    <w:rsid w:val="0097338F"/>
    <w:rsid w:val="00973980"/>
    <w:rsid w:val="0098132E"/>
    <w:rsid w:val="00991718"/>
    <w:rsid w:val="009A3B88"/>
    <w:rsid w:val="009A6771"/>
    <w:rsid w:val="009B6C50"/>
    <w:rsid w:val="009C1DEC"/>
    <w:rsid w:val="009C31AF"/>
    <w:rsid w:val="009C7E41"/>
    <w:rsid w:val="009D20B2"/>
    <w:rsid w:val="009D52A2"/>
    <w:rsid w:val="009D595A"/>
    <w:rsid w:val="009D6B36"/>
    <w:rsid w:val="009E29E2"/>
    <w:rsid w:val="009E5AC6"/>
    <w:rsid w:val="009E68AE"/>
    <w:rsid w:val="009F004E"/>
    <w:rsid w:val="00A10C02"/>
    <w:rsid w:val="00A13176"/>
    <w:rsid w:val="00A13ADD"/>
    <w:rsid w:val="00A17DE0"/>
    <w:rsid w:val="00A21D59"/>
    <w:rsid w:val="00A25DFA"/>
    <w:rsid w:val="00A2679B"/>
    <w:rsid w:val="00A31144"/>
    <w:rsid w:val="00A3557E"/>
    <w:rsid w:val="00A50085"/>
    <w:rsid w:val="00A55030"/>
    <w:rsid w:val="00A56B4C"/>
    <w:rsid w:val="00A715DE"/>
    <w:rsid w:val="00A76609"/>
    <w:rsid w:val="00A771E3"/>
    <w:rsid w:val="00A82740"/>
    <w:rsid w:val="00A97827"/>
    <w:rsid w:val="00AA3115"/>
    <w:rsid w:val="00AA42A4"/>
    <w:rsid w:val="00AA6D83"/>
    <w:rsid w:val="00AB43AC"/>
    <w:rsid w:val="00AB6641"/>
    <w:rsid w:val="00AC7B87"/>
    <w:rsid w:val="00AD0487"/>
    <w:rsid w:val="00AE09F8"/>
    <w:rsid w:val="00AE258E"/>
    <w:rsid w:val="00AE68AF"/>
    <w:rsid w:val="00AF2339"/>
    <w:rsid w:val="00AF7FB1"/>
    <w:rsid w:val="00B00DFA"/>
    <w:rsid w:val="00B03C92"/>
    <w:rsid w:val="00B03FEC"/>
    <w:rsid w:val="00B05E50"/>
    <w:rsid w:val="00B12B88"/>
    <w:rsid w:val="00B208D5"/>
    <w:rsid w:val="00B20D90"/>
    <w:rsid w:val="00B26135"/>
    <w:rsid w:val="00B26B48"/>
    <w:rsid w:val="00B30414"/>
    <w:rsid w:val="00B341D0"/>
    <w:rsid w:val="00B349B7"/>
    <w:rsid w:val="00B3681D"/>
    <w:rsid w:val="00B44F01"/>
    <w:rsid w:val="00B455FD"/>
    <w:rsid w:val="00B553F9"/>
    <w:rsid w:val="00B62BD8"/>
    <w:rsid w:val="00B62D5E"/>
    <w:rsid w:val="00B65F5E"/>
    <w:rsid w:val="00B7119B"/>
    <w:rsid w:val="00B728C7"/>
    <w:rsid w:val="00B77DF4"/>
    <w:rsid w:val="00B862EC"/>
    <w:rsid w:val="00B91769"/>
    <w:rsid w:val="00B9218C"/>
    <w:rsid w:val="00B94947"/>
    <w:rsid w:val="00BA4BD5"/>
    <w:rsid w:val="00BC30A8"/>
    <w:rsid w:val="00BC65DF"/>
    <w:rsid w:val="00BD0C09"/>
    <w:rsid w:val="00BE09BE"/>
    <w:rsid w:val="00BF57B0"/>
    <w:rsid w:val="00BF6309"/>
    <w:rsid w:val="00C04A78"/>
    <w:rsid w:val="00C122C7"/>
    <w:rsid w:val="00C13768"/>
    <w:rsid w:val="00C17D6E"/>
    <w:rsid w:val="00C20F0F"/>
    <w:rsid w:val="00C240DB"/>
    <w:rsid w:val="00C34C32"/>
    <w:rsid w:val="00C6264D"/>
    <w:rsid w:val="00C66B51"/>
    <w:rsid w:val="00C7384C"/>
    <w:rsid w:val="00C73A6A"/>
    <w:rsid w:val="00C746C3"/>
    <w:rsid w:val="00C76542"/>
    <w:rsid w:val="00C93B4F"/>
    <w:rsid w:val="00C9412B"/>
    <w:rsid w:val="00CA07B3"/>
    <w:rsid w:val="00CA65F6"/>
    <w:rsid w:val="00CB2C75"/>
    <w:rsid w:val="00CC0689"/>
    <w:rsid w:val="00CF7168"/>
    <w:rsid w:val="00D0334D"/>
    <w:rsid w:val="00D17E7A"/>
    <w:rsid w:val="00D22DD2"/>
    <w:rsid w:val="00D354CA"/>
    <w:rsid w:val="00D35AA5"/>
    <w:rsid w:val="00D41EF7"/>
    <w:rsid w:val="00D432CB"/>
    <w:rsid w:val="00D5238C"/>
    <w:rsid w:val="00D54616"/>
    <w:rsid w:val="00D60B60"/>
    <w:rsid w:val="00D62B7C"/>
    <w:rsid w:val="00D62EDB"/>
    <w:rsid w:val="00D630E6"/>
    <w:rsid w:val="00D77F97"/>
    <w:rsid w:val="00D812BE"/>
    <w:rsid w:val="00D86E03"/>
    <w:rsid w:val="00D87100"/>
    <w:rsid w:val="00D90345"/>
    <w:rsid w:val="00D91A20"/>
    <w:rsid w:val="00D91E61"/>
    <w:rsid w:val="00DA19AF"/>
    <w:rsid w:val="00DA596E"/>
    <w:rsid w:val="00DB183D"/>
    <w:rsid w:val="00DB49B4"/>
    <w:rsid w:val="00DD2C31"/>
    <w:rsid w:val="00DE3EDC"/>
    <w:rsid w:val="00DE3F8D"/>
    <w:rsid w:val="00DE604B"/>
    <w:rsid w:val="00DF0D75"/>
    <w:rsid w:val="00DF2C84"/>
    <w:rsid w:val="00DF5964"/>
    <w:rsid w:val="00E142EE"/>
    <w:rsid w:val="00E261CB"/>
    <w:rsid w:val="00E26D6F"/>
    <w:rsid w:val="00E33BB4"/>
    <w:rsid w:val="00E3490D"/>
    <w:rsid w:val="00E370D9"/>
    <w:rsid w:val="00E42378"/>
    <w:rsid w:val="00E4512C"/>
    <w:rsid w:val="00E50B20"/>
    <w:rsid w:val="00E512A2"/>
    <w:rsid w:val="00E513C9"/>
    <w:rsid w:val="00E5152A"/>
    <w:rsid w:val="00E653A9"/>
    <w:rsid w:val="00E70920"/>
    <w:rsid w:val="00E72426"/>
    <w:rsid w:val="00E8565C"/>
    <w:rsid w:val="00E935B0"/>
    <w:rsid w:val="00E96E36"/>
    <w:rsid w:val="00EA17C2"/>
    <w:rsid w:val="00EA4E90"/>
    <w:rsid w:val="00EA6501"/>
    <w:rsid w:val="00EC4A16"/>
    <w:rsid w:val="00EC5FCA"/>
    <w:rsid w:val="00EE1EB3"/>
    <w:rsid w:val="00EE5B30"/>
    <w:rsid w:val="00EF200A"/>
    <w:rsid w:val="00EF7F41"/>
    <w:rsid w:val="00F006F6"/>
    <w:rsid w:val="00F040F7"/>
    <w:rsid w:val="00F06945"/>
    <w:rsid w:val="00F14AE7"/>
    <w:rsid w:val="00F239D2"/>
    <w:rsid w:val="00F26285"/>
    <w:rsid w:val="00F27307"/>
    <w:rsid w:val="00F33796"/>
    <w:rsid w:val="00F525CC"/>
    <w:rsid w:val="00F532A7"/>
    <w:rsid w:val="00F53E56"/>
    <w:rsid w:val="00F61B82"/>
    <w:rsid w:val="00F61FB6"/>
    <w:rsid w:val="00F62BBF"/>
    <w:rsid w:val="00F70B9E"/>
    <w:rsid w:val="00F71CA7"/>
    <w:rsid w:val="00F73FEE"/>
    <w:rsid w:val="00F746B5"/>
    <w:rsid w:val="00F81B9D"/>
    <w:rsid w:val="00F82CA8"/>
    <w:rsid w:val="00F92ED7"/>
    <w:rsid w:val="00FA1EE7"/>
    <w:rsid w:val="00FA2D3D"/>
    <w:rsid w:val="00FA3153"/>
    <w:rsid w:val="00FB3C52"/>
    <w:rsid w:val="00FB613E"/>
    <w:rsid w:val="00FB64BB"/>
    <w:rsid w:val="00FD051F"/>
    <w:rsid w:val="00FD48FA"/>
    <w:rsid w:val="00FE2CBA"/>
    <w:rsid w:val="00FE45F7"/>
    <w:rsid w:val="00FF1CBE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usinfo.hr/Publication/Content.aspx?Sopi=NN2015B56A1095&amp;Ver=3" TargetMode="External"/><Relationship Id="rId18" Type="http://schemas.openxmlformats.org/officeDocument/2006/relationships/hyperlink" Target="http://www.iusinfo.hr/Publication/Content.aspx?Sopi=NN2015B61A1188&amp;Ver=4" TargetMode="External"/><Relationship Id="rId26" Type="http://schemas.openxmlformats.org/officeDocument/2006/relationships/hyperlink" Target="http://www.iusinfo.hr/Publication/Content.aspx?Sopi=NN2015B61A1188&amp;Ver=4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iusinfo.hr/Publication/Content.aspx?Sopi=NN2015B56A1095&amp;Ver=3" TargetMode="External"/><Relationship Id="rId34" Type="http://schemas.openxmlformats.org/officeDocument/2006/relationships/hyperlink" Target="http://www.iusinfo.hr/Publication/Content.aspx?Sopi=NN2015B61A1188&amp;Ver=4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iusinfo.hr/Publication/Content.aspx?Sopi=NN2012B144A3076&amp;Ver=2" TargetMode="External"/><Relationship Id="rId17" Type="http://schemas.openxmlformats.org/officeDocument/2006/relationships/hyperlink" Target="http://www.iusinfo.hr/Publication/Content.aspx?Sopi=NN2015B56A1095&amp;Ver=3" TargetMode="External"/><Relationship Id="rId25" Type="http://schemas.openxmlformats.org/officeDocument/2006/relationships/hyperlink" Target="http://www.iusinfo.hr/Publication/Content.aspx?Sopi=NN2015B56A1095&amp;Ver=3" TargetMode="External"/><Relationship Id="rId33" Type="http://schemas.openxmlformats.org/officeDocument/2006/relationships/hyperlink" Target="http://www.iusinfo.hr/Publication/Content.aspx?Sopi=NN2015B56A1095&amp;Ver=3" TargetMode="External"/><Relationship Id="rId38" Type="http://schemas.openxmlformats.org/officeDocument/2006/relationships/footer" Target="footer2.xml"/><Relationship Id="rId46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www.iusinfo.hr/Publication/Content.aspx?Sopi=NN2012B144A3076&amp;Ver=2" TargetMode="External"/><Relationship Id="rId20" Type="http://schemas.openxmlformats.org/officeDocument/2006/relationships/hyperlink" Target="http://www.iusinfo.hr/Publication/Content.aspx?Sopi=NN2012B144A3076&amp;Ver=2" TargetMode="External"/><Relationship Id="rId29" Type="http://schemas.openxmlformats.org/officeDocument/2006/relationships/hyperlink" Target="http://www.iusinfo.hr/Publication/Content.aspx?Sopi=NN2015B56A1095&amp;Ver=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usinfo.hr/Publication/Content.aspx?Sopi=NN2011B125A2498&amp;Ver=1" TargetMode="External"/><Relationship Id="rId24" Type="http://schemas.openxmlformats.org/officeDocument/2006/relationships/hyperlink" Target="http://www.iusinfo.hr/Publication/Content.aspx?Sopi=NN2012B144A3076&amp;Ver=2" TargetMode="External"/><Relationship Id="rId32" Type="http://schemas.openxmlformats.org/officeDocument/2006/relationships/hyperlink" Target="http://www.iusinfo.hr/Publication/Content.aspx?Sopi=NN2012B144A3076&amp;Ver=2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iusinfo.hr/Publication/Content.aspx?Sopi=NN2011B125A2498&amp;Ver=1" TargetMode="External"/><Relationship Id="rId23" Type="http://schemas.openxmlformats.org/officeDocument/2006/relationships/hyperlink" Target="http://www.iusinfo.hr/Publication/Content.aspx?Sopi=NN2011B125A2498&amp;Ver=1" TargetMode="External"/><Relationship Id="rId28" Type="http://schemas.openxmlformats.org/officeDocument/2006/relationships/hyperlink" Target="http://www.iusinfo.hr/Publication/Content.aspx?Sopi=NN2012B144A3076&amp;Ver=2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iusinfo.hr/Publication/Content.aspx?Sopi=NN2011B125A2498&amp;Ver=1" TargetMode="External"/><Relationship Id="rId31" Type="http://schemas.openxmlformats.org/officeDocument/2006/relationships/hyperlink" Target="http://www.iusinfo.hr/Publication/Content.aspx?Sopi=NN2011B125A2498&amp;V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usinfo.hr/Publication/Content.aspx?Sopi=NN2015B61A1188&amp;Ver=4" TargetMode="External"/><Relationship Id="rId22" Type="http://schemas.openxmlformats.org/officeDocument/2006/relationships/hyperlink" Target="http://www.iusinfo.hr/Publication/Content.aspx?Sopi=NN2015B61A1188&amp;Ver=4" TargetMode="External"/><Relationship Id="rId27" Type="http://schemas.openxmlformats.org/officeDocument/2006/relationships/hyperlink" Target="http://www.iusinfo.hr/Publication/Content.aspx?Sopi=NN2011B125A2498&amp;Ver=1" TargetMode="External"/><Relationship Id="rId30" Type="http://schemas.openxmlformats.org/officeDocument/2006/relationships/hyperlink" Target="http://www.iusinfo.hr/Publication/Content.aspx?Sopi=NN2015B61A1188&amp;Ver=4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9" ma:contentTypeDescription="Stvaranje novog dokumenta." ma:contentTypeScope="" ma:versionID="27bad7a6854f334f7fb522cdbd44d2e1">
  <xsd:schema xmlns:xsd="http://www.w3.org/2001/XMLSchema" xmlns:xs="http://www.w3.org/2001/XMLSchema" xmlns:p="http://schemas.microsoft.com/office/2006/metadata/properties" xmlns:ns2="e7897449-8e6f-4cef-be58-e81a4abd4035" xmlns:ns3="7397057a-053e-462f-a29a-3130029afbdb" xmlns:ns4="9c73cf37-9758-4b39-9087-94f5637dc9a9" targetNamespace="http://schemas.microsoft.com/office/2006/metadata/properties" ma:root="true" ma:fieldsID="a8ac3c5393cf81c538daa089d3031dc7" ns2:_="" ns3:_="" ns4:_="">
    <xsd:import namespace="e7897449-8e6f-4cef-be58-e81a4abd4035"/>
    <xsd:import namespace="7397057a-053e-462f-a29a-3130029afbdb"/>
    <xsd:import namespace="9c73cf37-9758-4b39-9087-94f5637dc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3cf37-9758-4b39-9087-94f5637dc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8EC9-B967-41FF-ACC0-2EC8C604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9c73cf37-9758-4b39-9087-94f5637dc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71483-B2BE-4B5B-80DD-3E98435E1C65}">
  <ds:schemaRefs>
    <ds:schemaRef ds:uri="http://purl.org/dc/elements/1.1/"/>
    <ds:schemaRef ds:uri="http://schemas.microsoft.com/office/2006/metadata/properties"/>
    <ds:schemaRef ds:uri="9c73cf37-9758-4b39-9087-94f5637dc9a9"/>
    <ds:schemaRef ds:uri="http://purl.org/dc/terms/"/>
    <ds:schemaRef ds:uri="e7897449-8e6f-4cef-be58-e81a4abd4035"/>
    <ds:schemaRef ds:uri="7397057a-053e-462f-a29a-3130029af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931F95-4B6F-4EE7-9619-29118533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2419A-75E5-4787-9E95-80148636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Sandra Lušetić</cp:lastModifiedBy>
  <cp:revision>3</cp:revision>
  <cp:lastPrinted>2017-06-26T08:37:00Z</cp:lastPrinted>
  <dcterms:created xsi:type="dcterms:W3CDTF">2018-10-22T11:32:00Z</dcterms:created>
  <dcterms:modified xsi:type="dcterms:W3CDTF">2018-10-22T11:32:00Z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0x01010016854C3C86770C4BB558ED0DB2F48256</vt:lpwstr>
  </property>
</Properties>
</file>