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9C96E" w14:textId="77777777" w:rsidR="00307A8B" w:rsidRPr="00E6737D" w:rsidRDefault="00307A8B" w:rsidP="00CB16A2">
      <w:pPr>
        <w:tabs>
          <w:tab w:val="center" w:pos="4536"/>
          <w:tab w:val="right" w:pos="9072"/>
        </w:tabs>
        <w:spacing w:after="0" w:line="240" w:lineRule="auto"/>
        <w:jc w:val="center"/>
        <w:rPr>
          <w:rFonts w:asciiTheme="minorHAnsi" w:hAnsiTheme="minorHAnsi"/>
          <w:i/>
        </w:rPr>
      </w:pPr>
      <w:bookmarkStart w:id="0" w:name="_GoBack"/>
      <w:bookmarkEnd w:id="0"/>
      <w:r w:rsidRPr="00E6737D">
        <w:rPr>
          <w:rFonts w:asciiTheme="minorHAnsi" w:hAnsiTheme="minorHAnsi"/>
          <w:i/>
        </w:rPr>
        <w:t>Ovaj poziv se financira iz Europskog fonda za regionalni razvoj</w:t>
      </w:r>
    </w:p>
    <w:p w14:paraId="1C6E8001" w14:textId="77777777" w:rsidR="00307A8B" w:rsidRPr="00952795" w:rsidRDefault="00307A8B" w:rsidP="00CB16A2">
      <w:pPr>
        <w:spacing w:before="120" w:after="120" w:line="240" w:lineRule="auto"/>
        <w:rPr>
          <w:rFonts w:asciiTheme="minorHAnsi" w:hAnsiTheme="minorHAnsi"/>
          <w:b/>
          <w:sz w:val="24"/>
        </w:rPr>
      </w:pPr>
    </w:p>
    <w:p w14:paraId="2046545B" w14:textId="736D3DB6" w:rsidR="00E2283F" w:rsidRDefault="00805C40" w:rsidP="00CB16A2">
      <w:pPr>
        <w:spacing w:before="120" w:after="120" w:line="240" w:lineRule="auto"/>
        <w:jc w:val="center"/>
        <w:rPr>
          <w:rFonts w:asciiTheme="minorHAnsi" w:hAnsiTheme="minorHAnsi"/>
          <w:b/>
          <w:sz w:val="24"/>
        </w:rPr>
      </w:pPr>
      <w:r w:rsidRPr="00952795">
        <w:rPr>
          <w:rFonts w:asciiTheme="minorHAnsi" w:hAnsiTheme="minorHAnsi"/>
          <w:b/>
          <w:sz w:val="24"/>
        </w:rPr>
        <w:t>Smjerni</w:t>
      </w:r>
      <w:r w:rsidR="00307A8B" w:rsidRPr="00952795">
        <w:rPr>
          <w:rFonts w:asciiTheme="minorHAnsi" w:hAnsiTheme="minorHAnsi"/>
          <w:b/>
          <w:sz w:val="24"/>
        </w:rPr>
        <w:t xml:space="preserve">ce </w:t>
      </w:r>
      <w:r w:rsidR="000E5B4B">
        <w:rPr>
          <w:rFonts w:asciiTheme="minorHAnsi" w:hAnsiTheme="minorHAnsi"/>
          <w:b/>
          <w:sz w:val="24"/>
        </w:rPr>
        <w:t xml:space="preserve">o uvjetima glede </w:t>
      </w:r>
    </w:p>
    <w:p w14:paraId="08021727" w14:textId="50641562" w:rsidR="00CE311C" w:rsidRPr="00952795" w:rsidRDefault="00307A8B" w:rsidP="00E2283F">
      <w:pPr>
        <w:spacing w:before="120" w:after="120" w:line="240" w:lineRule="auto"/>
        <w:jc w:val="center"/>
        <w:rPr>
          <w:rFonts w:asciiTheme="minorHAnsi" w:hAnsiTheme="minorHAnsi"/>
          <w:b/>
          <w:sz w:val="24"/>
        </w:rPr>
      </w:pPr>
      <w:r w:rsidRPr="00952795">
        <w:rPr>
          <w:rFonts w:asciiTheme="minorHAnsi" w:hAnsiTheme="minorHAnsi"/>
          <w:b/>
          <w:sz w:val="24"/>
        </w:rPr>
        <w:t>pravila o</w:t>
      </w:r>
      <w:r w:rsidR="00CE311C" w:rsidRPr="00952795">
        <w:rPr>
          <w:rFonts w:asciiTheme="minorHAnsi" w:hAnsiTheme="minorHAnsi"/>
          <w:b/>
          <w:sz w:val="24"/>
        </w:rPr>
        <w:t xml:space="preserve"> državni</w:t>
      </w:r>
      <w:r w:rsidRPr="00952795">
        <w:rPr>
          <w:rFonts w:asciiTheme="minorHAnsi" w:hAnsiTheme="minorHAnsi"/>
          <w:b/>
          <w:sz w:val="24"/>
        </w:rPr>
        <w:t>m</w:t>
      </w:r>
      <w:r w:rsidR="00CE311C" w:rsidRPr="00952795">
        <w:rPr>
          <w:rFonts w:asciiTheme="minorHAnsi" w:hAnsiTheme="minorHAnsi"/>
          <w:b/>
          <w:sz w:val="24"/>
        </w:rPr>
        <w:t xml:space="preserve"> potpora</w:t>
      </w:r>
      <w:r w:rsidRPr="00952795">
        <w:rPr>
          <w:rFonts w:asciiTheme="minorHAnsi" w:hAnsiTheme="minorHAnsi"/>
          <w:b/>
          <w:sz w:val="24"/>
        </w:rPr>
        <w:t>ma</w:t>
      </w:r>
    </w:p>
    <w:p w14:paraId="0A260F81" w14:textId="77777777" w:rsidR="00307A8B" w:rsidRPr="00E6737D" w:rsidRDefault="00307A8B" w:rsidP="00CB16A2">
      <w:pPr>
        <w:spacing w:before="120" w:after="120" w:line="240" w:lineRule="auto"/>
        <w:jc w:val="center"/>
        <w:rPr>
          <w:rFonts w:asciiTheme="minorHAnsi" w:hAnsiTheme="minorHAnsi"/>
          <w:b/>
        </w:rPr>
      </w:pPr>
    </w:p>
    <w:p w14:paraId="73D93FAF" w14:textId="68526BBD" w:rsidR="00307A8B" w:rsidRPr="00E6737D" w:rsidRDefault="00307A8B" w:rsidP="00CB16A2">
      <w:pPr>
        <w:spacing w:after="0" w:line="240" w:lineRule="auto"/>
        <w:jc w:val="both"/>
        <w:rPr>
          <w:rFonts w:asciiTheme="minorHAnsi" w:hAnsiTheme="minorHAnsi" w:cs="Times New Roman"/>
        </w:rPr>
      </w:pPr>
      <w:r w:rsidRPr="00E6737D">
        <w:rPr>
          <w:rFonts w:asciiTheme="minorHAnsi" w:hAnsiTheme="minorHAnsi" w:cs="Times New Roman"/>
        </w:rPr>
        <w:t>Ovaj Prilog sastavni je dio Uputa</w:t>
      </w:r>
      <w:r w:rsidR="00083573" w:rsidRPr="00E6737D">
        <w:rPr>
          <w:rFonts w:asciiTheme="minorHAnsi" w:hAnsiTheme="minorHAnsi" w:cs="Times New Roman"/>
        </w:rPr>
        <w:t xml:space="preserve"> za prijavitelje</w:t>
      </w:r>
      <w:r w:rsidRPr="00E6737D">
        <w:rPr>
          <w:rFonts w:asciiTheme="minorHAnsi" w:hAnsiTheme="minorHAnsi" w:cs="Times New Roman"/>
        </w:rPr>
        <w:t>,</w:t>
      </w:r>
      <w:r w:rsidRPr="00E6737D">
        <w:rPr>
          <w:rFonts w:asciiTheme="minorHAnsi" w:hAnsiTheme="minorHAnsi"/>
        </w:rPr>
        <w:t xml:space="preserve"> </w:t>
      </w:r>
      <w:r w:rsidRPr="00E6737D">
        <w:rPr>
          <w:rFonts w:asciiTheme="minorHAnsi" w:hAnsiTheme="minorHAnsi" w:cs="Times New Roman"/>
        </w:rPr>
        <w:t>u okviru Poziva na dostavu projektnih prijedloga ''Priprema IRI infrastrukturnih projekata'' (u daljnjem tekstu: Poziv) čiji je cilj informirati potencijalne prijavitelje o primjeni pravila o državnim potporama koja se odnose na područje istraživanja, razvoja i inovacija u kontekstu ovog Poziva.</w:t>
      </w:r>
      <w:r w:rsidRPr="00E6737D" w:rsidDel="006C364E">
        <w:rPr>
          <w:rFonts w:asciiTheme="minorHAnsi" w:hAnsiTheme="minorHAnsi" w:cs="Times New Roman"/>
        </w:rPr>
        <w:t xml:space="preserve"> </w:t>
      </w:r>
    </w:p>
    <w:p w14:paraId="706D1E1F" w14:textId="77777777" w:rsidR="00307A8B" w:rsidRPr="00E2283F" w:rsidRDefault="00307A8B" w:rsidP="00CB16A2">
      <w:pPr>
        <w:spacing w:after="0" w:line="240" w:lineRule="auto"/>
        <w:jc w:val="both"/>
        <w:rPr>
          <w:rFonts w:asciiTheme="minorHAnsi" w:hAnsiTheme="minorHAnsi" w:cs="Times New Roman"/>
          <w:sz w:val="12"/>
        </w:rPr>
      </w:pPr>
    </w:p>
    <w:p w14:paraId="57D7F4D3" w14:textId="191DEF81" w:rsidR="001C2DE2" w:rsidRPr="007315FC" w:rsidRDefault="00307A8B" w:rsidP="00CB16A2">
      <w:pPr>
        <w:spacing w:after="0" w:line="240" w:lineRule="auto"/>
        <w:jc w:val="both"/>
        <w:rPr>
          <w:rFonts w:asciiTheme="minorHAnsi" w:hAnsiTheme="minorHAnsi" w:cs="Times New Roman"/>
        </w:rPr>
      </w:pPr>
      <w:r w:rsidRPr="007315FC">
        <w:rPr>
          <w:rFonts w:asciiTheme="minorHAnsi" w:hAnsiTheme="minorHAnsi" w:cs="Times New Roman"/>
        </w:rPr>
        <w:t>Ove Smjernice temelje se na Okviru Zajednice za državne potpore za istraživanje, razvoj i inovacije</w:t>
      </w:r>
      <w:r w:rsidR="001C2DE2" w:rsidRPr="007315FC">
        <w:rPr>
          <w:rStyle w:val="FootnoteReference"/>
          <w:rFonts w:asciiTheme="minorHAnsi" w:hAnsiTheme="minorHAnsi" w:cs="Times New Roman"/>
        </w:rPr>
        <w:footnoteReference w:id="1"/>
      </w:r>
      <w:r w:rsidRPr="007315FC">
        <w:rPr>
          <w:rFonts w:asciiTheme="minorHAnsi" w:hAnsiTheme="minorHAnsi" w:cs="Times New Roman"/>
        </w:rPr>
        <w:t xml:space="preserve"> (2014/C 198/01) (u daljnjem tekstu, “Okvir Zajednice”) koji je donijela Europska komisija, a koji utvrđuje detaljna pravila koja se odnose na postojanje državnih potpora u pr</w:t>
      </w:r>
      <w:r w:rsidR="001C2DE2" w:rsidRPr="007315FC">
        <w:rPr>
          <w:rFonts w:asciiTheme="minorHAnsi" w:hAnsiTheme="minorHAnsi" w:cs="Times New Roman"/>
        </w:rPr>
        <w:t>ojektima istraživanja i razvoja</w:t>
      </w:r>
      <w:r w:rsidR="00063846">
        <w:rPr>
          <w:rFonts w:asciiTheme="minorHAnsi" w:hAnsiTheme="minorHAnsi" w:cs="Times New Roman"/>
        </w:rPr>
        <w:t>.</w:t>
      </w:r>
      <w:r w:rsidR="001C2DE2" w:rsidRPr="007315FC">
        <w:rPr>
          <w:rFonts w:asciiTheme="minorHAnsi" w:hAnsiTheme="minorHAnsi" w:cs="Times New Roman"/>
        </w:rPr>
        <w:t xml:space="preserve"> </w:t>
      </w:r>
    </w:p>
    <w:p w14:paraId="462E6219" w14:textId="1310B663" w:rsidR="00307A8B" w:rsidRPr="00E2283F" w:rsidRDefault="001C2DE2" w:rsidP="00CB16A2">
      <w:pPr>
        <w:spacing w:after="0" w:line="240" w:lineRule="auto"/>
        <w:jc w:val="both"/>
        <w:rPr>
          <w:rFonts w:asciiTheme="minorHAnsi" w:hAnsiTheme="minorHAnsi"/>
          <w:sz w:val="18"/>
          <w:szCs w:val="24"/>
        </w:rPr>
      </w:pPr>
      <w:r w:rsidRPr="00A3344A">
        <w:rPr>
          <w:rFonts w:asciiTheme="minorHAnsi" w:hAnsiTheme="minorHAnsi"/>
          <w:sz w:val="24"/>
          <w:szCs w:val="24"/>
        </w:rPr>
        <w:t xml:space="preserve"> </w:t>
      </w:r>
    </w:p>
    <w:p w14:paraId="7C7630E5" w14:textId="2C79D51F" w:rsidR="00307A8B" w:rsidRPr="00E6737D" w:rsidRDefault="00307A8B" w:rsidP="00CB16A2">
      <w:pPr>
        <w:spacing w:after="0" w:line="240" w:lineRule="auto"/>
        <w:jc w:val="both"/>
        <w:rPr>
          <w:rFonts w:asciiTheme="minorHAnsi" w:hAnsiTheme="minorHAnsi" w:cs="Times New Roman"/>
        </w:rPr>
      </w:pPr>
      <w:r w:rsidRPr="00E6737D">
        <w:rPr>
          <w:rFonts w:asciiTheme="minorHAnsi" w:hAnsiTheme="minorHAnsi" w:cs="Times New Roman"/>
        </w:rPr>
        <w:t>Da bi potpora bila klasificirana kao državna potpora moraju biti</w:t>
      </w:r>
      <w:r w:rsidR="006D4947">
        <w:rPr>
          <w:rFonts w:asciiTheme="minorHAnsi" w:hAnsiTheme="minorHAnsi" w:cs="Times New Roman"/>
        </w:rPr>
        <w:t xml:space="preserve"> kumulativno zadovoljena</w:t>
      </w:r>
      <w:r w:rsidRPr="00E6737D">
        <w:rPr>
          <w:rFonts w:asciiTheme="minorHAnsi" w:hAnsiTheme="minorHAnsi" w:cs="Times New Roman"/>
        </w:rPr>
        <w:t xml:space="preserve"> sljedeća četiri kriterija</w:t>
      </w:r>
      <w:r w:rsidRPr="00E6737D">
        <w:rPr>
          <w:rStyle w:val="FootnoteReference"/>
          <w:rFonts w:asciiTheme="minorHAnsi" w:hAnsiTheme="minorHAnsi" w:cs="Times New Roman"/>
        </w:rPr>
        <w:footnoteReference w:id="2"/>
      </w:r>
      <w:r w:rsidRPr="00E6737D">
        <w:rPr>
          <w:rFonts w:asciiTheme="minorHAnsi" w:hAnsiTheme="minorHAnsi" w:cs="Times New Roman"/>
        </w:rPr>
        <w:t xml:space="preserve">: </w:t>
      </w:r>
    </w:p>
    <w:p w14:paraId="5D3EBCE6" w14:textId="77777777" w:rsidR="00307A8B" w:rsidRPr="00E6737D" w:rsidRDefault="00307A8B" w:rsidP="00CB16A2">
      <w:pPr>
        <w:pStyle w:val="ListParagraph"/>
        <w:numPr>
          <w:ilvl w:val="0"/>
          <w:numId w:val="20"/>
        </w:numPr>
        <w:spacing w:after="0" w:line="240" w:lineRule="auto"/>
        <w:jc w:val="both"/>
        <w:rPr>
          <w:rFonts w:asciiTheme="minorHAnsi" w:hAnsiTheme="minorHAnsi" w:cs="Times New Roman"/>
        </w:rPr>
      </w:pPr>
      <w:r w:rsidRPr="00E6737D">
        <w:rPr>
          <w:rFonts w:asciiTheme="minorHAnsi" w:hAnsiTheme="minorHAnsi" w:cs="Times New Roman"/>
        </w:rPr>
        <w:t xml:space="preserve">da sredstva dodjeljuje država odnosno da je riječ o javnim sredstvima u bilo kojem obliku; </w:t>
      </w:r>
    </w:p>
    <w:p w14:paraId="4AE19933" w14:textId="77777777" w:rsidR="00307A8B" w:rsidRPr="00E6737D" w:rsidRDefault="00307A8B" w:rsidP="00CB16A2">
      <w:pPr>
        <w:pStyle w:val="ListParagraph"/>
        <w:numPr>
          <w:ilvl w:val="0"/>
          <w:numId w:val="20"/>
        </w:numPr>
        <w:spacing w:after="0" w:line="240" w:lineRule="auto"/>
        <w:jc w:val="both"/>
        <w:rPr>
          <w:rFonts w:asciiTheme="minorHAnsi" w:hAnsiTheme="minorHAnsi" w:cs="Times New Roman"/>
        </w:rPr>
      </w:pPr>
      <w:r w:rsidRPr="00E6737D">
        <w:rPr>
          <w:rFonts w:asciiTheme="minorHAnsi" w:hAnsiTheme="minorHAnsi" w:cs="Times New Roman"/>
        </w:rPr>
        <w:t xml:space="preserve">da potpora predstavlja selektivnu ekonomsku prednost stavljanjem određenih poduzetnika ili proizvodnju određene robe u povoljniji položaj; </w:t>
      </w:r>
    </w:p>
    <w:p w14:paraId="4BBF049B" w14:textId="77777777" w:rsidR="00307A8B" w:rsidRPr="00E6737D" w:rsidRDefault="00307A8B" w:rsidP="00CB16A2">
      <w:pPr>
        <w:pStyle w:val="ListParagraph"/>
        <w:numPr>
          <w:ilvl w:val="0"/>
          <w:numId w:val="20"/>
        </w:numPr>
        <w:spacing w:after="0" w:line="240" w:lineRule="auto"/>
        <w:jc w:val="both"/>
        <w:rPr>
          <w:rFonts w:asciiTheme="minorHAnsi" w:hAnsiTheme="minorHAnsi" w:cs="Times New Roman"/>
        </w:rPr>
      </w:pPr>
      <w:r w:rsidRPr="00E6737D">
        <w:rPr>
          <w:rFonts w:asciiTheme="minorHAnsi" w:hAnsiTheme="minorHAnsi" w:cs="Times New Roman"/>
        </w:rPr>
        <w:t xml:space="preserve">da potpora narušava ili prijeti narušavanjem tržišnog natjecanja; </w:t>
      </w:r>
    </w:p>
    <w:p w14:paraId="7A20884B" w14:textId="77777777" w:rsidR="00307A8B" w:rsidRPr="00E6737D" w:rsidRDefault="00307A8B" w:rsidP="00CB16A2">
      <w:pPr>
        <w:pStyle w:val="ListParagraph"/>
        <w:numPr>
          <w:ilvl w:val="0"/>
          <w:numId w:val="20"/>
        </w:numPr>
        <w:spacing w:after="0" w:line="240" w:lineRule="auto"/>
        <w:jc w:val="both"/>
        <w:rPr>
          <w:rFonts w:asciiTheme="minorHAnsi" w:hAnsiTheme="minorHAnsi" w:cs="Times New Roman"/>
        </w:rPr>
      </w:pPr>
      <w:r w:rsidRPr="00E6737D">
        <w:rPr>
          <w:rFonts w:asciiTheme="minorHAnsi" w:hAnsiTheme="minorHAnsi" w:cs="Times New Roman"/>
        </w:rPr>
        <w:t xml:space="preserve">utječe na trgovinu među državama članicama. </w:t>
      </w:r>
    </w:p>
    <w:p w14:paraId="291834C0" w14:textId="77777777" w:rsidR="00307A8B" w:rsidRPr="00E2283F" w:rsidRDefault="00307A8B" w:rsidP="00CB16A2">
      <w:pPr>
        <w:spacing w:after="0" w:line="240" w:lineRule="auto"/>
        <w:ind w:left="360"/>
        <w:jc w:val="both"/>
        <w:rPr>
          <w:rFonts w:asciiTheme="minorHAnsi" w:hAnsiTheme="minorHAnsi" w:cs="Times New Roman"/>
          <w:sz w:val="14"/>
        </w:rPr>
      </w:pPr>
    </w:p>
    <w:p w14:paraId="33161B2F" w14:textId="6677FD29" w:rsidR="00EC1AA6" w:rsidRDefault="00EC1AA6" w:rsidP="00CB16A2">
      <w:pPr>
        <w:spacing w:after="0" w:line="240" w:lineRule="auto"/>
        <w:jc w:val="both"/>
        <w:rPr>
          <w:rFonts w:asciiTheme="minorHAnsi" w:hAnsiTheme="minorHAnsi"/>
          <w:szCs w:val="24"/>
        </w:rPr>
      </w:pPr>
      <w:r w:rsidRPr="0013066A">
        <w:rPr>
          <w:rFonts w:asciiTheme="minorHAnsi" w:hAnsiTheme="minorHAnsi"/>
          <w:szCs w:val="24"/>
        </w:rPr>
        <w:t>Prijavitelji u okviru ovog Poziva su znanstvene organizacije upisane u Up</w:t>
      </w:r>
      <w:r w:rsidR="006D4947">
        <w:rPr>
          <w:rFonts w:asciiTheme="minorHAnsi" w:hAnsiTheme="minorHAnsi"/>
          <w:szCs w:val="24"/>
        </w:rPr>
        <w:t xml:space="preserve">isnik znanstvenih organizacija </w:t>
      </w:r>
      <w:r w:rsidRPr="0013066A">
        <w:rPr>
          <w:rFonts w:asciiTheme="minorHAnsi" w:hAnsiTheme="minorHAnsi"/>
          <w:szCs w:val="24"/>
        </w:rPr>
        <w:t xml:space="preserve"> koje ispunjavaju kriterije za istraživačku organizaciju prema odredbama Okvira Zajednice. </w:t>
      </w:r>
    </w:p>
    <w:p w14:paraId="4BE884DD" w14:textId="77777777" w:rsidR="0013066A" w:rsidRPr="0013066A" w:rsidRDefault="0013066A" w:rsidP="00CB16A2">
      <w:pPr>
        <w:spacing w:after="0" w:line="240" w:lineRule="auto"/>
        <w:jc w:val="both"/>
        <w:rPr>
          <w:rFonts w:asciiTheme="minorHAnsi" w:hAnsiTheme="minorHAnsi"/>
          <w:szCs w:val="24"/>
        </w:rPr>
      </w:pPr>
    </w:p>
    <w:tbl>
      <w:tblPr>
        <w:tblStyle w:val="TableGrid1"/>
        <w:tblW w:w="0" w:type="auto"/>
        <w:tblInd w:w="279" w:type="dxa"/>
        <w:shd w:val="clear" w:color="auto" w:fill="B8CCE4" w:themeFill="accent1" w:themeFillTint="66"/>
        <w:tblLook w:val="04A0" w:firstRow="1" w:lastRow="0" w:firstColumn="1" w:lastColumn="0" w:noHBand="0" w:noVBand="1"/>
      </w:tblPr>
      <w:tblGrid>
        <w:gridCol w:w="8783"/>
      </w:tblGrid>
      <w:tr w:rsidR="00EC1AA6" w:rsidRPr="00EC1AA6" w14:paraId="75307058" w14:textId="77777777" w:rsidTr="008C1300">
        <w:tc>
          <w:tcPr>
            <w:tcW w:w="8783" w:type="dxa"/>
            <w:shd w:val="clear" w:color="auto" w:fill="B8CCE4" w:themeFill="accent1" w:themeFillTint="66"/>
          </w:tcPr>
          <w:p w14:paraId="721D9D82" w14:textId="45E64C54" w:rsidR="00EC1AA6" w:rsidRPr="00EC1AA6" w:rsidRDefault="00EC1AA6" w:rsidP="00CB16A2">
            <w:pPr>
              <w:spacing w:before="120" w:after="120"/>
              <w:jc w:val="both"/>
              <w:rPr>
                <w:rFonts w:asciiTheme="minorHAnsi" w:hAnsiTheme="minorHAnsi"/>
              </w:rPr>
            </w:pPr>
            <w:r w:rsidRPr="00EC1AA6">
              <w:rPr>
                <w:rFonts w:asciiTheme="minorHAnsi" w:hAnsiTheme="minorHAnsi"/>
                <w:b/>
                <w:i/>
              </w:rPr>
              <w:t>Istraživačka/znanstvena organizacija ili organizacija za istraživanje i širenje znanja</w:t>
            </w:r>
            <w:r w:rsidRPr="00EC1AA6">
              <w:rPr>
                <w:rFonts w:asciiTheme="minorHAnsi" w:hAnsiTheme="minorHAnsi"/>
              </w:rPr>
              <w:t xml:space="preserve"> 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 Ako taj subjekt obavlja i ekonomske djelatnosti, financiranje, troškovi i prihodi tih ekonomskih djelatnosti moraju se obračunati zasebno. Poduzetnici koji imaju presudan utjecaj na takav subjekt, na primjer kao vlasnici udjela u njemu ili kao njegovi članovi, nemaju povlašteni pristup rezultatima koje subjekt proizvede. (Vidi poglavlje 1.3 Okvira Zajednice).</w:t>
            </w:r>
          </w:p>
        </w:tc>
      </w:tr>
    </w:tbl>
    <w:p w14:paraId="323DFFFB" w14:textId="77777777" w:rsidR="0013066A" w:rsidRDefault="0013066A" w:rsidP="00CB16A2">
      <w:pPr>
        <w:spacing w:after="0" w:line="240" w:lineRule="auto"/>
        <w:jc w:val="both"/>
        <w:rPr>
          <w:rFonts w:asciiTheme="minorHAnsi" w:hAnsiTheme="minorHAnsi"/>
          <w:sz w:val="24"/>
          <w:szCs w:val="24"/>
        </w:rPr>
      </w:pPr>
    </w:p>
    <w:p w14:paraId="2D0FC27E" w14:textId="77777777" w:rsidR="00EC1AA6" w:rsidRDefault="00EC1AA6" w:rsidP="00CB16A2">
      <w:pPr>
        <w:spacing w:after="0" w:line="240" w:lineRule="auto"/>
        <w:jc w:val="both"/>
        <w:rPr>
          <w:rFonts w:asciiTheme="minorHAnsi" w:hAnsiTheme="minorHAnsi"/>
          <w:szCs w:val="24"/>
        </w:rPr>
      </w:pPr>
      <w:r w:rsidRPr="006D4947">
        <w:rPr>
          <w:rFonts w:asciiTheme="minorHAnsi" w:hAnsiTheme="minorHAnsi"/>
          <w:szCs w:val="24"/>
        </w:rPr>
        <w:lastRenderedPageBreak/>
        <w:t>Znanstvene organizacije dužne su dokazati sukladnost navedenoj definiciji Okvira zajednice i to putem statuta ili drugog akta prijavitelja.</w:t>
      </w:r>
    </w:p>
    <w:p w14:paraId="2A952DBD" w14:textId="77777777" w:rsidR="00E2283F" w:rsidRPr="00E2283F" w:rsidRDefault="00E2283F" w:rsidP="00CB16A2">
      <w:pPr>
        <w:spacing w:after="0" w:line="240" w:lineRule="auto"/>
        <w:jc w:val="both"/>
        <w:rPr>
          <w:rFonts w:asciiTheme="minorHAnsi" w:hAnsiTheme="minorHAnsi"/>
          <w:sz w:val="14"/>
          <w:szCs w:val="24"/>
        </w:rPr>
      </w:pPr>
    </w:p>
    <w:p w14:paraId="50A5152B" w14:textId="77777777" w:rsidR="00EC1AA6" w:rsidRPr="0013066A" w:rsidRDefault="00EC1AA6" w:rsidP="00E2283F">
      <w:pPr>
        <w:spacing w:after="0" w:line="240" w:lineRule="auto"/>
        <w:jc w:val="both"/>
        <w:rPr>
          <w:rFonts w:asciiTheme="minorHAnsi" w:hAnsiTheme="minorHAnsi"/>
          <w:szCs w:val="24"/>
        </w:rPr>
      </w:pPr>
      <w:r w:rsidRPr="0013066A">
        <w:rPr>
          <w:rFonts w:asciiTheme="minorHAnsi" w:hAnsiTheme="minorHAnsi"/>
          <w:szCs w:val="24"/>
        </w:rPr>
        <w:t>Državne potpore dodjeljuju se samo za ekonomsku djelatnost nekog subjekta. Sredstva koja se dodjeljuju za djelatnosti koje su neekonomskog karaktera, ne smatraju se državnim potporama.</w:t>
      </w:r>
    </w:p>
    <w:p w14:paraId="6829F1B4" w14:textId="38B17FC9" w:rsidR="00EC1AA6" w:rsidRPr="0013066A" w:rsidRDefault="00EC1AA6" w:rsidP="00E2283F">
      <w:pPr>
        <w:spacing w:after="0" w:line="240" w:lineRule="auto"/>
        <w:jc w:val="both"/>
        <w:rPr>
          <w:rFonts w:asciiTheme="minorHAnsi" w:hAnsiTheme="minorHAnsi"/>
          <w:szCs w:val="24"/>
        </w:rPr>
      </w:pPr>
      <w:r w:rsidRPr="0013066A">
        <w:rPr>
          <w:rFonts w:asciiTheme="minorHAnsi" w:hAnsiTheme="minorHAnsi"/>
          <w:b/>
          <w:color w:val="FF0000"/>
          <w:szCs w:val="24"/>
        </w:rPr>
        <w:t>Sredstva dodijeljena temeljem ovog Poziva prijavitelji ne smiju koristiti za ekonomske djelatnosti i to su dužni navesti u Izjavi</w:t>
      </w:r>
      <w:r w:rsidRPr="0013066A">
        <w:rPr>
          <w:rFonts w:asciiTheme="minorHAnsi" w:hAnsiTheme="minorHAnsi"/>
          <w:color w:val="FF0000"/>
          <w:szCs w:val="24"/>
        </w:rPr>
        <w:t xml:space="preserve"> </w:t>
      </w:r>
      <w:r w:rsidR="00EA01B4">
        <w:rPr>
          <w:rFonts w:asciiTheme="minorHAnsi" w:hAnsiTheme="minorHAnsi"/>
          <w:szCs w:val="24"/>
        </w:rPr>
        <w:t xml:space="preserve">(Obrazac </w:t>
      </w:r>
      <w:r w:rsidR="002B74AE">
        <w:rPr>
          <w:rFonts w:asciiTheme="minorHAnsi" w:hAnsiTheme="minorHAnsi"/>
          <w:szCs w:val="24"/>
        </w:rPr>
        <w:t>3</w:t>
      </w:r>
      <w:r w:rsidR="00E2283F">
        <w:rPr>
          <w:rFonts w:asciiTheme="minorHAnsi" w:hAnsiTheme="minorHAnsi"/>
          <w:szCs w:val="24"/>
        </w:rPr>
        <w:t>).</w:t>
      </w:r>
      <w:r w:rsidRPr="0013066A">
        <w:rPr>
          <w:rFonts w:asciiTheme="minorHAnsi" w:hAnsiTheme="minorHAnsi"/>
          <w:szCs w:val="24"/>
        </w:rPr>
        <w:t xml:space="preserve"> Posljedično, to znači da ta sredstva ne predstavljaju državnu potporu. </w:t>
      </w:r>
    </w:p>
    <w:p w14:paraId="2C2A737D" w14:textId="77777777" w:rsidR="00EC1AA6" w:rsidRPr="00E2283F" w:rsidRDefault="00EC1AA6" w:rsidP="00CB16A2">
      <w:pPr>
        <w:spacing w:after="0" w:line="240" w:lineRule="auto"/>
        <w:ind w:left="714"/>
        <w:contextualSpacing/>
        <w:jc w:val="both"/>
        <w:rPr>
          <w:rFonts w:asciiTheme="minorHAnsi" w:hAnsiTheme="minorHAnsi"/>
          <w:sz w:val="12"/>
          <w:szCs w:val="24"/>
        </w:rPr>
      </w:pPr>
    </w:p>
    <w:p w14:paraId="739D47DE" w14:textId="77777777" w:rsidR="00EC1AA6" w:rsidRPr="0013066A" w:rsidRDefault="00EC1AA6" w:rsidP="00CB16A2">
      <w:pPr>
        <w:spacing w:after="0" w:line="240" w:lineRule="auto"/>
        <w:jc w:val="both"/>
        <w:rPr>
          <w:rFonts w:asciiTheme="minorHAnsi" w:hAnsiTheme="minorHAnsi"/>
          <w:szCs w:val="24"/>
        </w:rPr>
      </w:pPr>
      <w:r w:rsidRPr="0013066A">
        <w:rPr>
          <w:rFonts w:asciiTheme="minorHAnsi" w:hAnsiTheme="minorHAnsi"/>
          <w:szCs w:val="24"/>
        </w:rPr>
        <w:t xml:space="preserve">Prema Okviru Zajednice, Komisija smatra da su sljedeće djelatnosti znanstvenih organizacija (ZO) općenito neekonomske (vidi također i Pojmovnik Uputa za prijavitelje): </w:t>
      </w:r>
    </w:p>
    <w:p w14:paraId="73DAF818" w14:textId="77777777" w:rsidR="00EC1AA6" w:rsidRPr="00EC1AA6" w:rsidRDefault="00EC1AA6" w:rsidP="00CB16A2">
      <w:pPr>
        <w:spacing w:after="0" w:line="240" w:lineRule="auto"/>
        <w:ind w:left="714"/>
        <w:jc w:val="both"/>
        <w:rPr>
          <w:rFonts w:asciiTheme="minorHAnsi" w:hAnsiTheme="minorHAnsi"/>
        </w:rPr>
      </w:pPr>
    </w:p>
    <w:tbl>
      <w:tblPr>
        <w:tblStyle w:val="TableGrid1"/>
        <w:tblW w:w="0" w:type="auto"/>
        <w:tblInd w:w="279" w:type="dxa"/>
        <w:shd w:val="clear" w:color="auto" w:fill="B8CCE4" w:themeFill="accent1" w:themeFillTint="66"/>
        <w:tblLook w:val="04A0" w:firstRow="1" w:lastRow="0" w:firstColumn="1" w:lastColumn="0" w:noHBand="0" w:noVBand="1"/>
      </w:tblPr>
      <w:tblGrid>
        <w:gridCol w:w="8783"/>
      </w:tblGrid>
      <w:tr w:rsidR="00EC1AA6" w:rsidRPr="00EC1AA6" w14:paraId="6F25389D" w14:textId="77777777" w:rsidTr="008C1300">
        <w:tc>
          <w:tcPr>
            <w:tcW w:w="8783" w:type="dxa"/>
            <w:shd w:val="clear" w:color="auto" w:fill="B8CCE4" w:themeFill="accent1" w:themeFillTint="66"/>
          </w:tcPr>
          <w:p w14:paraId="326CB904" w14:textId="77777777" w:rsidR="00EC1AA6" w:rsidRPr="00EC1AA6" w:rsidRDefault="00EC1AA6" w:rsidP="00CB16A2">
            <w:pPr>
              <w:numPr>
                <w:ilvl w:val="0"/>
                <w:numId w:val="29"/>
              </w:numPr>
              <w:ind w:left="459" w:right="170" w:hanging="284"/>
              <w:contextualSpacing/>
              <w:jc w:val="both"/>
              <w:rPr>
                <w:rFonts w:asciiTheme="minorHAnsi" w:hAnsiTheme="minorHAnsi"/>
                <w:b/>
              </w:rPr>
            </w:pPr>
            <w:r w:rsidRPr="00EC1AA6">
              <w:rPr>
                <w:rFonts w:asciiTheme="minorHAnsi" w:hAnsiTheme="minorHAnsi"/>
                <w:b/>
              </w:rPr>
              <w:t>Primarne djelatnosti istraživačkih organizacija:</w:t>
            </w:r>
          </w:p>
          <w:p w14:paraId="10029184" w14:textId="77777777" w:rsidR="00EC1AA6" w:rsidRPr="00EC1AA6" w:rsidRDefault="00EC1AA6" w:rsidP="00CB16A2">
            <w:pPr>
              <w:numPr>
                <w:ilvl w:val="0"/>
                <w:numId w:val="15"/>
              </w:numPr>
              <w:ind w:left="459" w:right="170" w:hanging="284"/>
              <w:contextualSpacing/>
              <w:jc w:val="both"/>
              <w:rPr>
                <w:rFonts w:asciiTheme="minorHAnsi" w:hAnsiTheme="minorHAnsi"/>
              </w:rPr>
            </w:pPr>
            <w:r w:rsidRPr="00EC1AA6">
              <w:rPr>
                <w:rFonts w:asciiTheme="minorHAnsi" w:hAnsiTheme="minorHAnsi"/>
              </w:rPr>
              <w:t>edukacija u svrhu većeg broja kvalificiranijih ljudskih resursa. Javno obrazovanje organizirano u okviru nacionalnog obrazovnog sustava, koje uglavnom ili u potpunosti financira država i pod nadzorom je države, smatra se neekonomskom djelatnošću;</w:t>
            </w:r>
            <w:r w:rsidRPr="00EC1AA6">
              <w:rPr>
                <w:rFonts w:asciiTheme="minorHAnsi" w:hAnsiTheme="minorHAnsi"/>
                <w:vertAlign w:val="superscript"/>
              </w:rPr>
              <w:footnoteReference w:id="3"/>
            </w:r>
          </w:p>
          <w:p w14:paraId="4D953E3C" w14:textId="77777777" w:rsidR="00EC1AA6" w:rsidRPr="00EC1AA6" w:rsidRDefault="00EC1AA6" w:rsidP="00CB16A2">
            <w:pPr>
              <w:numPr>
                <w:ilvl w:val="0"/>
                <w:numId w:val="15"/>
              </w:numPr>
              <w:ind w:left="459" w:right="170" w:hanging="284"/>
              <w:contextualSpacing/>
              <w:jc w:val="both"/>
              <w:rPr>
                <w:rFonts w:asciiTheme="minorHAnsi" w:hAnsiTheme="minorHAnsi"/>
              </w:rPr>
            </w:pPr>
            <w:r w:rsidRPr="00EC1AA6">
              <w:rPr>
                <w:rFonts w:asciiTheme="minorHAnsi" w:hAnsiTheme="minorHAnsi"/>
              </w:rPr>
              <w:t>neovisno istraživanje i razvoj za više znanja i bolje razumijevanje, uključujući kolaborativni I&amp;R pri kojem istraživačke organizacije učinkovito surađuju;</w:t>
            </w:r>
          </w:p>
          <w:p w14:paraId="71814FFF" w14:textId="77777777" w:rsidR="00EC1AA6" w:rsidRPr="00EC1AA6" w:rsidRDefault="00EC1AA6" w:rsidP="00CB16A2">
            <w:pPr>
              <w:numPr>
                <w:ilvl w:val="0"/>
                <w:numId w:val="15"/>
              </w:numPr>
              <w:ind w:left="459" w:right="170" w:hanging="284"/>
              <w:contextualSpacing/>
              <w:jc w:val="both"/>
              <w:rPr>
                <w:rFonts w:asciiTheme="minorHAnsi" w:hAnsiTheme="minorHAnsi"/>
              </w:rPr>
            </w:pPr>
            <w:r w:rsidRPr="00EC1AA6">
              <w:rPr>
                <w:rFonts w:asciiTheme="minorHAnsi" w:hAnsiTheme="minorHAnsi"/>
              </w:rPr>
              <w:t>neisključivo i nediskriminacijsko širenje rezultata istraživanja, primjerice podučavanjem, bazama podataka s otvorenim pristupom, otvorenim publikacijama ili računalnim programima s otvorenim kodom.</w:t>
            </w:r>
          </w:p>
          <w:p w14:paraId="08E6DF6D" w14:textId="77777777" w:rsidR="00EC1AA6" w:rsidRPr="00EC1AA6" w:rsidRDefault="00EC1AA6" w:rsidP="00CB16A2">
            <w:pPr>
              <w:ind w:left="459" w:right="170" w:hanging="284"/>
              <w:contextualSpacing/>
              <w:jc w:val="both"/>
              <w:rPr>
                <w:rFonts w:asciiTheme="minorHAnsi" w:hAnsiTheme="minorHAnsi"/>
              </w:rPr>
            </w:pPr>
          </w:p>
          <w:p w14:paraId="1C1620C2" w14:textId="77777777" w:rsidR="00EC1AA6" w:rsidRPr="00EC1AA6" w:rsidRDefault="00EC1AA6" w:rsidP="00CB16A2">
            <w:pPr>
              <w:numPr>
                <w:ilvl w:val="0"/>
                <w:numId w:val="29"/>
              </w:numPr>
              <w:ind w:left="459" w:right="170" w:hanging="284"/>
              <w:contextualSpacing/>
              <w:jc w:val="both"/>
              <w:rPr>
                <w:rFonts w:asciiTheme="minorHAnsi" w:hAnsiTheme="minorHAnsi"/>
              </w:rPr>
            </w:pPr>
            <w:r w:rsidRPr="00EC1AA6">
              <w:rPr>
                <w:rFonts w:asciiTheme="minorHAnsi" w:hAnsiTheme="minorHAnsi"/>
                <w:b/>
              </w:rPr>
              <w:t>Aktivnosti prijenosa znanja</w:t>
            </w:r>
            <w:r w:rsidRPr="00EC1AA6">
              <w:rPr>
                <w:rFonts w:asciiTheme="minorHAnsi" w:hAnsiTheme="minorHAnsi"/>
                <w:vertAlign w:val="superscript"/>
              </w:rPr>
              <w:footnoteReference w:id="4"/>
            </w:r>
            <w:r w:rsidRPr="00EC1AA6">
              <w:rPr>
                <w:rFonts w:asciiTheme="minorHAnsi" w:hAnsiTheme="minorHAnsi"/>
              </w:rPr>
              <w:t xml:space="preserve">, ako ih izvršava istraživačka organizacija (uključujući njihove odjele ili podružnice) ili se izvršavaju zajedno s takvim tijelima ili u ime drugih takvih subjekata, pri čemu se sav prihod od takvih djelatnosti/aktivnosti ponovno ulaže u primarne djelatnosti/aktivnosti istraživačke organizacije. </w:t>
            </w:r>
          </w:p>
          <w:p w14:paraId="17F362E2" w14:textId="77777777" w:rsidR="00EC1AA6" w:rsidRPr="00EC1AA6" w:rsidRDefault="00EC1AA6" w:rsidP="00CB16A2">
            <w:pPr>
              <w:ind w:left="720"/>
              <w:contextualSpacing/>
              <w:jc w:val="both"/>
              <w:rPr>
                <w:rFonts w:asciiTheme="minorHAnsi" w:hAnsiTheme="minorHAnsi"/>
              </w:rPr>
            </w:pPr>
          </w:p>
        </w:tc>
      </w:tr>
    </w:tbl>
    <w:p w14:paraId="7B68BCDA" w14:textId="77777777" w:rsidR="003A7F60" w:rsidRDefault="003A7F60" w:rsidP="00CB16A2">
      <w:pPr>
        <w:spacing w:after="0" w:line="240" w:lineRule="auto"/>
        <w:jc w:val="both"/>
        <w:rPr>
          <w:rFonts w:asciiTheme="minorHAnsi" w:hAnsiTheme="minorHAnsi"/>
        </w:rPr>
      </w:pPr>
    </w:p>
    <w:p w14:paraId="7C21FC57" w14:textId="77777777" w:rsidR="003A7F60" w:rsidRPr="00E2283F" w:rsidRDefault="003A7F60" w:rsidP="00CB16A2">
      <w:pPr>
        <w:spacing w:after="0" w:line="240" w:lineRule="auto"/>
        <w:jc w:val="both"/>
        <w:rPr>
          <w:rFonts w:asciiTheme="minorHAnsi" w:hAnsiTheme="minorHAnsi"/>
          <w:sz w:val="14"/>
        </w:rPr>
      </w:pPr>
    </w:p>
    <w:p w14:paraId="6678010D" w14:textId="77777777" w:rsidR="00EC1AA6" w:rsidRPr="00EC1AA6" w:rsidRDefault="00EC1AA6" w:rsidP="00CB16A2">
      <w:pPr>
        <w:spacing w:after="0" w:line="240" w:lineRule="auto"/>
        <w:jc w:val="both"/>
        <w:rPr>
          <w:rFonts w:asciiTheme="minorHAnsi" w:hAnsiTheme="minorHAnsi"/>
        </w:rPr>
      </w:pPr>
      <w:r w:rsidRPr="00EC1AA6">
        <w:rPr>
          <w:rFonts w:asciiTheme="minorHAnsi" w:hAnsiTheme="minorHAnsi"/>
        </w:rPr>
        <w:t>Izuzetkom se smatra:</w:t>
      </w:r>
    </w:p>
    <w:p w14:paraId="24CD38C7" w14:textId="77777777" w:rsidR="00EC1AA6" w:rsidRPr="00EC1AA6" w:rsidRDefault="00EC1AA6" w:rsidP="00CB16A2">
      <w:pPr>
        <w:spacing w:after="0" w:line="240" w:lineRule="auto"/>
        <w:ind w:left="714"/>
        <w:jc w:val="both"/>
        <w:rPr>
          <w:rFonts w:asciiTheme="minorHAnsi" w:hAnsiTheme="minorHAnsi"/>
        </w:rPr>
      </w:pPr>
    </w:p>
    <w:tbl>
      <w:tblPr>
        <w:tblStyle w:val="TableGrid1"/>
        <w:tblW w:w="0" w:type="auto"/>
        <w:tblInd w:w="279" w:type="dxa"/>
        <w:shd w:val="clear" w:color="auto" w:fill="B8CCE4" w:themeFill="accent1" w:themeFillTint="66"/>
        <w:tblLook w:val="04A0" w:firstRow="1" w:lastRow="0" w:firstColumn="1" w:lastColumn="0" w:noHBand="0" w:noVBand="1"/>
      </w:tblPr>
      <w:tblGrid>
        <w:gridCol w:w="8783"/>
      </w:tblGrid>
      <w:tr w:rsidR="00EC1AA6" w:rsidRPr="00EC1AA6" w14:paraId="2FD5BC9A" w14:textId="77777777" w:rsidTr="008C1300">
        <w:tc>
          <w:tcPr>
            <w:tcW w:w="8783" w:type="dxa"/>
            <w:shd w:val="clear" w:color="auto" w:fill="B8CCE4" w:themeFill="accent1" w:themeFillTint="66"/>
          </w:tcPr>
          <w:p w14:paraId="7007E7BB" w14:textId="77777777" w:rsidR="00EC1AA6" w:rsidRPr="00EC1AA6" w:rsidRDefault="00EC1AA6" w:rsidP="00CB16A2">
            <w:pPr>
              <w:tabs>
                <w:tab w:val="left" w:pos="34"/>
              </w:tabs>
              <w:jc w:val="both"/>
              <w:rPr>
                <w:rFonts w:asciiTheme="minorHAnsi" w:hAnsiTheme="minorHAnsi"/>
              </w:rPr>
            </w:pPr>
            <w:r w:rsidRPr="00EC1AA6">
              <w:rPr>
                <w:rFonts w:asciiTheme="minorHAnsi" w:hAnsiTheme="minorHAnsi"/>
              </w:rPr>
              <w:t xml:space="preserve">Ako određena znanstvena organizacija provodi </w:t>
            </w:r>
            <w:r w:rsidRPr="00EC1AA6">
              <w:rPr>
                <w:rFonts w:asciiTheme="minorHAnsi" w:hAnsiTheme="minorHAnsi"/>
                <w:b/>
              </w:rPr>
              <w:t>gotovo isključivo neekonomske djelatnosti</w:t>
            </w:r>
            <w:r w:rsidRPr="00EC1AA6">
              <w:rPr>
                <w:rFonts w:asciiTheme="minorHAnsi" w:hAnsiTheme="minorHAnsi"/>
              </w:rPr>
              <w:t>, njezino financiranje može biti u potpunosti isključeno iz područja primjene pravila o državnim potporama pod uvjetom da je :</w:t>
            </w:r>
          </w:p>
          <w:p w14:paraId="7A51EF09" w14:textId="77777777" w:rsidR="00EC1AA6" w:rsidRPr="00EC1AA6" w:rsidRDefault="00EC1AA6" w:rsidP="00CB16A2">
            <w:pPr>
              <w:numPr>
                <w:ilvl w:val="0"/>
                <w:numId w:val="30"/>
              </w:numPr>
              <w:jc w:val="both"/>
              <w:rPr>
                <w:rFonts w:asciiTheme="minorHAnsi" w:hAnsiTheme="minorHAnsi"/>
              </w:rPr>
            </w:pPr>
            <w:r w:rsidRPr="00EC1AA6">
              <w:rPr>
                <w:rFonts w:asciiTheme="minorHAnsi" w:hAnsiTheme="minorHAnsi"/>
              </w:rPr>
              <w:t xml:space="preserve">ekonomska djelatnost </w:t>
            </w:r>
            <w:r w:rsidRPr="00EC1AA6">
              <w:rPr>
                <w:rFonts w:asciiTheme="minorHAnsi" w:hAnsiTheme="minorHAnsi"/>
                <w:b/>
              </w:rPr>
              <w:t>isključivo pomoćna</w:t>
            </w:r>
            <w:r w:rsidRPr="00EC1AA6">
              <w:rPr>
                <w:rFonts w:asciiTheme="minorHAnsi" w:hAnsiTheme="minorHAnsi"/>
              </w:rPr>
              <w:t xml:space="preserve"> djelatnost, odnosno odgovara djelatnosti koja je:</w:t>
            </w:r>
          </w:p>
          <w:p w14:paraId="344C2115" w14:textId="77777777" w:rsidR="00EC1AA6" w:rsidRPr="00EC1AA6" w:rsidRDefault="00EC1AA6" w:rsidP="00CB16A2">
            <w:pPr>
              <w:numPr>
                <w:ilvl w:val="0"/>
                <w:numId w:val="31"/>
              </w:numPr>
              <w:jc w:val="both"/>
              <w:rPr>
                <w:rFonts w:asciiTheme="minorHAnsi" w:hAnsiTheme="minorHAnsi"/>
              </w:rPr>
            </w:pPr>
            <w:r w:rsidRPr="00EC1AA6">
              <w:rPr>
                <w:rFonts w:asciiTheme="minorHAnsi" w:hAnsiTheme="minorHAnsi"/>
              </w:rPr>
              <w:t>izravno povezana s radom istraživačke/znanstvene organizacije i neophodna za taj rad ili</w:t>
            </w:r>
            <w:r w:rsidRPr="00EC1AA6">
              <w:rPr>
                <w:rFonts w:asciiTheme="minorHAnsi" w:hAnsiTheme="minorHAnsi"/>
                <w:u w:val="single"/>
              </w:rPr>
              <w:t xml:space="preserve"> </w:t>
            </w:r>
          </w:p>
          <w:p w14:paraId="679E035C" w14:textId="77777777" w:rsidR="00EC1AA6" w:rsidRPr="00EC1AA6" w:rsidRDefault="00EC1AA6" w:rsidP="00CB16A2">
            <w:pPr>
              <w:numPr>
                <w:ilvl w:val="0"/>
                <w:numId w:val="31"/>
              </w:numPr>
              <w:jc w:val="both"/>
              <w:rPr>
                <w:rFonts w:asciiTheme="minorHAnsi" w:hAnsiTheme="minorHAnsi"/>
              </w:rPr>
            </w:pPr>
            <w:r w:rsidRPr="00EC1AA6">
              <w:rPr>
                <w:rFonts w:asciiTheme="minorHAnsi" w:hAnsiTheme="minorHAnsi"/>
              </w:rPr>
              <w:t xml:space="preserve">neodvojivo povezana s njihovom glavnom neekonomskom upotrebom, i </w:t>
            </w:r>
          </w:p>
          <w:p w14:paraId="33F3CD5E" w14:textId="77777777" w:rsidR="00EC1AA6" w:rsidRPr="00EC1AA6" w:rsidRDefault="00EC1AA6" w:rsidP="00CB16A2">
            <w:pPr>
              <w:numPr>
                <w:ilvl w:val="0"/>
                <w:numId w:val="30"/>
              </w:numPr>
              <w:jc w:val="both"/>
              <w:rPr>
                <w:rFonts w:asciiTheme="minorHAnsi" w:hAnsiTheme="minorHAnsi"/>
              </w:rPr>
            </w:pPr>
            <w:r w:rsidRPr="00EC1AA6">
              <w:rPr>
                <w:rFonts w:asciiTheme="minorHAnsi" w:hAnsiTheme="minorHAnsi"/>
              </w:rPr>
              <w:t xml:space="preserve">opseg joj je ograničen. </w:t>
            </w:r>
          </w:p>
          <w:p w14:paraId="2B1A6D09" w14:textId="6C93CAB2" w:rsidR="00EC1AA6" w:rsidRPr="00EC1AA6" w:rsidRDefault="00EC1AA6" w:rsidP="002B74AE">
            <w:pPr>
              <w:tabs>
                <w:tab w:val="left" w:pos="0"/>
              </w:tabs>
              <w:jc w:val="both"/>
              <w:rPr>
                <w:rFonts w:asciiTheme="minorHAnsi" w:hAnsiTheme="minorHAnsi"/>
              </w:rPr>
            </w:pPr>
            <w:r w:rsidRPr="00EC1AA6">
              <w:rPr>
                <w:rFonts w:asciiTheme="minorHAnsi" w:hAnsiTheme="minorHAnsi"/>
              </w:rPr>
              <w:t xml:space="preserve">To je slučaj ako ekonomske djelatnosti </w:t>
            </w:r>
            <w:r w:rsidRPr="00EC1AA6">
              <w:rPr>
                <w:rFonts w:asciiTheme="minorHAnsi" w:hAnsiTheme="minorHAnsi"/>
                <w:b/>
              </w:rPr>
              <w:t>troše potpuno jednake inpute</w:t>
            </w:r>
            <w:r w:rsidRPr="00EC1AA6">
              <w:rPr>
                <w:rFonts w:asciiTheme="minorHAnsi" w:hAnsiTheme="minorHAnsi"/>
              </w:rPr>
              <w:t xml:space="preserve"> (primjerice materijal, oprema, radna snaga i fiksni kapital) kao i neekonomske djelatnosti, a kapaciteti koji se svake godine dodjeljuju tim ekonomskim djelatnostima ne premašuju 20% ukupnih godišnjih kapaciteta predmetnog subjekta.</w:t>
            </w:r>
          </w:p>
        </w:tc>
      </w:tr>
    </w:tbl>
    <w:p w14:paraId="6656DB7D" w14:textId="77777777" w:rsidR="00EC1AA6" w:rsidRDefault="00EC1AA6" w:rsidP="003A7F60">
      <w:pPr>
        <w:spacing w:after="0" w:line="240" w:lineRule="auto"/>
        <w:jc w:val="both"/>
        <w:rPr>
          <w:rFonts w:asciiTheme="minorHAnsi" w:hAnsiTheme="minorHAnsi"/>
        </w:rPr>
      </w:pPr>
    </w:p>
    <w:p w14:paraId="44A4DBAF" w14:textId="6B516EBD" w:rsidR="00E423E6" w:rsidRDefault="00E423E6" w:rsidP="003A7F60">
      <w:pPr>
        <w:spacing w:after="0" w:line="240" w:lineRule="auto"/>
        <w:jc w:val="both"/>
        <w:rPr>
          <w:rFonts w:asciiTheme="minorHAnsi" w:hAnsiTheme="minorHAnsi"/>
        </w:rPr>
      </w:pPr>
      <w:r>
        <w:rPr>
          <w:rFonts w:asciiTheme="minorHAnsi" w:hAnsiTheme="minorHAnsi"/>
        </w:rPr>
        <w:lastRenderedPageBreak/>
        <w:t>I</w:t>
      </w:r>
      <w:r w:rsidRPr="00E423E6">
        <w:rPr>
          <w:rFonts w:asciiTheme="minorHAnsi" w:hAnsiTheme="minorHAnsi"/>
        </w:rPr>
        <w:t>z projektn</w:t>
      </w:r>
      <w:r w:rsidR="002B74AE">
        <w:rPr>
          <w:rFonts w:asciiTheme="minorHAnsi" w:hAnsiTheme="minorHAnsi"/>
        </w:rPr>
        <w:t>og</w:t>
      </w:r>
      <w:r w:rsidRPr="00E423E6">
        <w:rPr>
          <w:rFonts w:asciiTheme="minorHAnsi" w:hAnsiTheme="minorHAnsi"/>
        </w:rPr>
        <w:t xml:space="preserve"> prij</w:t>
      </w:r>
      <w:r w:rsidR="002B74AE">
        <w:rPr>
          <w:rFonts w:asciiTheme="minorHAnsi" w:hAnsiTheme="minorHAnsi"/>
        </w:rPr>
        <w:t>edloga</w:t>
      </w:r>
      <w:r w:rsidRPr="00E423E6">
        <w:rPr>
          <w:rFonts w:asciiTheme="minorHAnsi" w:hAnsiTheme="minorHAnsi"/>
        </w:rPr>
        <w:t xml:space="preserve"> mora biti vidljivo da je buduća infrastruktura namijenjena za neekonomske djelatnosti istraživačkih</w:t>
      </w:r>
      <w:r>
        <w:rPr>
          <w:rFonts w:asciiTheme="minorHAnsi" w:hAnsiTheme="minorHAnsi"/>
        </w:rPr>
        <w:t>/znanstvenih</w:t>
      </w:r>
      <w:r w:rsidRPr="00E423E6">
        <w:rPr>
          <w:rFonts w:asciiTheme="minorHAnsi" w:hAnsiTheme="minorHAnsi"/>
        </w:rPr>
        <w:t xml:space="preserve"> organizacija</w:t>
      </w:r>
      <w:r>
        <w:rPr>
          <w:rFonts w:asciiTheme="minorHAnsi" w:hAnsiTheme="minorHAnsi"/>
        </w:rPr>
        <w:t>. Ukoliko je projektom predviđena izrada Studije izvedivosti, Studija također mora odražavati činjenicu da se radi istraživačk</w:t>
      </w:r>
      <w:r w:rsidR="000C0294">
        <w:rPr>
          <w:rFonts w:asciiTheme="minorHAnsi" w:hAnsiTheme="minorHAnsi"/>
        </w:rPr>
        <w:t>oj</w:t>
      </w:r>
      <w:r>
        <w:rPr>
          <w:rFonts w:asciiTheme="minorHAnsi" w:hAnsiTheme="minorHAnsi"/>
        </w:rPr>
        <w:t xml:space="preserve"> infrastruktur</w:t>
      </w:r>
      <w:r w:rsidR="000C0294">
        <w:rPr>
          <w:rFonts w:asciiTheme="minorHAnsi" w:hAnsiTheme="minorHAnsi"/>
        </w:rPr>
        <w:t>i</w:t>
      </w:r>
      <w:r>
        <w:rPr>
          <w:rFonts w:asciiTheme="minorHAnsi" w:hAnsiTheme="minorHAnsi"/>
        </w:rPr>
        <w:t xml:space="preserve"> namijenjen</w:t>
      </w:r>
      <w:r w:rsidR="000C0294">
        <w:rPr>
          <w:rFonts w:asciiTheme="minorHAnsi" w:hAnsiTheme="minorHAnsi"/>
        </w:rPr>
        <w:t>oj</w:t>
      </w:r>
      <w:r>
        <w:rPr>
          <w:rFonts w:asciiTheme="minorHAnsi" w:hAnsiTheme="minorHAnsi"/>
        </w:rPr>
        <w:t xml:space="preserve"> za neekonomske djelatnosti prema uvjetima i definicijama ovih Smjernica. </w:t>
      </w:r>
    </w:p>
    <w:p w14:paraId="45F4A608" w14:textId="77777777" w:rsidR="00E423E6" w:rsidRDefault="00E423E6" w:rsidP="003A7F60">
      <w:pPr>
        <w:spacing w:after="0" w:line="240" w:lineRule="auto"/>
        <w:jc w:val="both"/>
        <w:rPr>
          <w:rFonts w:asciiTheme="minorHAnsi" w:hAnsiTheme="minorHAnsi"/>
        </w:rPr>
      </w:pPr>
    </w:p>
    <w:p w14:paraId="550BCDD1" w14:textId="2C740276" w:rsidR="00771DF9" w:rsidRDefault="00771DF9" w:rsidP="003A7F60">
      <w:pPr>
        <w:spacing w:after="0" w:line="240" w:lineRule="auto"/>
        <w:jc w:val="both"/>
        <w:rPr>
          <w:rFonts w:asciiTheme="minorHAnsi" w:hAnsiTheme="minorHAnsi"/>
        </w:rPr>
      </w:pPr>
      <w:r>
        <w:rPr>
          <w:rFonts w:asciiTheme="minorHAnsi" w:hAnsiTheme="minorHAnsi"/>
        </w:rPr>
        <w:t>Vezano za poštivanje pravila o državnim potporama, u kontekstu ovog Poziva</w:t>
      </w:r>
      <w:r w:rsidR="001A4A03">
        <w:rPr>
          <w:rFonts w:asciiTheme="minorHAnsi" w:hAnsiTheme="minorHAnsi"/>
        </w:rPr>
        <w:t>,</w:t>
      </w:r>
      <w:r>
        <w:rPr>
          <w:rFonts w:asciiTheme="minorHAnsi" w:hAnsiTheme="minorHAnsi"/>
        </w:rPr>
        <w:t xml:space="preserve"> isto je osigurano odredbama Općih uvjeta ugovora o vlasništvu i trajnosti</w:t>
      </w:r>
      <w:r w:rsidR="00F57775">
        <w:rPr>
          <w:rFonts w:asciiTheme="minorHAnsi" w:hAnsiTheme="minorHAnsi"/>
        </w:rPr>
        <w:t>,</w:t>
      </w:r>
      <w:r>
        <w:rPr>
          <w:rFonts w:asciiTheme="minorHAnsi" w:hAnsiTheme="minorHAnsi"/>
        </w:rPr>
        <w:t xml:space="preserve"> te će se provjeravati u Izvješćima nakon provedbe</w:t>
      </w:r>
      <w:r w:rsidR="003B193B">
        <w:rPr>
          <w:rFonts w:asciiTheme="minorHAnsi" w:hAnsiTheme="minorHAnsi"/>
        </w:rPr>
        <w:t xml:space="preserve"> tijekom 5 </w:t>
      </w:r>
      <w:r w:rsidR="001A4A03">
        <w:rPr>
          <w:rFonts w:asciiTheme="minorHAnsi" w:hAnsiTheme="minorHAnsi"/>
        </w:rPr>
        <w:t>godina nakon završetka provedbe projekta.</w:t>
      </w:r>
    </w:p>
    <w:p w14:paraId="723DAE6E" w14:textId="77777777" w:rsidR="00811019" w:rsidRPr="00E6737D" w:rsidRDefault="00811019" w:rsidP="00811019">
      <w:pPr>
        <w:spacing w:after="0" w:line="240" w:lineRule="auto"/>
        <w:jc w:val="both"/>
        <w:rPr>
          <w:rFonts w:asciiTheme="minorHAnsi" w:hAnsiTheme="minorHAnsi" w:cs="Times New Roman"/>
        </w:rPr>
      </w:pPr>
    </w:p>
    <w:p w14:paraId="147B204C" w14:textId="77777777" w:rsidR="00916B0D" w:rsidRDefault="00811019" w:rsidP="00811019">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both"/>
        <w:rPr>
          <w:rFonts w:asciiTheme="minorHAnsi" w:hAnsiTheme="minorHAnsi" w:cs="Times New Roman"/>
          <w:b/>
        </w:rPr>
      </w:pPr>
      <w:r w:rsidRPr="00E6737D">
        <w:rPr>
          <w:rFonts w:asciiTheme="minorHAnsi" w:hAnsiTheme="minorHAnsi" w:cs="Times New Roman"/>
          <w:b/>
          <w:i/>
        </w:rPr>
        <w:t>Napomena</w:t>
      </w:r>
      <w:r w:rsidRPr="00E6737D">
        <w:rPr>
          <w:rFonts w:asciiTheme="minorHAnsi" w:hAnsiTheme="minorHAnsi" w:cs="Times New Roman"/>
          <w:b/>
        </w:rPr>
        <w:t xml:space="preserve">: </w:t>
      </w:r>
    </w:p>
    <w:p w14:paraId="2560FA9D" w14:textId="2E75E727" w:rsidR="00916B0D" w:rsidRPr="00EB1269" w:rsidRDefault="00811019" w:rsidP="00811019">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both"/>
        <w:rPr>
          <w:rFonts w:asciiTheme="minorHAnsi" w:hAnsiTheme="minorHAnsi" w:cs="Times New Roman"/>
        </w:rPr>
      </w:pPr>
      <w:r>
        <w:rPr>
          <w:rFonts w:asciiTheme="minorHAnsi" w:hAnsiTheme="minorHAnsi" w:cs="Times New Roman"/>
        </w:rPr>
        <w:t>Nepoštovanje</w:t>
      </w:r>
      <w:r w:rsidRPr="00E6737D">
        <w:rPr>
          <w:rFonts w:asciiTheme="minorHAnsi" w:hAnsiTheme="minorHAnsi" w:cs="Times New Roman"/>
        </w:rPr>
        <w:t xml:space="preserve"> pravila o državnim potporama tijekom i nakon provedbe projekta dovodi do materijalne i kaznene odgovornosti prijavitelja te će biti razlogom postupanja nadležnih tijela. </w:t>
      </w:r>
    </w:p>
    <w:p w14:paraId="62992C7D" w14:textId="77777777" w:rsidR="00811019" w:rsidRPr="00CB16A2" w:rsidRDefault="00811019" w:rsidP="00811019">
      <w:pPr>
        <w:spacing w:after="0" w:line="240" w:lineRule="auto"/>
        <w:jc w:val="both"/>
        <w:rPr>
          <w:rFonts w:asciiTheme="minorHAnsi" w:hAnsiTheme="minorHAnsi" w:cs="Times New Roman"/>
        </w:rPr>
      </w:pPr>
    </w:p>
    <w:p w14:paraId="1A6EA718" w14:textId="77777777" w:rsidR="00811019" w:rsidRDefault="00811019" w:rsidP="003A7F60">
      <w:pPr>
        <w:spacing w:after="0" w:line="240" w:lineRule="auto"/>
        <w:jc w:val="both"/>
        <w:rPr>
          <w:rFonts w:asciiTheme="minorHAnsi" w:hAnsiTheme="minorHAnsi"/>
        </w:rPr>
      </w:pPr>
    </w:p>
    <w:p w14:paraId="49B2FB22" w14:textId="1F8DFDBA" w:rsidR="00EF3843" w:rsidRPr="00CB16A2" w:rsidRDefault="00EF3843" w:rsidP="00CB16A2">
      <w:pPr>
        <w:spacing w:after="0" w:line="240" w:lineRule="auto"/>
        <w:jc w:val="both"/>
        <w:rPr>
          <w:rFonts w:asciiTheme="minorHAnsi" w:hAnsiTheme="minorHAnsi" w:cs="Times New Roman"/>
        </w:rPr>
      </w:pPr>
    </w:p>
    <w:sectPr w:rsidR="00EF3843" w:rsidRPr="00CB16A2" w:rsidSect="00555FE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C010B" w14:textId="77777777" w:rsidR="00B90370" w:rsidRDefault="00B90370" w:rsidP="00A65695">
      <w:pPr>
        <w:spacing w:after="0" w:line="240" w:lineRule="auto"/>
      </w:pPr>
      <w:r>
        <w:separator/>
      </w:r>
    </w:p>
  </w:endnote>
  <w:endnote w:type="continuationSeparator" w:id="0">
    <w:p w14:paraId="0F74B8DD" w14:textId="77777777" w:rsidR="00B90370" w:rsidRDefault="00B90370" w:rsidP="00A6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96214"/>
      <w:docPartObj>
        <w:docPartGallery w:val="Page Numbers (Bottom of Page)"/>
        <w:docPartUnique/>
      </w:docPartObj>
    </w:sdtPr>
    <w:sdtEndPr/>
    <w:sdtContent>
      <w:p w14:paraId="34E01B7D" w14:textId="77777777" w:rsidR="00A65695" w:rsidRDefault="00A65695">
        <w:pPr>
          <w:pStyle w:val="Footer"/>
          <w:jc w:val="right"/>
        </w:pPr>
        <w:r>
          <w:fldChar w:fldCharType="begin"/>
        </w:r>
        <w:r>
          <w:instrText>PAGE   \* MERGEFORMAT</w:instrText>
        </w:r>
        <w:r>
          <w:fldChar w:fldCharType="separate"/>
        </w:r>
        <w:r w:rsidR="00D06F25" w:rsidRPr="00D06F25">
          <w:rPr>
            <w:noProof/>
            <w:lang w:val="pl-PL"/>
          </w:rPr>
          <w:t>2</w:t>
        </w:r>
        <w:r>
          <w:fldChar w:fldCharType="end"/>
        </w:r>
      </w:p>
    </w:sdtContent>
  </w:sdt>
  <w:p w14:paraId="148B57AA" w14:textId="77777777" w:rsidR="00A65695" w:rsidRDefault="00A65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2EB42" w14:textId="77777777" w:rsidR="00B90370" w:rsidRDefault="00B90370" w:rsidP="00A65695">
      <w:pPr>
        <w:spacing w:after="0" w:line="240" w:lineRule="auto"/>
      </w:pPr>
      <w:r>
        <w:separator/>
      </w:r>
    </w:p>
  </w:footnote>
  <w:footnote w:type="continuationSeparator" w:id="0">
    <w:p w14:paraId="48B0F147" w14:textId="77777777" w:rsidR="00B90370" w:rsidRDefault="00B90370" w:rsidP="00A65695">
      <w:pPr>
        <w:spacing w:after="0" w:line="240" w:lineRule="auto"/>
      </w:pPr>
      <w:r>
        <w:continuationSeparator/>
      </w:r>
    </w:p>
  </w:footnote>
  <w:footnote w:id="1">
    <w:p w14:paraId="50922E2E" w14:textId="141D8D0B" w:rsidR="001C2DE2" w:rsidRDefault="001C2DE2">
      <w:pPr>
        <w:pStyle w:val="FootnoteText"/>
      </w:pPr>
      <w:r>
        <w:rPr>
          <w:rStyle w:val="FootnoteReference"/>
        </w:rPr>
        <w:footnoteRef/>
      </w:r>
      <w:r>
        <w:t xml:space="preserve"> </w:t>
      </w:r>
      <w:hyperlink r:id="rId1" w:history="1">
        <w:r w:rsidRPr="00E87298">
          <w:rPr>
            <w:rStyle w:val="Hyperlink"/>
            <w:rFonts w:asciiTheme="minorHAnsi" w:hAnsiTheme="minorHAnsi"/>
            <w:sz w:val="16"/>
            <w:szCs w:val="16"/>
          </w:rPr>
          <w:t>http://eur-lex.europa.eu/legal-content/HR/TXT/PDF/?uri=CELEX:52014XC0627(01)&amp;from=HR</w:t>
        </w:r>
      </w:hyperlink>
      <w:r>
        <w:rPr>
          <w:rStyle w:val="Hyperlink"/>
          <w:rFonts w:asciiTheme="minorHAnsi" w:hAnsiTheme="minorHAnsi"/>
          <w:sz w:val="16"/>
          <w:szCs w:val="16"/>
        </w:rPr>
        <w:tab/>
      </w:r>
    </w:p>
  </w:footnote>
  <w:footnote w:id="2">
    <w:p w14:paraId="7759E24F" w14:textId="77777777" w:rsidR="00307A8B" w:rsidRPr="007425C7" w:rsidRDefault="00307A8B" w:rsidP="00307A8B">
      <w:pPr>
        <w:pStyle w:val="FootnoteText"/>
        <w:jc w:val="both"/>
        <w:rPr>
          <w:rFonts w:asciiTheme="minorHAnsi" w:hAnsiTheme="minorHAnsi"/>
        </w:rPr>
      </w:pPr>
      <w:r w:rsidRPr="002B74AE">
        <w:rPr>
          <w:rStyle w:val="FootnoteReference"/>
          <w:rFonts w:asciiTheme="minorHAnsi" w:hAnsiTheme="minorHAnsi"/>
          <w:sz w:val="18"/>
        </w:rPr>
        <w:footnoteRef/>
      </w:r>
      <w:r w:rsidRPr="002B74AE">
        <w:rPr>
          <w:rFonts w:asciiTheme="minorHAnsi" w:hAnsiTheme="minorHAnsi"/>
          <w:sz w:val="18"/>
        </w:rPr>
        <w:t xml:space="preserve"> </w:t>
      </w:r>
      <w:r w:rsidRPr="002B74AE">
        <w:rPr>
          <w:rFonts w:asciiTheme="minorHAnsi" w:hAnsiTheme="minorHAnsi" w:cs="Times New Roman"/>
          <w:sz w:val="18"/>
        </w:rPr>
        <w:t>Prvi stavak članka 107. Ugovora o funkcioniranju Europske unije određuje elemente državne potpore navodeći da „svaka potpora koju dodijeli država članica ili koja se dodjeljuje putem državnih sredstava u bilo kojem obliku kojim se narušava ili prijeti da će narušiti tržišno natjecanje stavljanjem određenih poduzetnika ili proizvodnje određene robe u povoljniji položaj, nespojiva je s unutarnjim tržištem u mjeri u kojoj utječe na trgovinu među državama članicama", Ugovor o funkcioniranju Europske unije (UFEU, konsolidirana verzija, SL C 115/47, 9.5.2008).</w:t>
      </w:r>
    </w:p>
  </w:footnote>
  <w:footnote w:id="3">
    <w:p w14:paraId="18C9BCC6" w14:textId="77777777" w:rsidR="00EC1AA6" w:rsidRPr="006B0C26" w:rsidRDefault="00EC1AA6" w:rsidP="00EC1AA6">
      <w:pPr>
        <w:pStyle w:val="FootnoteText"/>
        <w:jc w:val="both"/>
        <w:rPr>
          <w:rFonts w:asciiTheme="minorHAnsi" w:hAnsiTheme="minorHAnsi"/>
          <w:sz w:val="16"/>
          <w:szCs w:val="16"/>
        </w:rPr>
      </w:pPr>
      <w:r w:rsidRPr="00037BD6">
        <w:rPr>
          <w:rStyle w:val="FootnoteReference"/>
          <w:rFonts w:asciiTheme="minorHAnsi" w:hAnsiTheme="minorHAnsi"/>
          <w:b/>
          <w:sz w:val="16"/>
          <w:szCs w:val="16"/>
        </w:rPr>
        <w:footnoteRef/>
      </w:r>
      <w:r w:rsidRPr="006B0C26">
        <w:rPr>
          <w:rFonts w:asciiTheme="minorHAnsi" w:hAnsiTheme="minorHAnsi"/>
          <w:sz w:val="16"/>
          <w:szCs w:val="16"/>
        </w:rPr>
        <w:t xml:space="preserve"> Potrebno je napomenuti da ovo ne obuhvaća izobrazbu radne snage koja, kako je definirano u pravilima za državne potpore za usavršavanje, ne predstavlja neekonomsku primarnu djelatnost/aktivnost istraživačkih organizacija. Vidi čl. 31 </w:t>
      </w:r>
      <w:r>
        <w:rPr>
          <w:rFonts w:asciiTheme="minorHAnsi" w:hAnsiTheme="minorHAnsi"/>
          <w:sz w:val="16"/>
          <w:szCs w:val="16"/>
        </w:rPr>
        <w:t xml:space="preserve">GBER-a </w:t>
      </w:r>
      <w:r w:rsidRPr="006B0C26">
        <w:rPr>
          <w:rFonts w:asciiTheme="minorHAnsi" w:hAnsiTheme="minorHAnsi"/>
          <w:sz w:val="16"/>
          <w:szCs w:val="16"/>
        </w:rPr>
        <w:t>u kojem se navode određene kategorije potpora koje su spojive s unutarnjim tržištem u primjeni članaka 107. i 108. Ugovora (OJ L 187, 26.6.2014,str. 1).</w:t>
      </w:r>
    </w:p>
  </w:footnote>
  <w:footnote w:id="4">
    <w:p w14:paraId="0E5BB1A1" w14:textId="77777777" w:rsidR="00EC1AA6" w:rsidRPr="007D64F2" w:rsidRDefault="00EC1AA6" w:rsidP="00EC1AA6">
      <w:pPr>
        <w:pStyle w:val="FootnoteText"/>
        <w:jc w:val="both"/>
        <w:rPr>
          <w:rFonts w:asciiTheme="minorHAnsi" w:hAnsiTheme="minorHAnsi"/>
          <w:sz w:val="16"/>
          <w:szCs w:val="16"/>
        </w:rPr>
      </w:pPr>
      <w:r w:rsidRPr="00037BD6">
        <w:rPr>
          <w:rStyle w:val="FootnoteReference"/>
          <w:rFonts w:asciiTheme="minorHAnsi" w:hAnsiTheme="minorHAnsi"/>
          <w:b/>
          <w:sz w:val="16"/>
          <w:szCs w:val="16"/>
        </w:rPr>
        <w:footnoteRef/>
      </w:r>
      <w:r w:rsidRPr="006B0C26">
        <w:rPr>
          <w:rFonts w:asciiTheme="minorHAnsi" w:hAnsiTheme="minorHAnsi"/>
          <w:sz w:val="16"/>
          <w:szCs w:val="16"/>
        </w:rPr>
        <w:t xml:space="preserve"> Prema Okviru Zajednice, prijenos znanja znači bilo koji proces čiji je cilj stjecanje, prikupljanje i dijeljenje eksplicitnog i prešutnog znanja, uključujući vještine i sposobnosti u ekonomskim i neekonomskim djelatnostima/aktivnostima kao što su istraživačka suradnja, konzalting, licenciranje, osnivanje novih poduzeća, objavljivanje i mobilnost istraživača i drugog osoblja uključenog u te aktivnosti. Uz znanstveno i tehnološko </w:t>
      </w:r>
      <w:r w:rsidRPr="007D64F2">
        <w:rPr>
          <w:rFonts w:asciiTheme="minorHAnsi" w:hAnsiTheme="minorHAnsi"/>
          <w:sz w:val="16"/>
          <w:szCs w:val="16"/>
        </w:rPr>
        <w:t>znanje, prijenos znanja uključuje i druge oblike znanja, primjerice znanje o uporabi standarda i propisa koji ih sadržavaju te o uvjetima u stvarnim radnim okruženjima i metodama za inovaciju organizacije poslovanja te upravljanje znanjem povezanim s utvrđivanjem, stjecanjem, zaštitom, obranom i iskorištavanjem nematerijalne imovine.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F533" w14:textId="51E01978" w:rsidR="00841455" w:rsidRPr="007F646E" w:rsidRDefault="00841455">
    <w:pPr>
      <w:pStyle w:val="Header"/>
      <w:rPr>
        <w:rFonts w:asciiTheme="minorHAnsi" w:hAnsiTheme="minorHAnsi"/>
      </w:rPr>
    </w:pPr>
    <w:r w:rsidRPr="007F646E">
      <w:rPr>
        <w:rFonts w:asciiTheme="minorHAnsi" w:hAnsiTheme="minorHAnsi"/>
      </w:rPr>
      <w:t xml:space="preserve">Prilog </w:t>
    </w:r>
    <w:r w:rsidR="00307A8B" w:rsidRPr="007F646E">
      <w:rPr>
        <w:rFonts w:asciiTheme="minorHAnsi" w:hAnsiTheme="minorHAnsi"/>
      </w:rPr>
      <w:t>4</w:t>
    </w:r>
    <w:r w:rsidR="00BB0828" w:rsidRPr="007F646E">
      <w:rPr>
        <w:rFonts w:asciiTheme="minorHAnsi" w:hAnsiTheme="minorHAnsi"/>
      </w:rPr>
      <w:t>.</w:t>
    </w:r>
  </w:p>
  <w:p w14:paraId="17F35956" w14:textId="77777777" w:rsidR="00307A8B" w:rsidRDefault="00307A8B">
    <w:pPr>
      <w:pStyle w:val="Header"/>
      <w:rPr>
        <w:rFonts w:asciiTheme="minorHAnsi" w:hAnsiTheme="minorHAnsi"/>
        <w:b/>
        <w:sz w:val="24"/>
      </w:rPr>
    </w:pPr>
  </w:p>
  <w:p w14:paraId="6DB6F7A1" w14:textId="2EC482F9" w:rsidR="00307A8B" w:rsidRPr="001F3D9A" w:rsidRDefault="00307A8B">
    <w:pPr>
      <w:pStyle w:val="Header"/>
      <w:rPr>
        <w:rFonts w:asciiTheme="minorHAnsi" w:hAnsiTheme="minorHAnsi"/>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F7339" w14:textId="77777777" w:rsidR="00555FE9" w:rsidRPr="005312F1" w:rsidRDefault="00555FE9" w:rsidP="00555FE9">
    <w:pPr>
      <w:pStyle w:val="Header"/>
      <w:rPr>
        <w:rFonts w:asciiTheme="minorHAnsi" w:hAnsiTheme="minorHAnsi"/>
      </w:rPr>
    </w:pPr>
    <w:r w:rsidRPr="005312F1">
      <w:rPr>
        <w:rFonts w:asciiTheme="minorHAnsi" w:hAnsiTheme="minorHAnsi"/>
      </w:rPr>
      <w:t>Prilog 4.</w:t>
    </w:r>
  </w:p>
  <w:p w14:paraId="4ABA399F" w14:textId="7D6CBA61" w:rsidR="00555FE9" w:rsidRDefault="00555FE9">
    <w:pPr>
      <w:pStyle w:val="Header"/>
    </w:pPr>
    <w:r w:rsidRPr="00381B47">
      <w:rPr>
        <w:noProof/>
        <w:color w:val="BFBFBF"/>
        <w:sz w:val="18"/>
        <w:lang w:eastAsia="hr-HR"/>
      </w:rPr>
      <w:drawing>
        <wp:inline distT="0" distB="0" distL="0" distR="0" wp14:anchorId="4F37246E" wp14:editId="117D8048">
          <wp:extent cx="5759450" cy="1222652"/>
          <wp:effectExtent l="0" t="0" r="0" b="0"/>
          <wp:docPr id="2" name="Picture 2" descr="C:\Users\ajurisic\AppData\Local\Microsoft\Windows\INetCache\Content.Outlook\9WMAWF0K\MZO pasica logot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risic\AppData\Local\Microsoft\Windows\INetCache\Content.Outlook\9WMAWF0K\MZO pasica logoti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2226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77B2"/>
    <w:multiLevelType w:val="hybridMultilevel"/>
    <w:tmpl w:val="B21C7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06C0E"/>
    <w:multiLevelType w:val="hybridMultilevel"/>
    <w:tmpl w:val="73B6A12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B5447D2"/>
    <w:multiLevelType w:val="hybridMultilevel"/>
    <w:tmpl w:val="CB4A640C"/>
    <w:lvl w:ilvl="0" w:tplc="84646194">
      <w:start w:val="1"/>
      <w:numFmt w:val="bullet"/>
      <w:lvlText w:val="-"/>
      <w:lvlJc w:val="left"/>
      <w:pPr>
        <w:ind w:left="720" w:hanging="360"/>
      </w:pPr>
      <w:rPr>
        <w:rFonts w:ascii="Corbel" w:eastAsiaTheme="minorHAnsi" w:hAnsi="Corbe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E314E6"/>
    <w:multiLevelType w:val="hybridMultilevel"/>
    <w:tmpl w:val="7E9CCC22"/>
    <w:lvl w:ilvl="0" w:tplc="00C261E8">
      <w:start w:val="3"/>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331DD0"/>
    <w:multiLevelType w:val="hybridMultilevel"/>
    <w:tmpl w:val="A1EEC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97154"/>
    <w:multiLevelType w:val="hybridMultilevel"/>
    <w:tmpl w:val="91666E8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2D4817"/>
    <w:multiLevelType w:val="hybridMultilevel"/>
    <w:tmpl w:val="AF664A22"/>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62CDB"/>
    <w:multiLevelType w:val="hybridMultilevel"/>
    <w:tmpl w:val="711CC888"/>
    <w:lvl w:ilvl="0" w:tplc="00C261E8">
      <w:start w:val="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B01F42"/>
    <w:multiLevelType w:val="hybridMultilevel"/>
    <w:tmpl w:val="CC929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408A7"/>
    <w:multiLevelType w:val="hybridMultilevel"/>
    <w:tmpl w:val="8482E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A4106"/>
    <w:multiLevelType w:val="hybridMultilevel"/>
    <w:tmpl w:val="7356155C"/>
    <w:lvl w:ilvl="0" w:tplc="EB1ADF9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5511A8"/>
    <w:multiLevelType w:val="hybridMultilevel"/>
    <w:tmpl w:val="AF664A22"/>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22736"/>
    <w:multiLevelType w:val="multilevel"/>
    <w:tmpl w:val="041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17223A4"/>
    <w:multiLevelType w:val="hybridMultilevel"/>
    <w:tmpl w:val="CF64F028"/>
    <w:lvl w:ilvl="0" w:tplc="CF00BD9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CE580C"/>
    <w:multiLevelType w:val="hybridMultilevel"/>
    <w:tmpl w:val="8454312E"/>
    <w:lvl w:ilvl="0" w:tplc="1884D2F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12D0B83"/>
    <w:multiLevelType w:val="hybridMultilevel"/>
    <w:tmpl w:val="C434AD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F3737F"/>
    <w:multiLevelType w:val="hybridMultilevel"/>
    <w:tmpl w:val="47DC56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5C253FD"/>
    <w:multiLevelType w:val="hybridMultilevel"/>
    <w:tmpl w:val="99A8294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86C2A04"/>
    <w:multiLevelType w:val="hybridMultilevel"/>
    <w:tmpl w:val="B6489DEC"/>
    <w:lvl w:ilvl="0" w:tplc="BE1A6E02">
      <w:start w:val="1"/>
      <w:numFmt w:val="lowerLetter"/>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19" w15:restartNumberingAfterBreak="0">
    <w:nsid w:val="513C40BD"/>
    <w:multiLevelType w:val="hybridMultilevel"/>
    <w:tmpl w:val="AC4C6AE4"/>
    <w:lvl w:ilvl="0" w:tplc="483483B8">
      <w:start w:val="1"/>
      <w:numFmt w:val="decimal"/>
      <w:lvlText w:val="%1."/>
      <w:lvlJc w:val="left"/>
      <w:pPr>
        <w:ind w:left="360" w:hanging="360"/>
      </w:pPr>
      <w:rPr>
        <w:rFonts w:asciiTheme="minorHAnsi" w:hAnsiTheme="minorHAnsi"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70B12BC"/>
    <w:multiLevelType w:val="hybridMultilevel"/>
    <w:tmpl w:val="D57A554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72F77D5"/>
    <w:multiLevelType w:val="hybridMultilevel"/>
    <w:tmpl w:val="11589A38"/>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2" w15:restartNumberingAfterBreak="0">
    <w:nsid w:val="69151924"/>
    <w:multiLevelType w:val="hybridMultilevel"/>
    <w:tmpl w:val="CB7E1A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D81D16"/>
    <w:multiLevelType w:val="hybridMultilevel"/>
    <w:tmpl w:val="225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15F89"/>
    <w:multiLevelType w:val="hybridMultilevel"/>
    <w:tmpl w:val="D332C1A8"/>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02503B"/>
    <w:multiLevelType w:val="hybridMultilevel"/>
    <w:tmpl w:val="A9A48126"/>
    <w:lvl w:ilvl="0" w:tplc="C5D4DC9C">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4"/>
  </w:num>
  <w:num w:numId="4">
    <w:abstractNumId w:val="8"/>
  </w:num>
  <w:num w:numId="5">
    <w:abstractNumId w:val="24"/>
  </w:num>
  <w:num w:numId="6">
    <w:abstractNumId w:val="12"/>
  </w:num>
  <w:num w:numId="7">
    <w:abstractNumId w:val="12"/>
  </w:num>
  <w:num w:numId="8">
    <w:abstractNumId w:val="12"/>
  </w:num>
  <w:num w:numId="9">
    <w:abstractNumId w:val="6"/>
  </w:num>
  <w:num w:numId="10">
    <w:abstractNumId w:val="9"/>
  </w:num>
  <w:num w:numId="11">
    <w:abstractNumId w:val="12"/>
  </w:num>
  <w:num w:numId="12">
    <w:abstractNumId w:val="10"/>
  </w:num>
  <w:num w:numId="13">
    <w:abstractNumId w:val="25"/>
  </w:num>
  <w:num w:numId="14">
    <w:abstractNumId w:val="12"/>
  </w:num>
  <w:num w:numId="15">
    <w:abstractNumId w:val="2"/>
  </w:num>
  <w:num w:numId="16">
    <w:abstractNumId w:val="11"/>
  </w:num>
  <w:num w:numId="17">
    <w:abstractNumId w:val="3"/>
  </w:num>
  <w:num w:numId="18">
    <w:abstractNumId w:val="0"/>
  </w:num>
  <w:num w:numId="19">
    <w:abstractNumId w:val="23"/>
  </w:num>
  <w:num w:numId="20">
    <w:abstractNumId w:val="16"/>
  </w:num>
  <w:num w:numId="21">
    <w:abstractNumId w:val="15"/>
  </w:num>
  <w:num w:numId="22">
    <w:abstractNumId w:val="7"/>
  </w:num>
  <w:num w:numId="23">
    <w:abstractNumId w:val="22"/>
  </w:num>
  <w:num w:numId="24">
    <w:abstractNumId w:val="1"/>
  </w:num>
  <w:num w:numId="25">
    <w:abstractNumId w:val="19"/>
  </w:num>
  <w:num w:numId="26">
    <w:abstractNumId w:val="20"/>
  </w:num>
  <w:num w:numId="27">
    <w:abstractNumId w:val="5"/>
  </w:num>
  <w:num w:numId="28">
    <w:abstractNumId w:val="17"/>
  </w:num>
  <w:num w:numId="29">
    <w:abstractNumId w:val="14"/>
  </w:num>
  <w:num w:numId="30">
    <w:abstractNumId w:val="18"/>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C7"/>
    <w:rsid w:val="0000668C"/>
    <w:rsid w:val="00030E89"/>
    <w:rsid w:val="00031C15"/>
    <w:rsid w:val="000466EB"/>
    <w:rsid w:val="00050D9D"/>
    <w:rsid w:val="00056F80"/>
    <w:rsid w:val="00063846"/>
    <w:rsid w:val="00083573"/>
    <w:rsid w:val="00083EEA"/>
    <w:rsid w:val="000C0294"/>
    <w:rsid w:val="000D0FF8"/>
    <w:rsid w:val="000D7E74"/>
    <w:rsid w:val="000E4E93"/>
    <w:rsid w:val="000E5B4B"/>
    <w:rsid w:val="000F2263"/>
    <w:rsid w:val="001021D3"/>
    <w:rsid w:val="0013066A"/>
    <w:rsid w:val="00131E9F"/>
    <w:rsid w:val="00146EDA"/>
    <w:rsid w:val="001528C3"/>
    <w:rsid w:val="00153294"/>
    <w:rsid w:val="001708EE"/>
    <w:rsid w:val="00187B65"/>
    <w:rsid w:val="00191394"/>
    <w:rsid w:val="00194459"/>
    <w:rsid w:val="001A18CE"/>
    <w:rsid w:val="001A3E85"/>
    <w:rsid w:val="001A4478"/>
    <w:rsid w:val="001A4A03"/>
    <w:rsid w:val="001B059C"/>
    <w:rsid w:val="001B6325"/>
    <w:rsid w:val="001C2DE2"/>
    <w:rsid w:val="001D60BD"/>
    <w:rsid w:val="001E6E3C"/>
    <w:rsid w:val="001E7365"/>
    <w:rsid w:val="001F3D9A"/>
    <w:rsid w:val="002007DE"/>
    <w:rsid w:val="00204451"/>
    <w:rsid w:val="002178A3"/>
    <w:rsid w:val="00241579"/>
    <w:rsid w:val="0026308E"/>
    <w:rsid w:val="002639EE"/>
    <w:rsid w:val="00267962"/>
    <w:rsid w:val="002749EA"/>
    <w:rsid w:val="002762BF"/>
    <w:rsid w:val="00294ACD"/>
    <w:rsid w:val="002B5C5B"/>
    <w:rsid w:val="002B74AE"/>
    <w:rsid w:val="002C208F"/>
    <w:rsid w:val="002C5997"/>
    <w:rsid w:val="002D4D49"/>
    <w:rsid w:val="002E3F46"/>
    <w:rsid w:val="002E5DA0"/>
    <w:rsid w:val="002E7D20"/>
    <w:rsid w:val="002F767F"/>
    <w:rsid w:val="00301B1A"/>
    <w:rsid w:val="00307A8B"/>
    <w:rsid w:val="00316B8B"/>
    <w:rsid w:val="00324390"/>
    <w:rsid w:val="00327AB3"/>
    <w:rsid w:val="00333164"/>
    <w:rsid w:val="00345C7C"/>
    <w:rsid w:val="00355396"/>
    <w:rsid w:val="0036074E"/>
    <w:rsid w:val="003779A2"/>
    <w:rsid w:val="00391F31"/>
    <w:rsid w:val="0039346D"/>
    <w:rsid w:val="00395831"/>
    <w:rsid w:val="003A20A3"/>
    <w:rsid w:val="003A502F"/>
    <w:rsid w:val="003A7F60"/>
    <w:rsid w:val="003B193B"/>
    <w:rsid w:val="003B79C8"/>
    <w:rsid w:val="003C27B8"/>
    <w:rsid w:val="003D33C8"/>
    <w:rsid w:val="004064BE"/>
    <w:rsid w:val="0045382F"/>
    <w:rsid w:val="00484F46"/>
    <w:rsid w:val="00486AD9"/>
    <w:rsid w:val="00495916"/>
    <w:rsid w:val="00495C0C"/>
    <w:rsid w:val="004970A6"/>
    <w:rsid w:val="004A28FB"/>
    <w:rsid w:val="004C0649"/>
    <w:rsid w:val="004D0680"/>
    <w:rsid w:val="004E162B"/>
    <w:rsid w:val="00527E1B"/>
    <w:rsid w:val="005312F1"/>
    <w:rsid w:val="00533959"/>
    <w:rsid w:val="00535949"/>
    <w:rsid w:val="005414A6"/>
    <w:rsid w:val="00555FE9"/>
    <w:rsid w:val="005579F2"/>
    <w:rsid w:val="005634A9"/>
    <w:rsid w:val="0056518D"/>
    <w:rsid w:val="005736ED"/>
    <w:rsid w:val="00573844"/>
    <w:rsid w:val="005768FC"/>
    <w:rsid w:val="00581C40"/>
    <w:rsid w:val="005B4BB0"/>
    <w:rsid w:val="005C2A25"/>
    <w:rsid w:val="005C466B"/>
    <w:rsid w:val="005C575F"/>
    <w:rsid w:val="005E0ED2"/>
    <w:rsid w:val="005E4E18"/>
    <w:rsid w:val="005E559D"/>
    <w:rsid w:val="00606DDC"/>
    <w:rsid w:val="00627FCA"/>
    <w:rsid w:val="00656231"/>
    <w:rsid w:val="006569E7"/>
    <w:rsid w:val="00673439"/>
    <w:rsid w:val="00674D56"/>
    <w:rsid w:val="00685873"/>
    <w:rsid w:val="006A0067"/>
    <w:rsid w:val="006C364E"/>
    <w:rsid w:val="006D4947"/>
    <w:rsid w:val="006E5CC2"/>
    <w:rsid w:val="006F11DC"/>
    <w:rsid w:val="006F322A"/>
    <w:rsid w:val="006F3724"/>
    <w:rsid w:val="006F60A2"/>
    <w:rsid w:val="007028F0"/>
    <w:rsid w:val="00726F57"/>
    <w:rsid w:val="007315FC"/>
    <w:rsid w:val="00745EFB"/>
    <w:rsid w:val="00762FD8"/>
    <w:rsid w:val="0076551C"/>
    <w:rsid w:val="00771DF9"/>
    <w:rsid w:val="007814E5"/>
    <w:rsid w:val="00787903"/>
    <w:rsid w:val="007A5EF8"/>
    <w:rsid w:val="007B2DAC"/>
    <w:rsid w:val="007D09BE"/>
    <w:rsid w:val="007F28B0"/>
    <w:rsid w:val="007F646E"/>
    <w:rsid w:val="00805C40"/>
    <w:rsid w:val="00811019"/>
    <w:rsid w:val="00822D5E"/>
    <w:rsid w:val="00841455"/>
    <w:rsid w:val="00846A7A"/>
    <w:rsid w:val="0087729C"/>
    <w:rsid w:val="0088367C"/>
    <w:rsid w:val="008A1F7B"/>
    <w:rsid w:val="008C6B07"/>
    <w:rsid w:val="008D54D7"/>
    <w:rsid w:val="008E5DCA"/>
    <w:rsid w:val="009013F4"/>
    <w:rsid w:val="009054AC"/>
    <w:rsid w:val="00916B0D"/>
    <w:rsid w:val="00917CED"/>
    <w:rsid w:val="009224B4"/>
    <w:rsid w:val="00941920"/>
    <w:rsid w:val="00950628"/>
    <w:rsid w:val="00952795"/>
    <w:rsid w:val="00995288"/>
    <w:rsid w:val="009A34C7"/>
    <w:rsid w:val="009B00D6"/>
    <w:rsid w:val="009C6356"/>
    <w:rsid w:val="009D1E57"/>
    <w:rsid w:val="009D428F"/>
    <w:rsid w:val="009E0D2F"/>
    <w:rsid w:val="009F32F9"/>
    <w:rsid w:val="009F5B25"/>
    <w:rsid w:val="00A01552"/>
    <w:rsid w:val="00A20DC3"/>
    <w:rsid w:val="00A25C59"/>
    <w:rsid w:val="00A45075"/>
    <w:rsid w:val="00A515DC"/>
    <w:rsid w:val="00A6380A"/>
    <w:rsid w:val="00A65695"/>
    <w:rsid w:val="00A75D02"/>
    <w:rsid w:val="00A8549C"/>
    <w:rsid w:val="00AA4B8E"/>
    <w:rsid w:val="00AB0FE0"/>
    <w:rsid w:val="00AB3ACE"/>
    <w:rsid w:val="00AB64E7"/>
    <w:rsid w:val="00AC0571"/>
    <w:rsid w:val="00AD532C"/>
    <w:rsid w:val="00B5629A"/>
    <w:rsid w:val="00B57CD6"/>
    <w:rsid w:val="00B65BB0"/>
    <w:rsid w:val="00B71D02"/>
    <w:rsid w:val="00B8171A"/>
    <w:rsid w:val="00B873B9"/>
    <w:rsid w:val="00B90370"/>
    <w:rsid w:val="00BA4BAA"/>
    <w:rsid w:val="00BB0828"/>
    <w:rsid w:val="00BB3693"/>
    <w:rsid w:val="00BC2691"/>
    <w:rsid w:val="00BF2718"/>
    <w:rsid w:val="00C05B34"/>
    <w:rsid w:val="00C1365B"/>
    <w:rsid w:val="00C167E4"/>
    <w:rsid w:val="00C25260"/>
    <w:rsid w:val="00C305A0"/>
    <w:rsid w:val="00C306F6"/>
    <w:rsid w:val="00C35659"/>
    <w:rsid w:val="00C4776D"/>
    <w:rsid w:val="00C557A9"/>
    <w:rsid w:val="00C748CE"/>
    <w:rsid w:val="00C8615F"/>
    <w:rsid w:val="00CB16A2"/>
    <w:rsid w:val="00CC594A"/>
    <w:rsid w:val="00CD2FD1"/>
    <w:rsid w:val="00CD6A8A"/>
    <w:rsid w:val="00CE311C"/>
    <w:rsid w:val="00CE6299"/>
    <w:rsid w:val="00CE64CC"/>
    <w:rsid w:val="00CF5770"/>
    <w:rsid w:val="00D06F25"/>
    <w:rsid w:val="00D12F2F"/>
    <w:rsid w:val="00D20E15"/>
    <w:rsid w:val="00D309BA"/>
    <w:rsid w:val="00D65EE2"/>
    <w:rsid w:val="00D8060D"/>
    <w:rsid w:val="00D81879"/>
    <w:rsid w:val="00DC7AF8"/>
    <w:rsid w:val="00DD2165"/>
    <w:rsid w:val="00DD5579"/>
    <w:rsid w:val="00DD706F"/>
    <w:rsid w:val="00DF235F"/>
    <w:rsid w:val="00E15A21"/>
    <w:rsid w:val="00E172B4"/>
    <w:rsid w:val="00E2283F"/>
    <w:rsid w:val="00E23784"/>
    <w:rsid w:val="00E264FA"/>
    <w:rsid w:val="00E423E6"/>
    <w:rsid w:val="00E45C34"/>
    <w:rsid w:val="00E550BB"/>
    <w:rsid w:val="00E6011D"/>
    <w:rsid w:val="00E620F5"/>
    <w:rsid w:val="00E6737D"/>
    <w:rsid w:val="00E72C24"/>
    <w:rsid w:val="00E90F61"/>
    <w:rsid w:val="00EA01B4"/>
    <w:rsid w:val="00EB1269"/>
    <w:rsid w:val="00EB5FAA"/>
    <w:rsid w:val="00EC1AA6"/>
    <w:rsid w:val="00EE4F1F"/>
    <w:rsid w:val="00EF3843"/>
    <w:rsid w:val="00EF62EF"/>
    <w:rsid w:val="00EF7B77"/>
    <w:rsid w:val="00F008A6"/>
    <w:rsid w:val="00F35A53"/>
    <w:rsid w:val="00F431D3"/>
    <w:rsid w:val="00F4603A"/>
    <w:rsid w:val="00F57775"/>
    <w:rsid w:val="00F72F5C"/>
    <w:rsid w:val="00F82784"/>
    <w:rsid w:val="00F95398"/>
    <w:rsid w:val="00FD5991"/>
    <w:rsid w:val="00FD5D26"/>
    <w:rsid w:val="00FE677E"/>
    <w:rsid w:val="00FF2AE8"/>
    <w:rsid w:val="00FF4F0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65F8E31"/>
  <w15:docId w15:val="{F0CFD70A-B6E8-4A43-AA55-92C99189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D2F"/>
    <w:rPr>
      <w:rFonts w:ascii="Corbel" w:hAnsi="Corbel"/>
      <w:lang w:val="hr-HR"/>
    </w:rPr>
  </w:style>
  <w:style w:type="paragraph" w:styleId="Heading1">
    <w:name w:val="heading 1"/>
    <w:basedOn w:val="Normal"/>
    <w:next w:val="Normal"/>
    <w:link w:val="Heading1Char"/>
    <w:uiPriority w:val="9"/>
    <w:qFormat/>
    <w:rsid w:val="008C6B07"/>
    <w:pPr>
      <w:keepNext/>
      <w:keepLines/>
      <w:numPr>
        <w:numId w:val="2"/>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F32F9"/>
    <w:pPr>
      <w:keepNext/>
      <w:keepLines/>
      <w:numPr>
        <w:ilvl w:val="1"/>
        <w:numId w:val="2"/>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C6B07"/>
    <w:pPr>
      <w:keepNext/>
      <w:keepLines/>
      <w:numPr>
        <w:ilvl w:val="2"/>
        <w:numId w:val="1"/>
      </w:numPr>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0BB"/>
    <w:rPr>
      <w:rFonts w:ascii="Corbel" w:eastAsiaTheme="majorEastAsia" w:hAnsi="Corbel" w:cstheme="majorBidi"/>
      <w:b/>
      <w:bCs/>
      <w:sz w:val="28"/>
      <w:szCs w:val="28"/>
    </w:rPr>
  </w:style>
  <w:style w:type="character" w:customStyle="1" w:styleId="Heading2Char">
    <w:name w:val="Heading 2 Char"/>
    <w:basedOn w:val="DefaultParagraphFont"/>
    <w:link w:val="Heading2"/>
    <w:uiPriority w:val="9"/>
    <w:rsid w:val="009F32F9"/>
    <w:rPr>
      <w:rFonts w:ascii="Corbel" w:eastAsiaTheme="majorEastAsia" w:hAnsi="Corbel" w:cstheme="majorBidi"/>
      <w:b/>
      <w:bCs/>
      <w:sz w:val="26"/>
      <w:szCs w:val="26"/>
    </w:rPr>
  </w:style>
  <w:style w:type="character" w:customStyle="1" w:styleId="Heading3Char">
    <w:name w:val="Heading 3 Char"/>
    <w:basedOn w:val="DefaultParagraphFont"/>
    <w:link w:val="Heading3"/>
    <w:uiPriority w:val="9"/>
    <w:rsid w:val="008C6B07"/>
    <w:rPr>
      <w:rFonts w:ascii="Corbel" w:eastAsiaTheme="majorEastAsia" w:hAnsi="Corbel" w:cstheme="majorBidi"/>
      <w:b/>
      <w:bCs/>
    </w:rPr>
  </w:style>
  <w:style w:type="paragraph" w:styleId="ListParagraph">
    <w:name w:val="List Paragraph"/>
    <w:basedOn w:val="Normal"/>
    <w:uiPriority w:val="34"/>
    <w:qFormat/>
    <w:rsid w:val="00333164"/>
    <w:pPr>
      <w:ind w:left="720"/>
      <w:contextualSpacing/>
    </w:pPr>
  </w:style>
  <w:style w:type="paragraph" w:styleId="Header">
    <w:name w:val="header"/>
    <w:basedOn w:val="Normal"/>
    <w:link w:val="HeaderChar"/>
    <w:uiPriority w:val="99"/>
    <w:unhideWhenUsed/>
    <w:rsid w:val="00A656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5695"/>
    <w:rPr>
      <w:rFonts w:ascii="Corbel" w:hAnsi="Corbel"/>
    </w:rPr>
  </w:style>
  <w:style w:type="paragraph" w:styleId="Footer">
    <w:name w:val="footer"/>
    <w:basedOn w:val="Normal"/>
    <w:link w:val="FooterChar"/>
    <w:uiPriority w:val="99"/>
    <w:unhideWhenUsed/>
    <w:rsid w:val="00A656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5695"/>
    <w:rPr>
      <w:rFonts w:ascii="Corbel" w:hAnsi="Corbel"/>
    </w:rPr>
  </w:style>
  <w:style w:type="paragraph" w:styleId="FootnoteText">
    <w:name w:val="footnote text"/>
    <w:basedOn w:val="Normal"/>
    <w:link w:val="FootnoteTextChar"/>
    <w:uiPriority w:val="99"/>
    <w:semiHidden/>
    <w:unhideWhenUsed/>
    <w:rsid w:val="009D4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28F"/>
    <w:rPr>
      <w:rFonts w:ascii="Corbel" w:hAnsi="Corbel"/>
      <w:sz w:val="20"/>
      <w:szCs w:val="20"/>
    </w:rPr>
  </w:style>
  <w:style w:type="character" w:styleId="FootnoteReference">
    <w:name w:val="footnote reference"/>
    <w:aliases w:val=" BVI fnr,BVI fnr, BVI fnr Car Car,BVI fnr Car, BVI fnr Car Car Car Car, BVI fnr Car Car Car Car Char,BVI fnr Car Car,BVI fnr Car Car Car Car,BVI fnr Car Car Car Car Char,ftref,stylish,BVI fnr Car Char1 Char,BVI fnr Car Car Char1 Char"/>
    <w:basedOn w:val="DefaultParagraphFont"/>
    <w:uiPriority w:val="99"/>
    <w:unhideWhenUsed/>
    <w:qFormat/>
    <w:rsid w:val="009D428F"/>
    <w:rPr>
      <w:vertAlign w:val="superscript"/>
    </w:rPr>
  </w:style>
  <w:style w:type="table" w:styleId="TableGrid">
    <w:name w:val="Table Grid"/>
    <w:basedOn w:val="TableNormal"/>
    <w:uiPriority w:val="59"/>
    <w:rsid w:val="009D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C0C"/>
    <w:rPr>
      <w:rFonts w:ascii="Tahoma" w:hAnsi="Tahoma" w:cs="Tahoma"/>
      <w:sz w:val="16"/>
      <w:szCs w:val="16"/>
    </w:rPr>
  </w:style>
  <w:style w:type="character" w:styleId="Hyperlink">
    <w:name w:val="Hyperlink"/>
    <w:basedOn w:val="DefaultParagraphFont"/>
    <w:uiPriority w:val="99"/>
    <w:unhideWhenUsed/>
    <w:rsid w:val="00CE311C"/>
    <w:rPr>
      <w:color w:val="0000FF" w:themeColor="hyperlink"/>
      <w:u w:val="single"/>
    </w:rPr>
  </w:style>
  <w:style w:type="character" w:styleId="CommentReference">
    <w:name w:val="annotation reference"/>
    <w:basedOn w:val="DefaultParagraphFont"/>
    <w:uiPriority w:val="99"/>
    <w:semiHidden/>
    <w:unhideWhenUsed/>
    <w:rsid w:val="00941920"/>
    <w:rPr>
      <w:sz w:val="16"/>
      <w:szCs w:val="16"/>
    </w:rPr>
  </w:style>
  <w:style w:type="paragraph" w:styleId="CommentText">
    <w:name w:val="annotation text"/>
    <w:basedOn w:val="Normal"/>
    <w:link w:val="CommentTextChar"/>
    <w:uiPriority w:val="99"/>
    <w:unhideWhenUsed/>
    <w:rsid w:val="00941920"/>
    <w:pPr>
      <w:spacing w:line="240" w:lineRule="auto"/>
    </w:pPr>
    <w:rPr>
      <w:sz w:val="20"/>
      <w:szCs w:val="20"/>
    </w:rPr>
  </w:style>
  <w:style w:type="character" w:customStyle="1" w:styleId="CommentTextChar">
    <w:name w:val="Comment Text Char"/>
    <w:basedOn w:val="DefaultParagraphFont"/>
    <w:link w:val="CommentText"/>
    <w:uiPriority w:val="99"/>
    <w:rsid w:val="00941920"/>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941920"/>
    <w:rPr>
      <w:b/>
      <w:bCs/>
    </w:rPr>
  </w:style>
  <w:style w:type="character" w:customStyle="1" w:styleId="CommentSubjectChar">
    <w:name w:val="Comment Subject Char"/>
    <w:basedOn w:val="CommentTextChar"/>
    <w:link w:val="CommentSubject"/>
    <w:uiPriority w:val="99"/>
    <w:semiHidden/>
    <w:rsid w:val="00941920"/>
    <w:rPr>
      <w:rFonts w:ascii="Corbel" w:hAnsi="Corbel"/>
      <w:b/>
      <w:bCs/>
      <w:sz w:val="20"/>
      <w:szCs w:val="20"/>
    </w:rPr>
  </w:style>
  <w:style w:type="table" w:customStyle="1" w:styleId="TableGrid1">
    <w:name w:val="Table Grid1"/>
    <w:basedOn w:val="TableNormal"/>
    <w:next w:val="TableGrid"/>
    <w:uiPriority w:val="59"/>
    <w:rsid w:val="00EC1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HR/TXT/PDF/?uri=CELEX:52014XC0627(01)&amp;from=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8A1FC-1FC4-43E1-B05B-694A6683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4921</Characters>
  <Application>Microsoft Office Word</Application>
  <DocSecurity>0</DocSecurity>
  <Lines>41</Lines>
  <Paragraphs>11</Paragraphs>
  <ScaleCrop>false</ScaleCrop>
  <HeadingPairs>
    <vt:vector size="6" baseType="variant">
      <vt:variant>
        <vt:lpstr>Title</vt:lpstr>
      </vt:variant>
      <vt:variant>
        <vt:i4>1</vt:i4>
      </vt:variant>
      <vt:variant>
        <vt:lpstr>Naslov</vt:lpstr>
      </vt:variant>
      <vt:variant>
        <vt:i4>1</vt:i4>
      </vt:variant>
      <vt:variant>
        <vt:lpstr>Tytuł</vt:lpstr>
      </vt:variant>
      <vt:variant>
        <vt:i4>1</vt:i4>
      </vt:variant>
    </vt:vector>
  </HeadingPairs>
  <TitlesOfParts>
    <vt:vector size="3" baseType="lpstr">
      <vt:lpstr/>
      <vt:lpstr/>
      <vt:lpstr/>
    </vt:vector>
  </TitlesOfParts>
  <Company>MZOŠ</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Mikolaj Stasiak</dc:creator>
  <cp:lastModifiedBy>Sandra Lušetić</cp:lastModifiedBy>
  <cp:revision>2</cp:revision>
  <cp:lastPrinted>2014-12-04T15:22:00Z</cp:lastPrinted>
  <dcterms:created xsi:type="dcterms:W3CDTF">2018-11-23T14:02:00Z</dcterms:created>
  <dcterms:modified xsi:type="dcterms:W3CDTF">2018-11-23T14:02:00Z</dcterms:modified>
</cp:coreProperties>
</file>