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B9E12" w14:textId="77777777" w:rsidR="00852B4D" w:rsidRPr="00470F08" w:rsidRDefault="00852B4D" w:rsidP="00852B4D">
      <w:pPr>
        <w:pStyle w:val="Heading1"/>
        <w:ind w:left="0" w:firstLine="0"/>
        <w:rPr>
          <w:rFonts w:asciiTheme="minorHAnsi" w:hAnsiTheme="minorHAnsi"/>
          <w:lang w:val="hr-HR"/>
        </w:rPr>
      </w:pPr>
      <w:bookmarkStart w:id="0" w:name="_GoBack"/>
      <w:bookmarkEnd w:id="0"/>
      <w:r w:rsidRPr="00470F08">
        <w:rPr>
          <w:rFonts w:asciiTheme="minorHAnsi" w:eastAsia="Times New Roman" w:hAnsiTheme="minorHAnsi" w:cs="Lucida Sans Unicode"/>
          <w:b w:val="0"/>
          <w:noProof/>
          <w:szCs w:val="20"/>
          <w:lang w:val="hr-HR" w:eastAsia="hr-HR"/>
        </w:rPr>
        <w:drawing>
          <wp:inline distT="0" distB="0" distL="0" distR="0" wp14:anchorId="17BC9FD1" wp14:editId="3A4BDA16">
            <wp:extent cx="5943406" cy="1258570"/>
            <wp:effectExtent l="0" t="0" r="0" b="0"/>
            <wp:docPr id="1" name="Picture 1" descr="\\dinara\DEUFAP\5. SF 2014-2020\Vidljivost i informiranje\Dokumenti o vidljivosti\grafički standard\MRRFEU prioritetne osi\elementi\MRRFEU pasice s logotipima\MRRFEU pasica logotipi M\MRRFEU pasica logotipi M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inara\DEUFAP\5. SF 2014-2020\Vidljivost i informiranje\Dokumenti o vidljivosti\grafički standard\MRRFEU prioritetne osi\elementi\MRRFEU pasice s logotipima\MRRFEU pasica logotipi M\MRRFEU pasica logotipi M 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69" cy="125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F954" w14:textId="6BD0B8C4" w:rsidR="00852B4D" w:rsidRDefault="00325A2C" w:rsidP="006E125B">
      <w:pPr>
        <w:pStyle w:val="Heading1"/>
        <w:ind w:left="0" w:firstLine="0"/>
        <w:jc w:val="center"/>
        <w:rPr>
          <w:rFonts w:eastAsia="SimSun" w:cs="Times New Roman"/>
          <w:b w:val="0"/>
          <w:bCs w:val="0"/>
          <w:i/>
          <w:sz w:val="24"/>
          <w:szCs w:val="24"/>
          <w:lang w:val="hr-HR" w:eastAsia="hr-HR"/>
        </w:rPr>
      </w:pPr>
      <w:r w:rsidRPr="00325A2C">
        <w:rPr>
          <w:rFonts w:eastAsia="SimSun" w:cs="Times New Roman"/>
          <w:b w:val="0"/>
          <w:bCs w:val="0"/>
          <w:i/>
          <w:sz w:val="24"/>
          <w:szCs w:val="24"/>
          <w:lang w:val="hr-HR" w:eastAsia="hr-HR"/>
        </w:rPr>
        <w:t>Ovaj poziv se financira iz Europskog fonda za regionalni razvoj</w:t>
      </w:r>
    </w:p>
    <w:p w14:paraId="0DEA8D30" w14:textId="77777777" w:rsidR="005E0041" w:rsidRDefault="005E0041" w:rsidP="006E125B">
      <w:pPr>
        <w:pStyle w:val="Heading1"/>
        <w:ind w:left="0" w:firstLine="0"/>
        <w:jc w:val="center"/>
        <w:rPr>
          <w:rFonts w:eastAsia="SimSun" w:cs="Times New Roman"/>
          <w:b w:val="0"/>
          <w:bCs w:val="0"/>
          <w:i/>
          <w:sz w:val="24"/>
          <w:szCs w:val="24"/>
          <w:lang w:val="hr-HR" w:eastAsia="hr-HR"/>
        </w:rPr>
      </w:pPr>
    </w:p>
    <w:p w14:paraId="1C77DD44" w14:textId="77777777" w:rsidR="00852B4D" w:rsidRPr="00470F08" w:rsidRDefault="00852B4D" w:rsidP="007C40AD">
      <w:pPr>
        <w:pStyle w:val="Heading1"/>
        <w:ind w:left="0" w:firstLine="0"/>
        <w:rPr>
          <w:rFonts w:asciiTheme="minorHAnsi" w:hAnsiTheme="minorHAnsi"/>
          <w:lang w:val="hr-HR"/>
        </w:rPr>
      </w:pPr>
    </w:p>
    <w:p w14:paraId="3D7033B3" w14:textId="4E71F25D" w:rsidR="00BC6A18" w:rsidRPr="00470F08" w:rsidRDefault="003E07E8" w:rsidP="0066701E">
      <w:pPr>
        <w:pStyle w:val="Heading1"/>
        <w:jc w:val="center"/>
        <w:rPr>
          <w:rFonts w:asciiTheme="minorHAnsi" w:hAnsiTheme="minorHAnsi" w:cs="Times New Roman"/>
          <w:lang w:val="hr-HR"/>
        </w:rPr>
      </w:pPr>
      <w:r w:rsidRPr="00470F08">
        <w:rPr>
          <w:rFonts w:asciiTheme="minorHAnsi" w:hAnsiTheme="minorHAnsi" w:cs="Times New Roman"/>
          <w:lang w:val="hr-HR"/>
        </w:rPr>
        <w:t xml:space="preserve">Ključni elementi Studije </w:t>
      </w:r>
      <w:r w:rsidR="008E4F04">
        <w:rPr>
          <w:rFonts w:asciiTheme="minorHAnsi" w:hAnsiTheme="minorHAnsi" w:cs="Times New Roman"/>
          <w:lang w:val="hr-HR"/>
        </w:rPr>
        <w:t xml:space="preserve">izvedivosti </w:t>
      </w:r>
      <w:r w:rsidRPr="00470F08">
        <w:rPr>
          <w:rFonts w:asciiTheme="minorHAnsi" w:hAnsiTheme="minorHAnsi" w:cs="Times New Roman"/>
          <w:lang w:val="hr-HR"/>
        </w:rPr>
        <w:t>s analizom troškova i</w:t>
      </w:r>
      <w:r w:rsidRPr="00470F08">
        <w:rPr>
          <w:rFonts w:asciiTheme="minorHAnsi" w:hAnsiTheme="minorHAnsi" w:cs="Times New Roman"/>
          <w:spacing w:val="-31"/>
          <w:lang w:val="hr-HR"/>
        </w:rPr>
        <w:t xml:space="preserve"> </w:t>
      </w:r>
      <w:r w:rsidRPr="00470F08">
        <w:rPr>
          <w:rFonts w:asciiTheme="minorHAnsi" w:hAnsiTheme="minorHAnsi" w:cs="Times New Roman"/>
          <w:lang w:val="hr-HR"/>
        </w:rPr>
        <w:t>koristi</w:t>
      </w:r>
    </w:p>
    <w:p w14:paraId="147C2422" w14:textId="77777777" w:rsidR="003E07E8" w:rsidRPr="00470F08" w:rsidRDefault="003E07E8">
      <w:pPr>
        <w:pStyle w:val="Heading1"/>
        <w:ind w:left="2011" w:firstLine="0"/>
        <w:rPr>
          <w:rFonts w:asciiTheme="minorHAnsi" w:hAnsiTheme="minorHAnsi" w:cs="Times New Roman"/>
          <w:b w:val="0"/>
          <w:bCs w:val="0"/>
          <w:lang w:val="hr-HR"/>
        </w:rPr>
      </w:pPr>
    </w:p>
    <w:p w14:paraId="7982F87A" w14:textId="044B9EF3" w:rsidR="00BC6A18" w:rsidRPr="00470F08" w:rsidRDefault="005700DB">
      <w:pPr>
        <w:spacing w:line="43" w:lineRule="exact"/>
        <w:ind w:left="117"/>
        <w:rPr>
          <w:rFonts w:eastAsia="Calibri" w:cs="Times New Roman"/>
          <w:lang w:val="hr-HR"/>
        </w:rPr>
      </w:pPr>
      <w:r>
        <w:rPr>
          <w:rFonts w:eastAsia="Calibri" w:cs="Times New Roman"/>
          <w:noProof/>
          <w:lang w:val="hr-HR" w:eastAsia="hr-HR"/>
        </w:rPr>
        <mc:AlternateContent>
          <mc:Choice Requires="wpg">
            <w:drawing>
              <wp:inline distT="0" distB="0" distL="0" distR="0" wp14:anchorId="3A7AE6DF" wp14:editId="5DE0633A">
                <wp:extent cx="6146165" cy="27940"/>
                <wp:effectExtent l="5715" t="8255" r="127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27940"/>
                          <a:chOff x="0" y="0"/>
                          <a:chExt cx="9679" cy="4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9636" cy="2"/>
                            <a:chOff x="22" y="22"/>
                            <a:chExt cx="963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963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636"/>
                                <a:gd name="T2" fmla="+- 0 9657 22"/>
                                <a:gd name="T3" fmla="*/ T2 w 96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6">
                                  <a:moveTo>
                                    <a:pt x="0" y="0"/>
                                  </a:moveTo>
                                  <a:lnTo>
                                    <a:pt x="9635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DACBC" id="Group 2" o:spid="_x0000_s1026" style="width:483.95pt;height:2.2pt;mso-position-horizontal-relative:char;mso-position-vertical-relative:line" coordsize="967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">
                <v:group id="Group 3" o:spid="_x0000_s1027" style="position:absolute;left:22;top:22;width:9636;height:2" coordorigin="22,22" coordsize="96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22;top:22;width:9636;height:2;visibility:visible;mso-wrap-style:square;v-text-anchor:top" coordsize="96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uxu8MA&#10;AADaAAAADwAAAGRycy9kb3ducmV2LnhtbESPQWvCQBSE7wX/w/KE3upGUWlTVxFRqPVibb0/sq9J&#10;2uzbkH0x8d+7BaHHYWa+YRar3lXqQk0oPRsYjxJQxJm3JecGvj53T8+ggiBbrDyTgSsFWC0HDwtM&#10;re/4gy4nyVWEcEjRQCFSp1qHrCCHYeRr4uh9+8ahRNnk2jbYRbir9CRJ5tphyXGhwJo2BWW/p9YZ&#10;kNl0vn3/meFezsd9e/Bde345GvM47NevoIR6+Q/f22/WwBT+rsQbo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uxu8MAAADaAAAADwAAAAAAAAAAAAAAAACYAgAAZHJzL2Rv&#10;d25yZXYueG1sUEsFBgAAAAAEAAQA9QAAAIgDAAAAAA==&#10;" path="m,l9635,e" filled="f" strokecolor="#4f81bc" strokeweight="2.16pt">
                    <v:path arrowok="t" o:connecttype="custom" o:connectlocs="0,0;9635,0" o:connectangles="0,0"/>
                  </v:shape>
                </v:group>
                <w10:anchorlock/>
              </v:group>
            </w:pict>
          </mc:Fallback>
        </mc:AlternateContent>
      </w:r>
    </w:p>
    <w:p w14:paraId="30834F24" w14:textId="77777777" w:rsidR="00BC6A18" w:rsidRPr="00470F08" w:rsidRDefault="00BC6A18">
      <w:pPr>
        <w:rPr>
          <w:rFonts w:eastAsia="Calibri" w:cs="Times New Roman"/>
          <w:b/>
          <w:bCs/>
          <w:lang w:val="hr-HR"/>
        </w:rPr>
      </w:pPr>
    </w:p>
    <w:p w14:paraId="387FE46E" w14:textId="41D7A777" w:rsidR="00BC6A18" w:rsidRPr="00470F08" w:rsidRDefault="003E07E8">
      <w:pPr>
        <w:pStyle w:val="BodyText"/>
        <w:spacing w:before="56"/>
        <w:ind w:left="167"/>
        <w:jc w:val="both"/>
        <w:rPr>
          <w:rFonts w:asciiTheme="minorHAnsi" w:hAnsiTheme="minorHAnsi" w:cs="Times New Roman"/>
          <w:lang w:val="hr-HR"/>
        </w:rPr>
      </w:pPr>
      <w:r w:rsidRPr="00470F08">
        <w:rPr>
          <w:rFonts w:asciiTheme="minorHAnsi" w:hAnsiTheme="minorHAnsi" w:cs="Times New Roman"/>
          <w:lang w:val="hr-HR"/>
        </w:rPr>
        <w:t xml:space="preserve">Studija </w:t>
      </w:r>
      <w:r w:rsidR="00FC451D">
        <w:rPr>
          <w:rFonts w:asciiTheme="minorHAnsi" w:hAnsiTheme="minorHAnsi" w:cs="Times New Roman"/>
          <w:lang w:val="hr-HR"/>
        </w:rPr>
        <w:t xml:space="preserve">izvedivosti </w:t>
      </w:r>
      <w:r w:rsidRPr="00470F08">
        <w:rPr>
          <w:rFonts w:asciiTheme="minorHAnsi" w:hAnsiTheme="minorHAnsi" w:cs="Times New Roman"/>
          <w:lang w:val="hr-HR"/>
        </w:rPr>
        <w:t>s analizo</w:t>
      </w:r>
      <w:r w:rsidR="00424633" w:rsidRPr="00470F08">
        <w:rPr>
          <w:rFonts w:asciiTheme="minorHAnsi" w:hAnsiTheme="minorHAnsi" w:cs="Times New Roman"/>
          <w:lang w:val="hr-HR"/>
        </w:rPr>
        <w:t>m troškova i koristi treba sadržavati</w:t>
      </w:r>
      <w:r w:rsidR="00BE3C82" w:rsidRPr="00470F08">
        <w:rPr>
          <w:rFonts w:asciiTheme="minorHAnsi" w:hAnsiTheme="minorHAnsi" w:cs="Times New Roman"/>
          <w:lang w:val="hr-HR"/>
        </w:rPr>
        <w:t xml:space="preserve"> obrađene</w:t>
      </w:r>
      <w:r w:rsidR="00424633" w:rsidRPr="00470F08">
        <w:rPr>
          <w:rFonts w:asciiTheme="minorHAnsi" w:hAnsiTheme="minorHAnsi" w:cs="Times New Roman"/>
          <w:lang w:val="hr-HR"/>
        </w:rPr>
        <w:t xml:space="preserve"> </w:t>
      </w:r>
      <w:r w:rsidRPr="00470F08">
        <w:rPr>
          <w:rFonts w:asciiTheme="minorHAnsi" w:hAnsiTheme="minorHAnsi" w:cs="Times New Roman"/>
          <w:lang w:val="hr-HR"/>
        </w:rPr>
        <w:t>sljedeće</w:t>
      </w:r>
      <w:r w:rsidRPr="00470F08">
        <w:rPr>
          <w:rFonts w:asciiTheme="minorHAnsi" w:hAnsiTheme="minorHAnsi" w:cs="Times New Roman"/>
          <w:spacing w:val="-21"/>
          <w:lang w:val="hr-HR"/>
        </w:rPr>
        <w:t xml:space="preserve"> </w:t>
      </w:r>
      <w:r w:rsidRPr="00470F08">
        <w:rPr>
          <w:rFonts w:asciiTheme="minorHAnsi" w:hAnsiTheme="minorHAnsi" w:cs="Times New Roman"/>
          <w:lang w:val="hr-HR"/>
        </w:rPr>
        <w:t>elemente:</w:t>
      </w:r>
    </w:p>
    <w:p w14:paraId="1D6B2D53" w14:textId="77777777" w:rsidR="00BC6A18" w:rsidRPr="00470F08" w:rsidRDefault="00BC6A18">
      <w:pPr>
        <w:spacing w:before="10"/>
        <w:rPr>
          <w:rFonts w:eastAsia="Calibri" w:cs="Times New Roman"/>
          <w:lang w:val="hr-HR"/>
        </w:rPr>
      </w:pPr>
    </w:p>
    <w:p w14:paraId="33B68911" w14:textId="27F33C35" w:rsidR="00BC6A18" w:rsidRPr="00470F08" w:rsidRDefault="003E07E8" w:rsidP="00470F08">
      <w:pPr>
        <w:pStyle w:val="ListParagraph"/>
        <w:numPr>
          <w:ilvl w:val="0"/>
          <w:numId w:val="2"/>
        </w:numPr>
        <w:tabs>
          <w:tab w:val="left" w:pos="405"/>
        </w:tabs>
        <w:spacing w:line="242" w:lineRule="auto"/>
        <w:ind w:right="163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>Sažetak</w:t>
      </w:r>
      <w:r w:rsidR="000F05A2">
        <w:rPr>
          <w:rFonts w:cs="Times New Roman"/>
          <w:b/>
          <w:spacing w:val="15"/>
          <w:lang w:val="hr-HR"/>
        </w:rPr>
        <w:t xml:space="preserve"> - </w:t>
      </w:r>
      <w:r w:rsidR="008339FF" w:rsidRPr="00470F08">
        <w:rPr>
          <w:rFonts w:cs="Times New Roman"/>
          <w:lang w:val="hr-HR"/>
        </w:rPr>
        <w:t>uključuje</w:t>
      </w:r>
      <w:r w:rsidRPr="00470F08">
        <w:rPr>
          <w:rFonts w:cs="Times New Roman"/>
          <w:spacing w:val="13"/>
          <w:lang w:val="hr-HR"/>
        </w:rPr>
        <w:t xml:space="preserve"> </w:t>
      </w:r>
      <w:r w:rsidR="00BF6FC4" w:rsidRPr="00470F08">
        <w:rPr>
          <w:rFonts w:cs="Times New Roman"/>
          <w:spacing w:val="13"/>
          <w:lang w:val="hr-HR"/>
        </w:rPr>
        <w:t xml:space="preserve">naziv </w:t>
      </w:r>
      <w:r w:rsidR="00667044">
        <w:rPr>
          <w:rFonts w:cs="Times New Roman"/>
          <w:spacing w:val="13"/>
          <w:lang w:val="hr-HR"/>
        </w:rPr>
        <w:t>prijavitelja</w:t>
      </w:r>
      <w:r w:rsidR="00BF6FC4" w:rsidRPr="00470F08">
        <w:rPr>
          <w:rFonts w:cs="Times New Roman"/>
          <w:spacing w:val="13"/>
          <w:lang w:val="hr-HR"/>
        </w:rPr>
        <w:t xml:space="preserve">, naziv </w:t>
      </w:r>
      <w:r w:rsidR="008339FF" w:rsidRPr="00470F08">
        <w:rPr>
          <w:rFonts w:cs="Times New Roman"/>
          <w:lang w:val="hr-HR"/>
        </w:rPr>
        <w:t>projekt</w:t>
      </w:r>
      <w:r w:rsidR="0067553E" w:rsidRPr="00470F08">
        <w:rPr>
          <w:rFonts w:cs="Times New Roman"/>
          <w:lang w:val="hr-HR"/>
        </w:rPr>
        <w:t>a</w:t>
      </w:r>
      <w:r w:rsidRPr="00470F08">
        <w:rPr>
          <w:rFonts w:cs="Times New Roman"/>
          <w:lang w:val="hr-HR"/>
        </w:rPr>
        <w:t>,</w:t>
      </w:r>
      <w:r w:rsidR="00085871" w:rsidRPr="00470F08">
        <w:rPr>
          <w:rFonts w:cs="Times New Roman"/>
          <w:lang w:val="hr-HR"/>
        </w:rPr>
        <w:t xml:space="preserve"> </w:t>
      </w:r>
      <w:r w:rsidR="0067553E" w:rsidRPr="00470F08">
        <w:rPr>
          <w:rFonts w:cs="Times New Roman"/>
          <w:lang w:val="hr-HR"/>
        </w:rPr>
        <w:t>sektor i područje utjecaja</w:t>
      </w:r>
      <w:r w:rsidR="00223BA0">
        <w:rPr>
          <w:rFonts w:cs="Times New Roman"/>
          <w:lang w:val="hr-HR"/>
        </w:rPr>
        <w:t xml:space="preserve">, </w:t>
      </w:r>
      <w:r w:rsidR="00EC72D2" w:rsidRPr="00470F08">
        <w:rPr>
          <w:rFonts w:cs="Times New Roman"/>
          <w:lang w:val="hr-HR"/>
        </w:rPr>
        <w:t>opis upravljačke strukture, vrijednost projekta;</w:t>
      </w:r>
      <w:r w:rsidRPr="00470F08">
        <w:rPr>
          <w:rFonts w:cs="Times New Roman"/>
          <w:spacing w:val="14"/>
          <w:lang w:val="hr-HR"/>
        </w:rPr>
        <w:t xml:space="preserve"> </w:t>
      </w:r>
    </w:p>
    <w:p w14:paraId="564CAE50" w14:textId="77777777" w:rsidR="00B653BC" w:rsidRPr="00470F08" w:rsidRDefault="00B653BC" w:rsidP="00B653BC">
      <w:pPr>
        <w:pStyle w:val="ListParagraph"/>
        <w:tabs>
          <w:tab w:val="left" w:pos="405"/>
        </w:tabs>
        <w:spacing w:line="242" w:lineRule="auto"/>
        <w:ind w:left="168" w:right="163"/>
        <w:jc w:val="both"/>
        <w:rPr>
          <w:rFonts w:eastAsia="Calibri" w:cs="Times New Roman"/>
          <w:lang w:val="hr-HR"/>
        </w:rPr>
      </w:pPr>
    </w:p>
    <w:p w14:paraId="219B967B" w14:textId="4FD3FD53" w:rsidR="00CE699B" w:rsidRPr="00470F08" w:rsidRDefault="003E07E8" w:rsidP="00470F08">
      <w:pPr>
        <w:pStyle w:val="ListParagraph"/>
        <w:numPr>
          <w:ilvl w:val="0"/>
          <w:numId w:val="2"/>
        </w:numPr>
        <w:jc w:val="both"/>
        <w:rPr>
          <w:rFonts w:cs="Times New Roman"/>
          <w:lang w:val="hr-HR"/>
        </w:rPr>
      </w:pPr>
      <w:r w:rsidRPr="00470F08">
        <w:rPr>
          <w:rFonts w:cs="Times New Roman"/>
          <w:b/>
          <w:lang w:val="hr-HR"/>
        </w:rPr>
        <w:t xml:space="preserve">Uvod u projekt </w:t>
      </w:r>
      <w:r w:rsidR="000F05A2">
        <w:rPr>
          <w:rFonts w:cs="Times New Roman"/>
          <w:b/>
          <w:lang w:val="hr-HR"/>
        </w:rPr>
        <w:t xml:space="preserve">- </w:t>
      </w:r>
      <w:r w:rsidR="00EC72D2" w:rsidRPr="00470F08">
        <w:rPr>
          <w:rFonts w:cs="Times New Roman"/>
          <w:lang w:val="hr-HR"/>
        </w:rPr>
        <w:t>treba</w:t>
      </w:r>
      <w:r w:rsidRPr="00470F08">
        <w:rPr>
          <w:rFonts w:cs="Times New Roman"/>
          <w:lang w:val="hr-HR"/>
        </w:rPr>
        <w:t xml:space="preserve"> sadržavati </w:t>
      </w:r>
      <w:r w:rsidR="00EC72D2" w:rsidRPr="00470F08">
        <w:rPr>
          <w:rFonts w:cs="Times New Roman"/>
          <w:lang w:val="hr-HR"/>
        </w:rPr>
        <w:t xml:space="preserve">detaljan opis projekta, </w:t>
      </w:r>
      <w:r w:rsidR="008A2778" w:rsidRPr="00470F08">
        <w:rPr>
          <w:rFonts w:cs="Times New Roman"/>
          <w:lang w:val="hr-HR"/>
        </w:rPr>
        <w:t>autor</w:t>
      </w:r>
      <w:r w:rsidR="005E0CE9">
        <w:rPr>
          <w:rFonts w:cs="Times New Roman"/>
          <w:lang w:val="hr-HR"/>
        </w:rPr>
        <w:t>a</w:t>
      </w:r>
      <w:r w:rsidR="008A2778" w:rsidRPr="00470F08">
        <w:rPr>
          <w:rFonts w:cs="Times New Roman"/>
          <w:lang w:val="hr-HR"/>
        </w:rPr>
        <w:t xml:space="preserve"> studije izv</w:t>
      </w:r>
      <w:r w:rsidR="00624B00">
        <w:rPr>
          <w:rFonts w:cs="Times New Roman"/>
          <w:lang w:val="hr-HR"/>
        </w:rPr>
        <w:t>e</w:t>
      </w:r>
      <w:r w:rsidR="008A2778" w:rsidRPr="00470F08">
        <w:rPr>
          <w:rFonts w:cs="Times New Roman"/>
          <w:lang w:val="hr-HR"/>
        </w:rPr>
        <w:t>d</w:t>
      </w:r>
      <w:r w:rsidR="00624B00">
        <w:rPr>
          <w:rFonts w:cs="Times New Roman"/>
          <w:lang w:val="hr-HR"/>
        </w:rPr>
        <w:t>i</w:t>
      </w:r>
      <w:r w:rsidR="008A2778" w:rsidRPr="00470F08">
        <w:rPr>
          <w:rFonts w:cs="Times New Roman"/>
          <w:lang w:val="hr-HR"/>
        </w:rPr>
        <w:t>vosti, obuhvat izvješća i poveznice s drugim projektima, korišten</w:t>
      </w:r>
      <w:r w:rsidR="00983589">
        <w:rPr>
          <w:rFonts w:cs="Times New Roman"/>
          <w:lang w:val="hr-HR"/>
        </w:rPr>
        <w:t>u</w:t>
      </w:r>
      <w:r w:rsidR="009030F9">
        <w:rPr>
          <w:rFonts w:cs="Times New Roman"/>
          <w:lang w:val="hr-HR"/>
        </w:rPr>
        <w:t xml:space="preserve"> metodologiju</w:t>
      </w:r>
      <w:r w:rsidR="001C17D9">
        <w:rPr>
          <w:rFonts w:cs="Times New Roman"/>
          <w:lang w:val="hr-HR"/>
        </w:rPr>
        <w:t xml:space="preserve"> pri izradi Studije izvedivosti</w:t>
      </w:r>
      <w:r w:rsidR="008A2778" w:rsidRPr="00470F08">
        <w:rPr>
          <w:rFonts w:cs="Times New Roman"/>
          <w:lang w:val="hr-HR"/>
        </w:rPr>
        <w:t>,</w:t>
      </w:r>
      <w:r w:rsidR="00CE699B" w:rsidRPr="00470F08">
        <w:t xml:space="preserve"> </w:t>
      </w:r>
      <w:r w:rsidR="009030F9">
        <w:rPr>
          <w:rFonts w:cs="Times New Roman"/>
          <w:lang w:val="hr-HR"/>
        </w:rPr>
        <w:t>dosljednost s</w:t>
      </w:r>
      <w:r w:rsidR="00CE699B" w:rsidRPr="00470F08">
        <w:rPr>
          <w:rFonts w:cs="Times New Roman"/>
          <w:lang w:val="hr-HR"/>
        </w:rPr>
        <w:t xml:space="preserve"> EU i nacionalnim strateškim dokumentima, sažetak predloženih rezultata projekta i ciljev</w:t>
      </w:r>
      <w:r w:rsidR="00983589">
        <w:rPr>
          <w:rFonts w:cs="Times New Roman"/>
          <w:lang w:val="hr-HR"/>
        </w:rPr>
        <w:t>e</w:t>
      </w:r>
      <w:r w:rsidR="00CE699B" w:rsidRPr="00470F08">
        <w:rPr>
          <w:rFonts w:cs="Times New Roman"/>
          <w:lang w:val="hr-HR"/>
        </w:rPr>
        <w:t>;</w:t>
      </w:r>
    </w:p>
    <w:p w14:paraId="293042B7" w14:textId="7CC6507B" w:rsidR="00A74315" w:rsidRPr="005E0CE9" w:rsidRDefault="003E07E8" w:rsidP="00A74315">
      <w:pPr>
        <w:pStyle w:val="Heading1"/>
        <w:numPr>
          <w:ilvl w:val="0"/>
          <w:numId w:val="2"/>
        </w:numPr>
        <w:tabs>
          <w:tab w:val="left" w:pos="391"/>
        </w:tabs>
        <w:spacing w:before="154"/>
        <w:ind w:left="170"/>
        <w:jc w:val="both"/>
        <w:rPr>
          <w:rFonts w:asciiTheme="minorHAnsi" w:hAnsiTheme="minorHAnsi" w:cs="Times New Roman"/>
          <w:b w:val="0"/>
          <w:bCs w:val="0"/>
          <w:lang w:val="hr-HR"/>
        </w:rPr>
      </w:pPr>
      <w:r w:rsidRPr="00470F08">
        <w:rPr>
          <w:rFonts w:asciiTheme="minorHAnsi" w:hAnsiTheme="minorHAnsi" w:cs="Times New Roman"/>
          <w:lang w:val="hr-HR"/>
        </w:rPr>
        <w:t>Socio-ekonomski kontekst</w:t>
      </w:r>
      <w:r w:rsidR="00513572" w:rsidRPr="00470F08">
        <w:rPr>
          <w:rFonts w:asciiTheme="minorHAnsi" w:hAnsiTheme="minorHAnsi" w:cs="Times New Roman"/>
          <w:lang w:val="hr-HR"/>
        </w:rPr>
        <w:t xml:space="preserve"> </w:t>
      </w:r>
      <w:r w:rsidR="000F05A2">
        <w:rPr>
          <w:rFonts w:asciiTheme="minorHAnsi" w:hAnsiTheme="minorHAnsi" w:cs="Times New Roman"/>
          <w:lang w:val="hr-HR"/>
        </w:rPr>
        <w:t xml:space="preserve">- </w:t>
      </w:r>
      <w:r w:rsidR="00513572" w:rsidRPr="00470F08">
        <w:rPr>
          <w:rFonts w:asciiTheme="minorHAnsi" w:hAnsiTheme="minorHAnsi" w:cs="Times New Roman"/>
          <w:b w:val="0"/>
          <w:lang w:val="hr-HR"/>
        </w:rPr>
        <w:t xml:space="preserve">treba sadržavati </w:t>
      </w:r>
      <w:r w:rsidR="00C7150D" w:rsidRPr="00470F08">
        <w:rPr>
          <w:rFonts w:asciiTheme="minorHAnsi" w:hAnsiTheme="minorHAnsi" w:cs="Times New Roman"/>
          <w:b w:val="0"/>
          <w:lang w:val="hr-HR"/>
        </w:rPr>
        <w:t>objašnjenu lokaciju projekta</w:t>
      </w:r>
      <w:r w:rsidR="0021275F" w:rsidRPr="00470F08">
        <w:rPr>
          <w:rFonts w:asciiTheme="minorHAnsi" w:hAnsiTheme="minorHAnsi" w:cs="Times New Roman"/>
          <w:b w:val="0"/>
          <w:lang w:val="hr-HR"/>
        </w:rPr>
        <w:t xml:space="preserve"> s obavezno navedenim katastarskim česticama na kojima će se provoditi projekt</w:t>
      </w:r>
      <w:r w:rsidR="00C7150D" w:rsidRPr="00470F08">
        <w:rPr>
          <w:rFonts w:asciiTheme="minorHAnsi" w:hAnsiTheme="minorHAnsi" w:cs="Times New Roman"/>
          <w:b w:val="0"/>
          <w:lang w:val="hr-HR"/>
        </w:rPr>
        <w:t xml:space="preserve">, </w:t>
      </w:r>
      <w:r w:rsidR="0067553E" w:rsidRPr="00470F08">
        <w:rPr>
          <w:rFonts w:asciiTheme="minorHAnsi" w:hAnsiTheme="minorHAnsi" w:cs="Times New Roman"/>
          <w:b w:val="0"/>
          <w:lang w:val="hr-HR"/>
        </w:rPr>
        <w:t>geografski</w:t>
      </w:r>
      <w:r w:rsidR="00983589">
        <w:rPr>
          <w:rFonts w:asciiTheme="minorHAnsi" w:hAnsiTheme="minorHAnsi" w:cs="Times New Roman"/>
          <w:b w:val="0"/>
          <w:lang w:val="hr-HR"/>
        </w:rPr>
        <w:t xml:space="preserve"> i demografski</w:t>
      </w:r>
      <w:r w:rsidR="0067553E" w:rsidRPr="00470F08">
        <w:rPr>
          <w:rFonts w:asciiTheme="minorHAnsi" w:hAnsiTheme="minorHAnsi" w:cs="Times New Roman"/>
          <w:b w:val="0"/>
          <w:lang w:val="hr-HR"/>
        </w:rPr>
        <w:t xml:space="preserve"> aspekt, </w:t>
      </w:r>
      <w:r w:rsidR="00C7150D" w:rsidRPr="00470F08">
        <w:rPr>
          <w:rFonts w:asciiTheme="minorHAnsi" w:hAnsiTheme="minorHAnsi" w:cs="Times New Roman"/>
          <w:b w:val="0"/>
          <w:lang w:val="hr-HR"/>
        </w:rPr>
        <w:t>socio-ekonomsku pozadinu (</w:t>
      </w:r>
      <w:r w:rsidR="00513572" w:rsidRPr="00470F08">
        <w:rPr>
          <w:rFonts w:asciiTheme="minorHAnsi" w:hAnsiTheme="minorHAnsi" w:cs="Times New Roman"/>
          <w:b w:val="0"/>
          <w:lang w:val="hr-HR"/>
        </w:rPr>
        <w:t>regionalne i nacionalne društveno-ekonomske karakteristike relevantne za projekt</w:t>
      </w:r>
      <w:r w:rsidR="00C7150D" w:rsidRPr="00470F08">
        <w:rPr>
          <w:rFonts w:asciiTheme="minorHAnsi" w:hAnsiTheme="minorHAnsi" w:cs="Times New Roman"/>
          <w:b w:val="0"/>
          <w:lang w:val="hr-HR"/>
        </w:rPr>
        <w:t>, izvor</w:t>
      </w:r>
      <w:r w:rsidR="00983589">
        <w:rPr>
          <w:rFonts w:asciiTheme="minorHAnsi" w:hAnsiTheme="minorHAnsi" w:cs="Times New Roman"/>
          <w:b w:val="0"/>
          <w:lang w:val="hr-HR"/>
        </w:rPr>
        <w:t>e</w:t>
      </w:r>
      <w:r w:rsidR="00C7150D" w:rsidRPr="00470F08">
        <w:rPr>
          <w:rFonts w:asciiTheme="minorHAnsi" w:hAnsiTheme="minorHAnsi" w:cs="Times New Roman"/>
          <w:b w:val="0"/>
          <w:lang w:val="hr-HR"/>
        </w:rPr>
        <w:t xml:space="preserve"> financiranja</w:t>
      </w:r>
      <w:r w:rsidR="001C17D9">
        <w:rPr>
          <w:rFonts w:asciiTheme="minorHAnsi" w:hAnsiTheme="minorHAnsi" w:cs="Times New Roman"/>
          <w:b w:val="0"/>
          <w:lang w:val="hr-HR"/>
        </w:rPr>
        <w:t xml:space="preserve"> institucije prijavitelja</w:t>
      </w:r>
      <w:r w:rsidR="009030F9">
        <w:rPr>
          <w:rFonts w:asciiTheme="minorHAnsi" w:hAnsiTheme="minorHAnsi" w:cs="Times New Roman"/>
          <w:b w:val="0"/>
          <w:lang w:val="hr-HR"/>
        </w:rPr>
        <w:t xml:space="preserve"> i njezin</w:t>
      </w:r>
      <w:r w:rsidR="00C7150D" w:rsidRPr="00470F08">
        <w:rPr>
          <w:rFonts w:asciiTheme="minorHAnsi" w:hAnsiTheme="minorHAnsi" w:cs="Times New Roman"/>
          <w:b w:val="0"/>
          <w:lang w:val="hr-HR"/>
        </w:rPr>
        <w:t xml:space="preserve"> proračun)</w:t>
      </w:r>
      <w:r w:rsidRPr="00470F08">
        <w:rPr>
          <w:rFonts w:asciiTheme="minorHAnsi" w:hAnsiTheme="minorHAnsi" w:cs="Times New Roman"/>
          <w:lang w:val="hr-HR"/>
        </w:rPr>
        <w:t>;</w:t>
      </w:r>
      <w:r w:rsidR="002634E5">
        <w:rPr>
          <w:rFonts w:asciiTheme="minorHAnsi" w:hAnsiTheme="minorHAnsi" w:cs="Times New Roman"/>
          <w:lang w:val="hr-HR"/>
        </w:rPr>
        <w:t xml:space="preserve"> </w:t>
      </w:r>
    </w:p>
    <w:p w14:paraId="01937502" w14:textId="77777777" w:rsidR="005E0CE9" w:rsidRPr="00072267" w:rsidRDefault="005E0CE9" w:rsidP="00ED006A">
      <w:pPr>
        <w:pStyle w:val="Heading1"/>
        <w:tabs>
          <w:tab w:val="left" w:pos="391"/>
        </w:tabs>
        <w:spacing w:before="154"/>
        <w:ind w:left="0" w:firstLine="0"/>
        <w:jc w:val="both"/>
        <w:rPr>
          <w:rFonts w:asciiTheme="minorHAnsi" w:hAnsiTheme="minorHAnsi" w:cs="Times New Roman"/>
          <w:b w:val="0"/>
          <w:bCs w:val="0"/>
          <w:sz w:val="8"/>
          <w:lang w:val="hr-HR"/>
        </w:rPr>
      </w:pPr>
    </w:p>
    <w:p w14:paraId="6FA8B163" w14:textId="473D3EE1" w:rsidR="00A74315" w:rsidRPr="00197C99" w:rsidRDefault="00A74315" w:rsidP="00A4435A">
      <w:pPr>
        <w:pStyle w:val="ListParagraph"/>
        <w:numPr>
          <w:ilvl w:val="0"/>
          <w:numId w:val="2"/>
        </w:numPr>
        <w:jc w:val="both"/>
        <w:rPr>
          <w:rFonts w:eastAsia="Calibri" w:cs="Times New Roman"/>
          <w:lang w:val="hr-HR"/>
        </w:rPr>
      </w:pPr>
      <w:r w:rsidRPr="00464AE6">
        <w:rPr>
          <w:rFonts w:eastAsia="Calibri" w:cs="Times New Roman"/>
          <w:b/>
          <w:lang w:val="hr-HR"/>
        </w:rPr>
        <w:t>Organizacijska reforma</w:t>
      </w:r>
      <w:r w:rsidR="000F05A2">
        <w:rPr>
          <w:rFonts w:eastAsia="Calibri" w:cs="Times New Roman"/>
          <w:b/>
          <w:lang w:val="hr-HR"/>
        </w:rPr>
        <w:t xml:space="preserve"> -</w:t>
      </w:r>
      <w:r w:rsidR="00464AE6">
        <w:rPr>
          <w:rFonts w:eastAsia="Calibri" w:cs="Times New Roman"/>
          <w:lang w:val="hr-HR"/>
        </w:rPr>
        <w:t xml:space="preserve"> </w:t>
      </w:r>
      <w:r w:rsidRPr="00A74315">
        <w:rPr>
          <w:rFonts w:eastAsia="Calibri" w:cs="Times New Roman"/>
          <w:lang w:val="hr-HR"/>
        </w:rPr>
        <w:t>treba opisati kako će se kroz organizacijsku reformu omogućit</w:t>
      </w:r>
      <w:r w:rsidR="00E63396">
        <w:rPr>
          <w:rFonts w:eastAsia="Calibri" w:cs="Times New Roman"/>
          <w:lang w:val="hr-HR"/>
        </w:rPr>
        <w:t>i</w:t>
      </w:r>
      <w:r w:rsidRPr="00A74315">
        <w:rPr>
          <w:rFonts w:eastAsia="Calibri" w:cs="Times New Roman"/>
          <w:lang w:val="hr-HR"/>
        </w:rPr>
        <w:t xml:space="preserve"> institucionalna reforma IRI sektora odnosno poboljšanje funkcioniranja kroz neformalne i formalne procese organizacijske strukture</w:t>
      </w:r>
      <w:r w:rsidR="00A4435A">
        <w:rPr>
          <w:rFonts w:eastAsia="Calibri" w:cs="Times New Roman"/>
          <w:lang w:val="hr-HR"/>
        </w:rPr>
        <w:t xml:space="preserve">. </w:t>
      </w:r>
      <w:r w:rsidR="00A4435A" w:rsidRPr="00A4435A">
        <w:rPr>
          <w:rFonts w:eastAsia="Calibri" w:cs="Times New Roman"/>
          <w:lang w:val="hr-HR"/>
        </w:rPr>
        <w:t xml:space="preserve">Organizacijska reforma podrazumijeva cjelovitu viziju koja obuhvaća cijelu instituciju prijavitelja, podrazumijeva definirani program, misiju i upravljanje te može obuhvaćati aspekte kao što su ustrojavanje novih organizacijskih jedinica, efikasnija podjela ljudskih kapaciteta unutar institucije, izmjene u unutarnjem ustrojstvu institucije u smislu donošenja novih organigrama, planova rada i/ili slično. </w:t>
      </w:r>
      <w:r w:rsidR="00A4435A">
        <w:rPr>
          <w:rFonts w:eastAsia="Calibri" w:cs="Times New Roman"/>
          <w:lang w:val="hr-HR"/>
        </w:rPr>
        <w:t xml:space="preserve">Cilj reforme je </w:t>
      </w:r>
      <w:r w:rsidR="000F05A2">
        <w:rPr>
          <w:rFonts w:eastAsia="Calibri" w:cs="Times New Roman"/>
          <w:lang w:val="hr-HR"/>
        </w:rPr>
        <w:t>da institucija postane</w:t>
      </w:r>
      <w:r w:rsidR="000F05A2" w:rsidRPr="000F05A2">
        <w:rPr>
          <w:rFonts w:eastAsia="Calibri" w:cs="Times New Roman"/>
          <w:lang w:val="hr-HR"/>
        </w:rPr>
        <w:t xml:space="preserve"> učinkovitija s obzirom na ljudske resurse, korištenje istraživačke opreme, prijave kompetitivnih projekata, otvorenost tj. suradnju s domaćim i inozemnim institucijama i istraživačima te konkurentnija u suradnji s javnim i/ili privatnim sektorom za </w:t>
      </w:r>
      <w:r w:rsidR="00197C99">
        <w:rPr>
          <w:rFonts w:eastAsia="Calibri" w:cs="Times New Roman"/>
          <w:lang w:val="hr-HR"/>
        </w:rPr>
        <w:t xml:space="preserve">potrebe gospodarstva i društva, te da se </w:t>
      </w:r>
      <w:r w:rsidR="00197C99" w:rsidRPr="00197C99">
        <w:rPr>
          <w:rFonts w:eastAsia="Calibri" w:cs="Times New Roman"/>
          <w:lang w:val="hr-HR"/>
        </w:rPr>
        <w:t>poboljša</w:t>
      </w:r>
      <w:r w:rsidR="00197C99">
        <w:rPr>
          <w:rFonts w:eastAsia="Calibri" w:cs="Times New Roman"/>
          <w:lang w:val="hr-HR"/>
        </w:rPr>
        <w:t>ju kvaliteta, opseg i relevantnost</w:t>
      </w:r>
      <w:r w:rsidRPr="00197C99">
        <w:rPr>
          <w:rFonts w:eastAsia="Calibri" w:cs="Times New Roman"/>
          <w:lang w:val="hr-HR"/>
        </w:rPr>
        <w:t xml:space="preserve"> istraživačkih aktivnosti.</w:t>
      </w:r>
    </w:p>
    <w:p w14:paraId="086BD36B" w14:textId="77777777" w:rsidR="00A74315" w:rsidRPr="00A74315" w:rsidRDefault="00A74315" w:rsidP="00A74315">
      <w:pPr>
        <w:pStyle w:val="ListParagraph"/>
        <w:ind w:left="170"/>
        <w:rPr>
          <w:rFonts w:eastAsia="Calibri" w:cs="Times New Roman"/>
          <w:lang w:val="hr-HR"/>
        </w:rPr>
      </w:pPr>
    </w:p>
    <w:p w14:paraId="318DE9E7" w14:textId="40474153" w:rsidR="00E336B4" w:rsidRPr="00470F08" w:rsidRDefault="005D6224" w:rsidP="00A74315">
      <w:pPr>
        <w:pStyle w:val="ListParagraph"/>
        <w:numPr>
          <w:ilvl w:val="0"/>
          <w:numId w:val="2"/>
        </w:numPr>
        <w:ind w:left="170"/>
        <w:jc w:val="both"/>
        <w:rPr>
          <w:rFonts w:eastAsia="Calibri" w:cs="Times New Roman"/>
          <w:bCs/>
          <w:lang w:val="hr-HR"/>
        </w:rPr>
      </w:pPr>
      <w:r w:rsidRPr="00A12628">
        <w:rPr>
          <w:rFonts w:cs="Times New Roman"/>
          <w:b/>
          <w:lang w:val="hr-HR"/>
        </w:rPr>
        <w:t>Intervencijska logika</w:t>
      </w:r>
      <w:r w:rsidR="00223B28" w:rsidRPr="00A12628">
        <w:rPr>
          <w:rFonts w:cs="Times New Roman"/>
          <w:lang w:val="hr-HR"/>
        </w:rPr>
        <w:t xml:space="preserve"> </w:t>
      </w:r>
      <w:r w:rsidR="000F05A2" w:rsidRPr="00A12628">
        <w:rPr>
          <w:rFonts w:cs="Times New Roman"/>
          <w:lang w:val="hr-HR"/>
        </w:rPr>
        <w:t xml:space="preserve"> - </w:t>
      </w:r>
      <w:r w:rsidR="00CE699B" w:rsidRPr="00A12628">
        <w:rPr>
          <w:rFonts w:cs="Times New Roman"/>
          <w:lang w:val="hr-HR"/>
        </w:rPr>
        <w:t xml:space="preserve">treba sadržavati </w:t>
      </w:r>
      <w:r w:rsidR="00E20025" w:rsidRPr="00A12628">
        <w:rPr>
          <w:rFonts w:cs="Times New Roman"/>
          <w:lang w:val="hr-HR"/>
        </w:rPr>
        <w:t xml:space="preserve">analizu </w:t>
      </w:r>
      <w:r w:rsidR="00367225" w:rsidRPr="00A12628">
        <w:rPr>
          <w:rFonts w:cs="Times New Roman"/>
          <w:lang w:val="hr-HR"/>
        </w:rPr>
        <w:t xml:space="preserve">usporedive </w:t>
      </w:r>
      <w:r w:rsidR="00E20025" w:rsidRPr="00A12628">
        <w:rPr>
          <w:rFonts w:cs="Times New Roman"/>
          <w:lang w:val="hr-HR"/>
        </w:rPr>
        <w:t>istraživačke infrastrukture dostupn</w:t>
      </w:r>
      <w:r w:rsidR="00A81A6C" w:rsidRPr="00A12628">
        <w:rPr>
          <w:rFonts w:cs="Times New Roman"/>
          <w:lang w:val="hr-HR"/>
        </w:rPr>
        <w:t>e</w:t>
      </w:r>
      <w:r w:rsidR="00E20025" w:rsidRPr="00A12628">
        <w:rPr>
          <w:rFonts w:cs="Times New Roman"/>
          <w:lang w:val="hr-HR"/>
        </w:rPr>
        <w:t xml:space="preserve"> na lokalnoj, nacionalnoj i EU razini</w:t>
      </w:r>
      <w:r w:rsidR="005041E4" w:rsidRPr="00A12628">
        <w:rPr>
          <w:rFonts w:cs="Times New Roman"/>
          <w:lang w:val="hr-HR"/>
        </w:rPr>
        <w:t>,</w:t>
      </w:r>
      <w:r w:rsidR="005041E4" w:rsidRPr="003B5FC2">
        <w:rPr>
          <w:rFonts w:cs="Times New Roman"/>
          <w:lang w:val="hr-HR"/>
        </w:rPr>
        <w:t xml:space="preserve"> </w:t>
      </w:r>
      <w:r w:rsidR="00A81A6C" w:rsidRPr="003B5FC2">
        <w:rPr>
          <w:rFonts w:cs="Times New Roman"/>
          <w:lang w:val="hr-HR"/>
        </w:rPr>
        <w:t>opis vrste istraživanja koj</w:t>
      </w:r>
      <w:r w:rsidR="00EE4E6D" w:rsidRPr="003B5FC2">
        <w:rPr>
          <w:rFonts w:cs="Times New Roman"/>
          <w:lang w:val="hr-HR"/>
        </w:rPr>
        <w:t>u</w:t>
      </w:r>
      <w:r w:rsidR="00A81A6C" w:rsidRPr="003B5FC2">
        <w:rPr>
          <w:rFonts w:cs="Times New Roman"/>
          <w:lang w:val="hr-HR"/>
        </w:rPr>
        <w:t xml:space="preserve"> korisnik</w:t>
      </w:r>
      <w:r w:rsidR="00E20025" w:rsidRPr="003B5FC2">
        <w:rPr>
          <w:rFonts w:cs="Times New Roman"/>
          <w:lang w:val="hr-HR"/>
        </w:rPr>
        <w:t xml:space="preserve"> </w:t>
      </w:r>
      <w:r w:rsidR="00A81A6C" w:rsidRPr="003B5FC2">
        <w:rPr>
          <w:rFonts w:cs="Times New Roman"/>
          <w:lang w:val="hr-HR"/>
        </w:rPr>
        <w:t>obavlja</w:t>
      </w:r>
      <w:r w:rsidR="00DD7D38" w:rsidRPr="003B5FC2">
        <w:rPr>
          <w:rFonts w:cs="Times New Roman"/>
          <w:lang w:val="hr-HR"/>
        </w:rPr>
        <w:t>.</w:t>
      </w:r>
      <w:r w:rsidR="00A81A6C" w:rsidRPr="003B5FC2">
        <w:rPr>
          <w:rFonts w:cs="Times New Roman"/>
          <w:lang w:val="hr-HR"/>
        </w:rPr>
        <w:t xml:space="preserve"> </w:t>
      </w:r>
      <w:r w:rsidR="00DD7D38" w:rsidRPr="003B5FC2">
        <w:rPr>
          <w:rFonts w:cs="Times New Roman"/>
          <w:lang w:val="hr-HR"/>
        </w:rPr>
        <w:t>V</w:t>
      </w:r>
      <w:r w:rsidR="000A10F9" w:rsidRPr="003B5FC2">
        <w:rPr>
          <w:rFonts w:cs="Times New Roman"/>
          <w:lang w:val="hr-HR"/>
        </w:rPr>
        <w:t xml:space="preserve">ažno je </w:t>
      </w:r>
      <w:r w:rsidR="00EE4E6D" w:rsidRPr="003B5FC2">
        <w:rPr>
          <w:rFonts w:cs="Times New Roman"/>
          <w:lang w:val="hr-HR"/>
        </w:rPr>
        <w:t>utvrditi</w:t>
      </w:r>
      <w:r w:rsidR="000A10F9" w:rsidRPr="003B5FC2">
        <w:rPr>
          <w:rFonts w:cs="Times New Roman"/>
          <w:lang w:val="hr-HR"/>
        </w:rPr>
        <w:t xml:space="preserve"> </w:t>
      </w:r>
      <w:r w:rsidR="00EE4E6D" w:rsidRPr="003B5FC2">
        <w:rPr>
          <w:rFonts w:cs="Times New Roman"/>
          <w:lang w:val="hr-HR"/>
        </w:rPr>
        <w:t>postojeće istraživačke resurse</w:t>
      </w:r>
      <w:r w:rsidR="000A10F9" w:rsidRPr="003B5FC2">
        <w:rPr>
          <w:rFonts w:cs="Times New Roman"/>
          <w:lang w:val="hr-HR"/>
        </w:rPr>
        <w:t xml:space="preserve"> u </w:t>
      </w:r>
      <w:r w:rsidR="00EE4E6D" w:rsidRPr="003B5FC2">
        <w:rPr>
          <w:rFonts w:cs="Times New Roman"/>
          <w:lang w:val="hr-HR"/>
        </w:rPr>
        <w:t xml:space="preserve">predloženom </w:t>
      </w:r>
      <w:r w:rsidR="000A10F9" w:rsidRPr="003B5FC2">
        <w:rPr>
          <w:rFonts w:cs="Times New Roman"/>
          <w:lang w:val="hr-HR"/>
        </w:rPr>
        <w:t>područj</w:t>
      </w:r>
      <w:r w:rsidR="00EE4E6D" w:rsidRPr="003B5FC2">
        <w:rPr>
          <w:rFonts w:cs="Times New Roman"/>
          <w:lang w:val="hr-HR"/>
        </w:rPr>
        <w:t xml:space="preserve">u istraživanja </w:t>
      </w:r>
      <w:r w:rsidR="00367225" w:rsidRPr="003B5FC2">
        <w:rPr>
          <w:rFonts w:cs="Times New Roman"/>
          <w:lang w:val="hr-HR"/>
        </w:rPr>
        <w:t>i</w:t>
      </w:r>
      <w:r w:rsidR="00EE4E6D" w:rsidRPr="003B5FC2">
        <w:rPr>
          <w:rFonts w:cs="Times New Roman"/>
          <w:lang w:val="hr-HR"/>
        </w:rPr>
        <w:t xml:space="preserve"> </w:t>
      </w:r>
      <w:r w:rsidR="00367225" w:rsidRPr="003B5FC2">
        <w:rPr>
          <w:rFonts w:cs="Times New Roman"/>
          <w:lang w:val="hr-HR"/>
        </w:rPr>
        <w:t>usklađenost</w:t>
      </w:r>
      <w:r w:rsidR="00321474">
        <w:rPr>
          <w:rFonts w:cs="Times New Roman"/>
          <w:lang w:val="hr-HR"/>
        </w:rPr>
        <w:t xml:space="preserve"> s</w:t>
      </w:r>
      <w:r w:rsidR="00BD773D" w:rsidRPr="003B5FC2">
        <w:rPr>
          <w:rFonts w:cs="Times New Roman"/>
          <w:lang w:val="hr-HR"/>
        </w:rPr>
        <w:t xml:space="preserve"> kapacitetima i planiranim učinkom </w:t>
      </w:r>
      <w:r w:rsidR="000A10F9" w:rsidRPr="003B5FC2">
        <w:rPr>
          <w:rFonts w:cs="Times New Roman"/>
          <w:lang w:val="hr-HR"/>
        </w:rPr>
        <w:t>predložene infrastrukture</w:t>
      </w:r>
      <w:r w:rsidR="00EE4E6D" w:rsidRPr="003B5FC2">
        <w:rPr>
          <w:rFonts w:cs="Times New Roman"/>
          <w:lang w:val="hr-HR"/>
        </w:rPr>
        <w:t>,</w:t>
      </w:r>
      <w:r w:rsidR="00225405" w:rsidRPr="003B5FC2">
        <w:rPr>
          <w:rFonts w:cs="Times New Roman"/>
          <w:lang w:val="hr-HR"/>
        </w:rPr>
        <w:t xml:space="preserve"> </w:t>
      </w:r>
      <w:r w:rsidR="005041E4" w:rsidRPr="003B5FC2">
        <w:rPr>
          <w:rFonts w:cs="Times New Roman"/>
          <w:lang w:val="hr-HR"/>
        </w:rPr>
        <w:t>strategiju</w:t>
      </w:r>
      <w:r w:rsidR="00CF2F27" w:rsidRPr="003B5FC2">
        <w:rPr>
          <w:rFonts w:cs="Times New Roman"/>
          <w:lang w:val="hr-HR"/>
        </w:rPr>
        <w:t xml:space="preserve"> istraživanja i razvoja</w:t>
      </w:r>
      <w:r w:rsidR="005041E4" w:rsidRPr="003B5FC2">
        <w:rPr>
          <w:rFonts w:cs="Times New Roman"/>
          <w:lang w:val="hr-HR"/>
        </w:rPr>
        <w:t xml:space="preserve">, </w:t>
      </w:r>
      <w:r w:rsidR="00223B28" w:rsidRPr="003B5FC2">
        <w:rPr>
          <w:rFonts w:cs="Times New Roman"/>
          <w:lang w:val="hr-HR"/>
        </w:rPr>
        <w:t>ciljev</w:t>
      </w:r>
      <w:r w:rsidR="00624B00" w:rsidRPr="003B5FC2">
        <w:rPr>
          <w:rFonts w:cs="Times New Roman"/>
          <w:lang w:val="hr-HR"/>
        </w:rPr>
        <w:t>e</w:t>
      </w:r>
      <w:r w:rsidR="00223B28" w:rsidRPr="003B5FC2">
        <w:rPr>
          <w:rFonts w:cs="Times New Roman"/>
          <w:lang w:val="hr-HR"/>
        </w:rPr>
        <w:t xml:space="preserve"> projekta i rezultat</w:t>
      </w:r>
      <w:r w:rsidR="00624B00" w:rsidRPr="003B5FC2">
        <w:rPr>
          <w:rFonts w:cs="Times New Roman"/>
          <w:lang w:val="hr-HR"/>
        </w:rPr>
        <w:t>e</w:t>
      </w:r>
      <w:r w:rsidR="00223B28" w:rsidRPr="003B5FC2">
        <w:rPr>
          <w:rFonts w:cs="Times New Roman"/>
          <w:lang w:val="hr-HR"/>
        </w:rPr>
        <w:t xml:space="preserve"> projekta te realno prikazane i objašnjenje pokazatelje neposrednih rezultata i pokazatelje rezultata</w:t>
      </w:r>
      <w:r w:rsidR="00DF2E39" w:rsidRPr="003B5FC2">
        <w:rPr>
          <w:rFonts w:cs="Times New Roman"/>
          <w:lang w:val="hr-HR"/>
        </w:rPr>
        <w:t>.</w:t>
      </w:r>
      <w:r w:rsidR="00317C49" w:rsidRPr="003B5FC2">
        <w:rPr>
          <w:rFonts w:cs="Times New Roman"/>
          <w:lang w:val="hr-HR"/>
        </w:rPr>
        <w:t xml:space="preserve"> </w:t>
      </w:r>
      <w:r w:rsidR="00DF2E39" w:rsidRPr="003B5FC2">
        <w:rPr>
          <w:rFonts w:cs="Times New Roman"/>
          <w:lang w:val="hr-HR"/>
        </w:rPr>
        <w:t>O</w:t>
      </w:r>
      <w:r w:rsidR="00223B28" w:rsidRPr="003B5FC2">
        <w:rPr>
          <w:rFonts w:cs="Times New Roman"/>
          <w:lang w:val="hr-HR"/>
        </w:rPr>
        <w:t>pisa</w:t>
      </w:r>
      <w:r w:rsidR="00DF2E39" w:rsidRPr="003B5FC2">
        <w:rPr>
          <w:rFonts w:cs="Times New Roman"/>
          <w:lang w:val="hr-HR"/>
        </w:rPr>
        <w:t>ti</w:t>
      </w:r>
      <w:r w:rsidR="001A0C3C">
        <w:rPr>
          <w:rFonts w:cs="Times New Roman"/>
          <w:lang w:val="hr-HR"/>
        </w:rPr>
        <w:t xml:space="preserve"> usklađenost s</w:t>
      </w:r>
      <w:r w:rsidR="00223B28" w:rsidRPr="003B5FC2">
        <w:rPr>
          <w:rFonts w:cs="Times New Roman"/>
          <w:lang w:val="hr-HR"/>
        </w:rPr>
        <w:t xml:space="preserve"> EU i nacionalnim strateškim dokumentima (</w:t>
      </w:r>
      <w:r w:rsidR="008C5B6E" w:rsidRPr="003B5FC2">
        <w:rPr>
          <w:rFonts w:cs="Times New Roman"/>
          <w:lang w:val="hr-HR"/>
        </w:rPr>
        <w:t xml:space="preserve">Strategija </w:t>
      </w:r>
      <w:r w:rsidR="00223B28" w:rsidRPr="003B5FC2">
        <w:rPr>
          <w:rFonts w:cs="Times New Roman"/>
          <w:lang w:val="hr-HR"/>
        </w:rPr>
        <w:t>Europa 2020</w:t>
      </w:r>
      <w:r w:rsidR="00223B28" w:rsidRPr="003B5FC2">
        <w:rPr>
          <w:rStyle w:val="FootnoteReference"/>
          <w:rFonts w:cs="Times New Roman"/>
          <w:lang w:val="hr-HR"/>
        </w:rPr>
        <w:footnoteReference w:id="1"/>
      </w:r>
      <w:r w:rsidR="00223B28" w:rsidRPr="003B5FC2">
        <w:rPr>
          <w:rFonts w:cs="Times New Roman"/>
          <w:lang w:val="hr-HR"/>
        </w:rPr>
        <w:t>, Operativni program ''Konkurentnost i kohezija''</w:t>
      </w:r>
      <w:r w:rsidR="00223B28" w:rsidRPr="003B5FC2">
        <w:rPr>
          <w:rStyle w:val="FootnoteReference"/>
          <w:rFonts w:cs="Times New Roman"/>
          <w:lang w:val="hr-HR"/>
        </w:rPr>
        <w:footnoteReference w:id="2"/>
      </w:r>
      <w:r w:rsidR="00223B28" w:rsidRPr="003B5FC2">
        <w:rPr>
          <w:rFonts w:cs="Times New Roman"/>
          <w:lang w:val="hr-HR"/>
        </w:rPr>
        <w:t>, Strategija pametne specijalizacije</w:t>
      </w:r>
      <w:r w:rsidR="00DF2E39" w:rsidRPr="003B5FC2">
        <w:rPr>
          <w:rFonts w:cs="Times New Roman"/>
          <w:lang w:val="hr-HR"/>
        </w:rPr>
        <w:t xml:space="preserve"> Republike Hrvatske za razdoblje 2016.-2020.</w:t>
      </w:r>
      <w:r w:rsidR="00223B28" w:rsidRPr="003B5FC2">
        <w:rPr>
          <w:rStyle w:val="FootnoteReference"/>
          <w:rFonts w:cs="Times New Roman"/>
          <w:lang w:val="hr-HR"/>
        </w:rPr>
        <w:footnoteReference w:id="3"/>
      </w:r>
      <w:r w:rsidR="00223B28" w:rsidRPr="003B5FC2">
        <w:rPr>
          <w:rFonts w:cs="Times New Roman"/>
          <w:lang w:val="hr-HR"/>
        </w:rPr>
        <w:t>, Plan razvoja istraživačke</w:t>
      </w:r>
      <w:r w:rsidR="00223B28" w:rsidRPr="00470F08">
        <w:rPr>
          <w:rFonts w:cs="Times New Roman"/>
          <w:lang w:val="hr-HR"/>
        </w:rPr>
        <w:t xml:space="preserve"> i inovacijske infrastrukture u Republici Hrvatskoj</w:t>
      </w:r>
      <w:r w:rsidR="00223B28" w:rsidRPr="00470F08">
        <w:rPr>
          <w:rStyle w:val="FootnoteReference"/>
          <w:rFonts w:cs="Times New Roman"/>
          <w:lang w:val="hr-HR"/>
        </w:rPr>
        <w:footnoteReference w:id="4"/>
      </w:r>
      <w:r w:rsidR="00D85815">
        <w:rPr>
          <w:rFonts w:cs="Times New Roman"/>
          <w:lang w:val="hr-HR"/>
        </w:rPr>
        <w:t xml:space="preserve"> te</w:t>
      </w:r>
      <w:r w:rsidR="00223B28" w:rsidRPr="00470F08">
        <w:t xml:space="preserve"> </w:t>
      </w:r>
      <w:r w:rsidR="00223B28" w:rsidRPr="00470F08">
        <w:rPr>
          <w:rFonts w:cs="Times New Roman"/>
          <w:lang w:val="hr-HR"/>
        </w:rPr>
        <w:t>Strategija obrazovanja, znanosti i tehnologije</w:t>
      </w:r>
      <w:r w:rsidR="00223B28" w:rsidRPr="00470F08">
        <w:rPr>
          <w:rStyle w:val="FootnoteReference"/>
          <w:rFonts w:cs="Times New Roman"/>
          <w:lang w:val="hr-HR"/>
        </w:rPr>
        <w:footnoteReference w:id="5"/>
      </w:r>
      <w:r w:rsidR="00223B28" w:rsidRPr="00470F08">
        <w:rPr>
          <w:rFonts w:cs="Times New Roman"/>
          <w:lang w:val="hr-HR"/>
        </w:rPr>
        <w:t>),</w:t>
      </w:r>
      <w:r w:rsidR="00E336B4" w:rsidRPr="00470F08">
        <w:t xml:space="preserve"> </w:t>
      </w:r>
      <w:r w:rsidR="00E336B4" w:rsidRPr="00470F08">
        <w:rPr>
          <w:rFonts w:eastAsia="Calibri" w:cs="Times New Roman"/>
          <w:bCs/>
          <w:lang w:val="hr-HR"/>
        </w:rPr>
        <w:t xml:space="preserve">usklađenost sa </w:t>
      </w:r>
      <w:r w:rsidR="00E336B4" w:rsidRPr="00470F08">
        <w:rPr>
          <w:rFonts w:eastAsia="Calibri" w:cs="Times New Roman"/>
          <w:bCs/>
          <w:lang w:val="hr-HR"/>
        </w:rPr>
        <w:lastRenderedPageBreak/>
        <w:t xml:space="preserve">strategijom </w:t>
      </w:r>
      <w:r w:rsidR="00466106">
        <w:rPr>
          <w:rFonts w:eastAsia="Calibri" w:cs="Times New Roman"/>
          <w:bCs/>
          <w:lang w:val="hr-HR"/>
        </w:rPr>
        <w:t xml:space="preserve">institucije </w:t>
      </w:r>
      <w:r w:rsidR="00D83555">
        <w:rPr>
          <w:rFonts w:eastAsia="Calibri" w:cs="Times New Roman"/>
          <w:bCs/>
          <w:lang w:val="hr-HR"/>
        </w:rPr>
        <w:t xml:space="preserve">prijavitelja </w:t>
      </w:r>
      <w:r w:rsidR="001A0C3C">
        <w:rPr>
          <w:rFonts w:eastAsia="Calibri" w:cs="Times New Roman"/>
          <w:bCs/>
          <w:lang w:val="hr-HR"/>
        </w:rPr>
        <w:t>i objašnjenu povezanost s</w:t>
      </w:r>
      <w:r w:rsidR="00CE699B" w:rsidRPr="00470F08">
        <w:rPr>
          <w:rFonts w:eastAsia="Calibri" w:cs="Times New Roman"/>
          <w:bCs/>
          <w:lang w:val="hr-HR"/>
        </w:rPr>
        <w:t xml:space="preserve"> horizontalnim politikama EU (npr. održivi razvoj, jednake mogućnosti, </w:t>
      </w:r>
      <w:r w:rsidR="00E20025" w:rsidRPr="00470F08">
        <w:rPr>
          <w:rFonts w:eastAsia="Calibri" w:cs="Times New Roman"/>
          <w:bCs/>
          <w:lang w:val="hr-HR"/>
        </w:rPr>
        <w:t>energetska učinkovitost i sl.)</w:t>
      </w:r>
      <w:r w:rsidR="00E336B4" w:rsidRPr="00470F08">
        <w:rPr>
          <w:rFonts w:eastAsia="Calibri" w:cs="Times New Roman"/>
          <w:bCs/>
          <w:lang w:val="hr-HR"/>
        </w:rPr>
        <w:t>;</w:t>
      </w:r>
    </w:p>
    <w:p w14:paraId="524A747A" w14:textId="1511007B" w:rsidR="00F94068" w:rsidRPr="00470F08" w:rsidRDefault="008568AA" w:rsidP="00470F08">
      <w:pPr>
        <w:pStyle w:val="ListParagraph"/>
        <w:numPr>
          <w:ilvl w:val="0"/>
          <w:numId w:val="2"/>
        </w:numPr>
        <w:tabs>
          <w:tab w:val="left" w:pos="425"/>
        </w:tabs>
        <w:spacing w:before="149" w:line="242" w:lineRule="auto"/>
        <w:ind w:right="158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>Analiza potreba (</w:t>
      </w:r>
      <w:r w:rsidR="003E07E8" w:rsidRPr="00470F08">
        <w:rPr>
          <w:rFonts w:cs="Times New Roman"/>
          <w:b/>
          <w:lang w:val="hr-HR"/>
        </w:rPr>
        <w:t>Ponuda i potražnja za neposredne rezultate projekta</w:t>
      </w:r>
      <w:r w:rsidRPr="00470F08">
        <w:rPr>
          <w:rFonts w:cs="Times New Roman"/>
          <w:b/>
          <w:lang w:val="hr-HR"/>
        </w:rPr>
        <w:t>)</w:t>
      </w:r>
      <w:r w:rsidR="003E07E8" w:rsidRPr="00470F08">
        <w:rPr>
          <w:rFonts w:cs="Times New Roman"/>
          <w:b/>
          <w:lang w:val="hr-HR"/>
        </w:rPr>
        <w:t xml:space="preserve"> </w:t>
      </w:r>
      <w:r w:rsidR="000F05A2">
        <w:rPr>
          <w:rFonts w:cs="Times New Roman"/>
          <w:b/>
          <w:lang w:val="hr-HR"/>
        </w:rPr>
        <w:t xml:space="preserve"> - </w:t>
      </w:r>
      <w:r w:rsidR="003E07E8" w:rsidRPr="00470F08">
        <w:rPr>
          <w:rFonts w:cs="Times New Roman"/>
          <w:lang w:val="hr-HR"/>
        </w:rPr>
        <w:t>treba uključivati analizu</w:t>
      </w:r>
      <w:r w:rsidR="003E07E8" w:rsidRPr="00470F08">
        <w:rPr>
          <w:rFonts w:cs="Times New Roman"/>
          <w:spacing w:val="-19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očekivane potražnje, opis konkurencije, procjenu potencijalnog</w:t>
      </w:r>
      <w:r w:rsidR="003E07E8" w:rsidRPr="00470F08">
        <w:rPr>
          <w:rFonts w:cs="Times New Roman"/>
          <w:spacing w:val="-9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korištenja</w:t>
      </w:r>
      <w:r w:rsidR="005D126B">
        <w:rPr>
          <w:rFonts w:cs="Times New Roman"/>
          <w:lang w:val="hr-HR"/>
        </w:rPr>
        <w:t xml:space="preserve"> znanstvene infrastrukture</w:t>
      </w:r>
      <w:r w:rsidR="00E33993" w:rsidRPr="00470F08">
        <w:rPr>
          <w:rFonts w:cs="Times New Roman"/>
          <w:lang w:val="hr-HR"/>
        </w:rPr>
        <w:t xml:space="preserve"> od strane akademske zajednice i od strane industrije (gospodarskih subjekata), sadržavati opis ciljanih grupa korisnika (studenti, istraživači, nekomercijalne i komercijalne istraživačke institucije i industrija</w:t>
      </w:r>
      <w:r w:rsidR="003A573A" w:rsidRPr="00470F08">
        <w:rPr>
          <w:rFonts w:cs="Times New Roman"/>
          <w:lang w:val="hr-HR"/>
        </w:rPr>
        <w:t>);</w:t>
      </w:r>
      <w:r w:rsidR="004E4A3C">
        <w:rPr>
          <w:rFonts w:cs="Times New Roman"/>
          <w:lang w:val="hr-HR"/>
        </w:rPr>
        <w:t xml:space="preserve"> p</w:t>
      </w:r>
      <w:r w:rsidR="008D53F5">
        <w:rPr>
          <w:rFonts w:cs="Times New Roman"/>
          <w:lang w:val="hr-HR"/>
        </w:rPr>
        <w:t xml:space="preserve">oželjno je kao Prilog Studiji izvedivosti priložiti pisma namjere, dokaze o suradnji i </w:t>
      </w:r>
      <w:r w:rsidR="005C5118">
        <w:rPr>
          <w:rFonts w:cs="Times New Roman"/>
          <w:lang w:val="hr-HR"/>
        </w:rPr>
        <w:t>sl.</w:t>
      </w:r>
    </w:p>
    <w:p w14:paraId="0D635C44" w14:textId="5F0A7D63" w:rsidR="00BC6A18" w:rsidRPr="00F84AC9" w:rsidRDefault="000908FE" w:rsidP="00470F08">
      <w:pPr>
        <w:pStyle w:val="ListParagraph"/>
        <w:numPr>
          <w:ilvl w:val="0"/>
          <w:numId w:val="2"/>
        </w:numPr>
        <w:tabs>
          <w:tab w:val="left" w:pos="401"/>
        </w:tabs>
        <w:spacing w:before="146" w:line="242" w:lineRule="auto"/>
        <w:ind w:right="160"/>
        <w:jc w:val="both"/>
        <w:rPr>
          <w:rFonts w:eastAsia="Calibri" w:cs="Times New Roman"/>
          <w:lang w:val="hr-HR"/>
        </w:rPr>
      </w:pPr>
      <w:r w:rsidRPr="00F84AC9">
        <w:rPr>
          <w:rFonts w:cs="Times New Roman"/>
          <w:b/>
          <w:lang w:val="hr-HR"/>
        </w:rPr>
        <w:t>Tehnička analiza</w:t>
      </w:r>
      <w:r w:rsidR="003E07E8" w:rsidRPr="00F84AC9">
        <w:rPr>
          <w:rFonts w:cs="Times New Roman"/>
          <w:b/>
          <w:lang w:val="hr-HR"/>
        </w:rPr>
        <w:t xml:space="preserve"> </w:t>
      </w:r>
      <w:r w:rsidR="000F05A2">
        <w:rPr>
          <w:rFonts w:cs="Times New Roman"/>
          <w:b/>
          <w:lang w:val="hr-HR"/>
        </w:rPr>
        <w:t xml:space="preserve"> - </w:t>
      </w:r>
      <w:r w:rsidRPr="00F84AC9">
        <w:rPr>
          <w:rFonts w:cs="Times New Roman"/>
          <w:lang w:val="hr-HR"/>
        </w:rPr>
        <w:t>uključuje</w:t>
      </w:r>
      <w:r w:rsidRPr="00F84AC9">
        <w:rPr>
          <w:rFonts w:cs="Times New Roman"/>
          <w:b/>
          <w:lang w:val="hr-HR"/>
        </w:rPr>
        <w:t xml:space="preserve"> </w:t>
      </w:r>
      <w:r w:rsidRPr="00F84AC9">
        <w:rPr>
          <w:rFonts w:cs="Times New Roman"/>
          <w:lang w:val="hr-HR"/>
        </w:rPr>
        <w:t>analizu opcija</w:t>
      </w:r>
      <w:r w:rsidRPr="00F84AC9">
        <w:rPr>
          <w:rFonts w:cs="Times New Roman"/>
          <w:b/>
          <w:lang w:val="hr-HR"/>
        </w:rPr>
        <w:t xml:space="preserve"> </w:t>
      </w:r>
      <w:r w:rsidRPr="00F84AC9">
        <w:rPr>
          <w:rFonts w:cs="Times New Roman"/>
          <w:lang w:val="hr-HR"/>
        </w:rPr>
        <w:t xml:space="preserve">koja ima za cilj usporediti </w:t>
      </w:r>
      <w:r w:rsidR="0065688C" w:rsidRPr="00F84AC9">
        <w:rPr>
          <w:rFonts w:cs="Times New Roman"/>
          <w:lang w:val="hr-HR"/>
        </w:rPr>
        <w:t xml:space="preserve">situaciju </w:t>
      </w:r>
      <w:r w:rsidRPr="00F84AC9">
        <w:rPr>
          <w:rFonts w:cs="Times New Roman"/>
          <w:lang w:val="hr-HR"/>
        </w:rPr>
        <w:t xml:space="preserve">sa i bez projekta, identifikaciju alternative, </w:t>
      </w:r>
      <w:r w:rsidR="003E07E8" w:rsidRPr="00F84AC9">
        <w:rPr>
          <w:rFonts w:cs="Times New Roman"/>
          <w:lang w:val="hr-HR"/>
        </w:rPr>
        <w:t>treba obuhvatiti odabranu tehnologiju, kapitalne investicije, tehnološke</w:t>
      </w:r>
      <w:r w:rsidR="003E07E8" w:rsidRPr="00F84AC9">
        <w:rPr>
          <w:rFonts w:cs="Times New Roman"/>
          <w:spacing w:val="29"/>
          <w:lang w:val="hr-HR"/>
        </w:rPr>
        <w:t xml:space="preserve"> </w:t>
      </w:r>
      <w:r w:rsidR="003E07E8" w:rsidRPr="00F84AC9">
        <w:rPr>
          <w:rFonts w:cs="Times New Roman"/>
          <w:lang w:val="hr-HR"/>
        </w:rPr>
        <w:t>kapacitete, veličinu usluge, analizu tržišta, inpute vezane za materijal i</w:t>
      </w:r>
      <w:r w:rsidR="003E07E8" w:rsidRPr="00F84AC9">
        <w:rPr>
          <w:rFonts w:cs="Times New Roman"/>
          <w:spacing w:val="-11"/>
          <w:lang w:val="hr-HR"/>
        </w:rPr>
        <w:t xml:space="preserve"> </w:t>
      </w:r>
      <w:r w:rsidR="003E07E8" w:rsidRPr="00F84AC9">
        <w:rPr>
          <w:rFonts w:cs="Times New Roman"/>
          <w:lang w:val="hr-HR"/>
        </w:rPr>
        <w:t>energiju</w:t>
      </w:r>
      <w:r w:rsidRPr="00F84AC9">
        <w:rPr>
          <w:rFonts w:cs="Times New Roman"/>
          <w:lang w:val="hr-HR"/>
        </w:rPr>
        <w:t>, utjecaj na okoliš</w:t>
      </w:r>
      <w:r w:rsidR="003E07E8" w:rsidRPr="00F84AC9">
        <w:rPr>
          <w:rFonts w:cs="Times New Roman"/>
          <w:lang w:val="hr-HR"/>
        </w:rPr>
        <w:t>;</w:t>
      </w:r>
    </w:p>
    <w:p w14:paraId="37D75E6B" w14:textId="11EB9C52" w:rsidR="00BC6A18" w:rsidRPr="00470F08" w:rsidRDefault="003E07E8" w:rsidP="00470F08">
      <w:pPr>
        <w:pStyle w:val="ListParagraph"/>
        <w:numPr>
          <w:ilvl w:val="0"/>
          <w:numId w:val="2"/>
        </w:numPr>
        <w:tabs>
          <w:tab w:val="left" w:pos="442"/>
        </w:tabs>
        <w:spacing w:before="146" w:line="242" w:lineRule="auto"/>
        <w:ind w:right="163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 xml:space="preserve">Ljudski potencijali </w:t>
      </w:r>
      <w:r w:rsidR="000F05A2">
        <w:rPr>
          <w:rFonts w:cs="Times New Roman"/>
          <w:b/>
          <w:lang w:val="hr-HR"/>
        </w:rPr>
        <w:t xml:space="preserve">- </w:t>
      </w:r>
      <w:r w:rsidR="000F05A2" w:rsidRPr="000F05A2">
        <w:rPr>
          <w:rFonts w:cs="Times New Roman"/>
          <w:lang w:val="hr-HR"/>
        </w:rPr>
        <w:t xml:space="preserve"> treba</w:t>
      </w:r>
      <w:r w:rsidR="000F05A2">
        <w:rPr>
          <w:rFonts w:cs="Times New Roman"/>
          <w:b/>
          <w:lang w:val="hr-HR"/>
        </w:rPr>
        <w:t xml:space="preserve"> </w:t>
      </w:r>
      <w:r w:rsidRPr="00470F08">
        <w:rPr>
          <w:rFonts w:cs="Times New Roman"/>
          <w:lang w:val="hr-HR"/>
        </w:rPr>
        <w:t>uključivati opis strukture upravljanja, radne/operativ</w:t>
      </w:r>
      <w:r w:rsidR="006D0670">
        <w:rPr>
          <w:rFonts w:cs="Times New Roman"/>
          <w:lang w:val="hr-HR"/>
        </w:rPr>
        <w:t>n</w:t>
      </w:r>
      <w:r w:rsidRPr="00470F08">
        <w:rPr>
          <w:rFonts w:cs="Times New Roman"/>
          <w:lang w:val="hr-HR"/>
        </w:rPr>
        <w:t>e snage,</w:t>
      </w:r>
      <w:r w:rsidRPr="00470F08">
        <w:rPr>
          <w:rFonts w:cs="Times New Roman"/>
          <w:spacing w:val="3"/>
          <w:lang w:val="hr-HR"/>
        </w:rPr>
        <w:t xml:space="preserve"> </w:t>
      </w:r>
      <w:r w:rsidRPr="00470F08">
        <w:rPr>
          <w:rFonts w:cs="Times New Roman"/>
          <w:lang w:val="hr-HR"/>
        </w:rPr>
        <w:t xml:space="preserve">godišnje troškove </w:t>
      </w:r>
      <w:r w:rsidRPr="00C54963">
        <w:rPr>
          <w:rFonts w:cs="Times New Roman"/>
          <w:lang w:val="hr-HR"/>
        </w:rPr>
        <w:t>i</w:t>
      </w:r>
      <w:r w:rsidRPr="00C54963">
        <w:rPr>
          <w:rFonts w:cs="Times New Roman"/>
          <w:spacing w:val="-3"/>
          <w:lang w:val="hr-HR"/>
        </w:rPr>
        <w:t xml:space="preserve"> </w:t>
      </w:r>
      <w:r w:rsidR="003A573A" w:rsidRPr="00C54963">
        <w:rPr>
          <w:rFonts w:cs="Times New Roman"/>
          <w:lang w:val="hr-HR"/>
        </w:rPr>
        <w:t>sl., opis članova projektnog tima</w:t>
      </w:r>
      <w:r w:rsidR="00C54963">
        <w:rPr>
          <w:rFonts w:cs="Times New Roman"/>
          <w:lang w:val="hr-HR"/>
        </w:rPr>
        <w:t xml:space="preserve"> (</w:t>
      </w:r>
      <w:r w:rsidR="003A573A" w:rsidRPr="00C54963">
        <w:rPr>
          <w:rFonts w:cs="Times New Roman"/>
          <w:lang w:val="hr-HR"/>
        </w:rPr>
        <w:t xml:space="preserve">stručnost i </w:t>
      </w:r>
      <w:r w:rsidR="00C54963">
        <w:rPr>
          <w:rFonts w:cs="Times New Roman"/>
          <w:lang w:val="hr-HR"/>
        </w:rPr>
        <w:t xml:space="preserve">(istraživačke) </w:t>
      </w:r>
      <w:r w:rsidR="003A573A" w:rsidRPr="00C54963">
        <w:rPr>
          <w:rFonts w:cs="Times New Roman"/>
          <w:lang w:val="hr-HR"/>
        </w:rPr>
        <w:t xml:space="preserve">aktivnosti za koje će biti zaduženi tijekom provedbe </w:t>
      </w:r>
      <w:r w:rsidR="006A4ED4" w:rsidRPr="00C54963">
        <w:rPr>
          <w:rFonts w:cs="Times New Roman"/>
          <w:lang w:val="hr-HR"/>
        </w:rPr>
        <w:t>projekta</w:t>
      </w:r>
      <w:r w:rsidR="00C54963">
        <w:rPr>
          <w:rFonts w:cs="Times New Roman"/>
          <w:lang w:val="hr-HR"/>
        </w:rPr>
        <w:t>) – vrijedi za projekt</w:t>
      </w:r>
      <w:r w:rsidR="006A4ED4" w:rsidRPr="00C54963">
        <w:rPr>
          <w:rFonts w:cs="Times New Roman"/>
          <w:lang w:val="hr-HR"/>
        </w:rPr>
        <w:t xml:space="preserve"> pripreme IRI infrastru</w:t>
      </w:r>
      <w:r w:rsidR="00C54963">
        <w:rPr>
          <w:rFonts w:cs="Times New Roman"/>
          <w:lang w:val="hr-HR"/>
        </w:rPr>
        <w:t xml:space="preserve">kturnog projekta, te, u mjeri u kojoj je moguće, za infrastrukturni projekt (ako je moguće navesti i </w:t>
      </w:r>
      <w:r w:rsidR="003A573A" w:rsidRPr="00470F08">
        <w:rPr>
          <w:rFonts w:cs="Times New Roman"/>
          <w:lang w:val="hr-HR"/>
        </w:rPr>
        <w:t xml:space="preserve">istraživačke aktivnosti kojima će se baviti po završetku </w:t>
      </w:r>
      <w:r w:rsidR="00B9447D">
        <w:rPr>
          <w:rFonts w:cs="Times New Roman"/>
          <w:lang w:val="hr-HR"/>
        </w:rPr>
        <w:t xml:space="preserve">infrastrukturnog </w:t>
      </w:r>
      <w:r w:rsidR="003A573A" w:rsidRPr="00470F08">
        <w:rPr>
          <w:rFonts w:cs="Times New Roman"/>
          <w:lang w:val="hr-HR"/>
        </w:rPr>
        <w:t>projekta</w:t>
      </w:r>
      <w:r w:rsidR="00C54963">
        <w:rPr>
          <w:rFonts w:cs="Times New Roman"/>
          <w:lang w:val="hr-HR"/>
        </w:rPr>
        <w:t>)</w:t>
      </w:r>
      <w:r w:rsidR="003A573A" w:rsidRPr="00470F08">
        <w:rPr>
          <w:rFonts w:cs="Times New Roman"/>
          <w:lang w:val="hr-HR"/>
        </w:rPr>
        <w:t>;</w:t>
      </w:r>
    </w:p>
    <w:p w14:paraId="5C4DEDCF" w14:textId="0C6CD23B" w:rsidR="00BC6A18" w:rsidRPr="00470F08" w:rsidRDefault="003A573A" w:rsidP="00470F08">
      <w:pPr>
        <w:pStyle w:val="ListParagraph"/>
        <w:numPr>
          <w:ilvl w:val="0"/>
          <w:numId w:val="2"/>
        </w:numPr>
        <w:tabs>
          <w:tab w:val="left" w:pos="389"/>
        </w:tabs>
        <w:spacing w:before="148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>Plan provedbe projekta</w:t>
      </w:r>
      <w:r w:rsidR="000F05A2">
        <w:rPr>
          <w:rFonts w:cs="Times New Roman"/>
          <w:b/>
          <w:lang w:val="hr-HR"/>
        </w:rPr>
        <w:t xml:space="preserve"> -</w:t>
      </w:r>
      <w:r w:rsidR="003E07E8" w:rsidRPr="00470F08">
        <w:rPr>
          <w:rFonts w:cs="Times New Roman"/>
          <w:b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treba sadržavati opis zadataka i aktivnosti, raspored, održavanje i buduće</w:t>
      </w:r>
      <w:r w:rsidR="003E07E8" w:rsidRPr="00470F08">
        <w:rPr>
          <w:rFonts w:cs="Times New Roman"/>
          <w:spacing w:val="-12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perspektive;</w:t>
      </w:r>
    </w:p>
    <w:p w14:paraId="34A90E38" w14:textId="45C9DDAD" w:rsidR="00BC6A18" w:rsidRPr="00470F08" w:rsidRDefault="003E07E8" w:rsidP="00470F08">
      <w:pPr>
        <w:pStyle w:val="ListParagraph"/>
        <w:numPr>
          <w:ilvl w:val="0"/>
          <w:numId w:val="2"/>
        </w:numPr>
        <w:tabs>
          <w:tab w:val="left" w:pos="422"/>
        </w:tabs>
        <w:spacing w:before="149" w:line="242" w:lineRule="auto"/>
        <w:ind w:right="159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>Financijska</w:t>
      </w:r>
      <w:r w:rsidRPr="00470F08">
        <w:rPr>
          <w:rFonts w:cs="Times New Roman"/>
          <w:b/>
          <w:spacing w:val="28"/>
          <w:lang w:val="hr-HR"/>
        </w:rPr>
        <w:t xml:space="preserve"> </w:t>
      </w:r>
      <w:r w:rsidRPr="00470F08">
        <w:rPr>
          <w:rFonts w:cs="Times New Roman"/>
          <w:b/>
          <w:lang w:val="hr-HR"/>
        </w:rPr>
        <w:t>analiza</w:t>
      </w:r>
      <w:r w:rsidRPr="00470F08">
        <w:rPr>
          <w:rFonts w:cs="Times New Roman"/>
          <w:b/>
          <w:spacing w:val="31"/>
          <w:lang w:val="hr-HR"/>
        </w:rPr>
        <w:t xml:space="preserve"> </w:t>
      </w:r>
      <w:r w:rsidR="000F05A2">
        <w:rPr>
          <w:rFonts w:cs="Times New Roman"/>
          <w:b/>
          <w:spacing w:val="31"/>
          <w:lang w:val="hr-HR"/>
        </w:rPr>
        <w:t xml:space="preserve">- </w:t>
      </w:r>
      <w:r w:rsidRPr="00470F08">
        <w:rPr>
          <w:rFonts w:cs="Times New Roman"/>
          <w:lang w:val="hr-HR"/>
        </w:rPr>
        <w:t>treba</w:t>
      </w:r>
      <w:r w:rsidRPr="00470F08">
        <w:rPr>
          <w:rFonts w:cs="Times New Roman"/>
          <w:spacing w:val="29"/>
          <w:lang w:val="hr-HR"/>
        </w:rPr>
        <w:t xml:space="preserve"> </w:t>
      </w:r>
      <w:r w:rsidRPr="00470F08">
        <w:rPr>
          <w:rFonts w:cs="Times New Roman"/>
          <w:lang w:val="hr-HR"/>
        </w:rPr>
        <w:t>sadržavati</w:t>
      </w:r>
      <w:r w:rsidRPr="00470F08">
        <w:rPr>
          <w:rFonts w:cs="Times New Roman"/>
          <w:spacing w:val="29"/>
          <w:lang w:val="hr-HR"/>
        </w:rPr>
        <w:t xml:space="preserve"> </w:t>
      </w:r>
      <w:r w:rsidR="002F5BCE" w:rsidRPr="00470F08">
        <w:rPr>
          <w:rFonts w:cs="Times New Roman"/>
          <w:spacing w:val="29"/>
          <w:lang w:val="hr-HR"/>
        </w:rPr>
        <w:t xml:space="preserve">vijek projekta, </w:t>
      </w:r>
      <w:r w:rsidRPr="00470F08">
        <w:rPr>
          <w:rFonts w:cs="Times New Roman"/>
          <w:lang w:val="hr-HR"/>
        </w:rPr>
        <w:t>opis</w:t>
      </w:r>
      <w:r w:rsidRPr="00470F08">
        <w:rPr>
          <w:rFonts w:cs="Times New Roman"/>
          <w:spacing w:val="29"/>
          <w:lang w:val="hr-HR"/>
        </w:rPr>
        <w:t xml:space="preserve"> </w:t>
      </w:r>
      <w:r w:rsidRPr="00470F08">
        <w:rPr>
          <w:rFonts w:cs="Times New Roman"/>
          <w:lang w:val="hr-HR"/>
        </w:rPr>
        <w:t>investicijskih</w:t>
      </w:r>
      <w:r w:rsidRPr="00470F08">
        <w:rPr>
          <w:rFonts w:cs="Times New Roman"/>
          <w:spacing w:val="29"/>
          <w:lang w:val="hr-HR"/>
        </w:rPr>
        <w:t xml:space="preserve"> </w:t>
      </w:r>
      <w:r w:rsidRPr="00470F08">
        <w:rPr>
          <w:rFonts w:cs="Times New Roman"/>
          <w:lang w:val="hr-HR"/>
        </w:rPr>
        <w:t>troškova,</w:t>
      </w:r>
      <w:r w:rsidRPr="00470F08">
        <w:rPr>
          <w:rFonts w:cs="Times New Roman"/>
          <w:spacing w:val="29"/>
          <w:lang w:val="hr-HR"/>
        </w:rPr>
        <w:t xml:space="preserve"> </w:t>
      </w:r>
      <w:r w:rsidRPr="00470F08">
        <w:rPr>
          <w:rFonts w:cs="Times New Roman"/>
          <w:lang w:val="hr-HR"/>
        </w:rPr>
        <w:t>prihod</w:t>
      </w:r>
      <w:r w:rsidR="005370C7" w:rsidRPr="00470F08">
        <w:rPr>
          <w:rFonts w:cs="Times New Roman"/>
          <w:lang w:val="hr-HR"/>
        </w:rPr>
        <w:t>e</w:t>
      </w:r>
      <w:r w:rsidRPr="00470F08">
        <w:rPr>
          <w:rFonts w:cs="Times New Roman"/>
          <w:lang w:val="hr-HR"/>
        </w:rPr>
        <w:t>,</w:t>
      </w:r>
      <w:r w:rsidRPr="00470F08">
        <w:rPr>
          <w:rFonts w:cs="Times New Roman"/>
          <w:spacing w:val="29"/>
          <w:lang w:val="hr-HR"/>
        </w:rPr>
        <w:t xml:space="preserve"> </w:t>
      </w:r>
      <w:r w:rsidR="00EE4557" w:rsidRPr="00470F08">
        <w:rPr>
          <w:rFonts w:cs="Times New Roman"/>
          <w:lang w:val="hr-HR"/>
        </w:rPr>
        <w:t>izvore</w:t>
      </w:r>
      <w:r w:rsidRPr="00470F08">
        <w:rPr>
          <w:rFonts w:cs="Times New Roman"/>
          <w:lang w:val="hr-HR"/>
        </w:rPr>
        <w:t xml:space="preserve"> financiranja i financijsk</w:t>
      </w:r>
      <w:r w:rsidR="005370C7" w:rsidRPr="00470F08">
        <w:rPr>
          <w:rFonts w:cs="Times New Roman"/>
          <w:lang w:val="hr-HR"/>
        </w:rPr>
        <w:t>e</w:t>
      </w:r>
      <w:r w:rsidRPr="00470F08">
        <w:rPr>
          <w:rFonts w:cs="Times New Roman"/>
          <w:lang w:val="hr-HR"/>
        </w:rPr>
        <w:t xml:space="preserve"> rezultat</w:t>
      </w:r>
      <w:r w:rsidR="005370C7" w:rsidRPr="00470F08">
        <w:rPr>
          <w:rFonts w:cs="Times New Roman"/>
          <w:lang w:val="hr-HR"/>
        </w:rPr>
        <w:t>e</w:t>
      </w:r>
      <w:r w:rsidRPr="00470F08">
        <w:rPr>
          <w:rFonts w:cs="Times New Roman"/>
          <w:spacing w:val="-3"/>
          <w:lang w:val="hr-HR"/>
        </w:rPr>
        <w:t xml:space="preserve"> </w:t>
      </w:r>
      <w:r w:rsidR="00424633" w:rsidRPr="00470F08">
        <w:rPr>
          <w:rFonts w:cs="Times New Roman"/>
          <w:lang w:val="hr-HR"/>
        </w:rPr>
        <w:t>projekta;</w:t>
      </w:r>
    </w:p>
    <w:p w14:paraId="54934306" w14:textId="6C4A112F" w:rsidR="00BC6A18" w:rsidRPr="00470F08" w:rsidRDefault="000908FE" w:rsidP="00470F08">
      <w:pPr>
        <w:pStyle w:val="ListParagraph"/>
        <w:numPr>
          <w:ilvl w:val="0"/>
          <w:numId w:val="2"/>
        </w:numPr>
        <w:tabs>
          <w:tab w:val="left" w:pos="420"/>
        </w:tabs>
        <w:spacing w:before="149"/>
        <w:ind w:right="157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>Socio-</w:t>
      </w:r>
      <w:r w:rsidR="003E07E8" w:rsidRPr="00470F08">
        <w:rPr>
          <w:rFonts w:cs="Times New Roman"/>
          <w:b/>
          <w:lang w:val="hr-HR"/>
        </w:rPr>
        <w:t xml:space="preserve">Ekonomska analiza </w:t>
      </w:r>
      <w:r w:rsidRPr="00470F08">
        <w:rPr>
          <w:rFonts w:cs="Times New Roman"/>
          <w:b/>
          <w:lang w:val="hr-HR"/>
        </w:rPr>
        <w:t xml:space="preserve">troškova i koristi </w:t>
      </w:r>
      <w:r w:rsidR="000F05A2">
        <w:rPr>
          <w:rFonts w:cs="Times New Roman"/>
          <w:b/>
          <w:lang w:val="hr-HR"/>
        </w:rPr>
        <w:t xml:space="preserve">- </w:t>
      </w:r>
      <w:r w:rsidR="003E07E8" w:rsidRPr="00470F08">
        <w:rPr>
          <w:rFonts w:cs="Times New Roman"/>
          <w:lang w:val="hr-HR"/>
        </w:rPr>
        <w:t xml:space="preserve">treba sadržavati konverziju tržišnih u ekonomske cijene, </w:t>
      </w:r>
      <w:r w:rsidR="002F5BCE" w:rsidRPr="00470F08">
        <w:rPr>
          <w:rFonts w:cs="Times New Roman"/>
          <w:lang w:val="hr-HR"/>
        </w:rPr>
        <w:t xml:space="preserve">analizu društvenih troškova, </w:t>
      </w:r>
      <w:r w:rsidR="003E07E8" w:rsidRPr="00470F08">
        <w:rPr>
          <w:rFonts w:cs="Times New Roman"/>
          <w:lang w:val="hr-HR"/>
        </w:rPr>
        <w:t>kvantifikaciju</w:t>
      </w:r>
      <w:r w:rsidR="003E07E8" w:rsidRPr="00470F08">
        <w:rPr>
          <w:rFonts w:cs="Times New Roman"/>
          <w:spacing w:val="38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društvenih koristi,</w:t>
      </w:r>
      <w:r w:rsidR="003E07E8" w:rsidRPr="00470F08">
        <w:rPr>
          <w:rFonts w:cs="Times New Roman"/>
          <w:spacing w:val="37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ostale</w:t>
      </w:r>
      <w:r w:rsidR="003E07E8" w:rsidRPr="00470F08">
        <w:rPr>
          <w:rFonts w:cs="Times New Roman"/>
          <w:spacing w:val="35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indirektne</w:t>
      </w:r>
      <w:r w:rsidR="003E07E8" w:rsidRPr="00470F08">
        <w:rPr>
          <w:rFonts w:cs="Times New Roman"/>
          <w:spacing w:val="34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učinke,</w:t>
      </w:r>
      <w:r w:rsidR="003E07E8" w:rsidRPr="00470F08">
        <w:rPr>
          <w:rFonts w:cs="Times New Roman"/>
          <w:spacing w:val="37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diskontiranje</w:t>
      </w:r>
      <w:r w:rsidR="003E07E8" w:rsidRPr="00470F08">
        <w:rPr>
          <w:rFonts w:cs="Times New Roman"/>
          <w:spacing w:val="37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procijenjenih</w:t>
      </w:r>
      <w:r w:rsidR="003E07E8" w:rsidRPr="00470F08">
        <w:rPr>
          <w:rFonts w:cs="Times New Roman"/>
          <w:spacing w:val="36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troškova</w:t>
      </w:r>
      <w:r w:rsidR="003E07E8" w:rsidRPr="00470F08">
        <w:rPr>
          <w:rFonts w:cs="Times New Roman"/>
          <w:spacing w:val="34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i</w:t>
      </w:r>
      <w:r w:rsidR="003E07E8" w:rsidRPr="00470F08">
        <w:rPr>
          <w:rFonts w:cs="Times New Roman"/>
          <w:spacing w:val="36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koristi</w:t>
      </w:r>
      <w:r w:rsidR="003E07E8" w:rsidRPr="00470F08">
        <w:rPr>
          <w:rFonts w:cs="Times New Roman"/>
          <w:spacing w:val="34"/>
          <w:lang w:val="hr-HR"/>
        </w:rPr>
        <w:t xml:space="preserve"> </w:t>
      </w:r>
      <w:r w:rsidR="003E07E8" w:rsidRPr="00470F08">
        <w:rPr>
          <w:rFonts w:cs="Times New Roman"/>
          <w:lang w:val="hr-HR"/>
        </w:rPr>
        <w:t>te</w:t>
      </w:r>
      <w:r w:rsidR="003E07E8" w:rsidRPr="00470F08">
        <w:rPr>
          <w:rFonts w:cs="Times New Roman"/>
          <w:spacing w:val="37"/>
          <w:lang w:val="hr-HR"/>
        </w:rPr>
        <w:t xml:space="preserve"> </w:t>
      </w:r>
      <w:r w:rsidR="002F5BCE" w:rsidRPr="00470F08">
        <w:rPr>
          <w:rFonts w:cs="Times New Roman"/>
          <w:lang w:val="hr-HR"/>
        </w:rPr>
        <w:t>pokazatelje</w:t>
      </w:r>
      <w:r w:rsidR="002F5BCE" w:rsidRPr="00470F08">
        <w:rPr>
          <w:rFonts w:cs="Times New Roman"/>
          <w:spacing w:val="34"/>
          <w:lang w:val="hr-HR"/>
        </w:rPr>
        <w:t xml:space="preserve"> </w:t>
      </w:r>
      <w:r w:rsidR="00424633" w:rsidRPr="00470F08">
        <w:rPr>
          <w:rFonts w:cs="Times New Roman"/>
          <w:lang w:val="hr-HR"/>
        </w:rPr>
        <w:t>ekonomskih učinaka;</w:t>
      </w:r>
    </w:p>
    <w:p w14:paraId="4FF93185" w14:textId="70822205" w:rsidR="00470F08" w:rsidRPr="0014285F" w:rsidRDefault="003E07E8" w:rsidP="00470F08">
      <w:pPr>
        <w:pStyle w:val="ListParagraph"/>
        <w:numPr>
          <w:ilvl w:val="0"/>
          <w:numId w:val="2"/>
        </w:numPr>
        <w:tabs>
          <w:tab w:val="left" w:pos="501"/>
        </w:tabs>
        <w:spacing w:before="151"/>
        <w:jc w:val="both"/>
        <w:rPr>
          <w:rFonts w:eastAsia="Calibri" w:cs="Times New Roman"/>
          <w:lang w:val="hr-HR"/>
        </w:rPr>
      </w:pPr>
      <w:r w:rsidRPr="00470F08">
        <w:rPr>
          <w:rFonts w:cs="Times New Roman"/>
          <w:b/>
          <w:lang w:val="hr-HR"/>
        </w:rPr>
        <w:t xml:space="preserve">Analiza rizika </w:t>
      </w:r>
      <w:r w:rsidR="000F05A2">
        <w:rPr>
          <w:rFonts w:cs="Times New Roman"/>
          <w:b/>
          <w:lang w:val="hr-HR"/>
        </w:rPr>
        <w:t xml:space="preserve">- </w:t>
      </w:r>
      <w:r w:rsidRPr="00470F08">
        <w:rPr>
          <w:rFonts w:cs="Times New Roman"/>
          <w:lang w:val="hr-HR"/>
        </w:rPr>
        <w:t xml:space="preserve">treba sadržavati analizu osjetljivosti, procjenu rizika, upravljanje i </w:t>
      </w:r>
      <w:r w:rsidR="00AD790B">
        <w:rPr>
          <w:rFonts w:cs="Times New Roman"/>
          <w:lang w:val="hr-HR"/>
        </w:rPr>
        <w:t xml:space="preserve">načine </w:t>
      </w:r>
      <w:r w:rsidRPr="00470F08">
        <w:rPr>
          <w:rFonts w:cs="Times New Roman"/>
          <w:lang w:val="hr-HR"/>
        </w:rPr>
        <w:t>smanjenj</w:t>
      </w:r>
      <w:r w:rsidR="00AD790B">
        <w:rPr>
          <w:rFonts w:cs="Times New Roman"/>
          <w:lang w:val="hr-HR"/>
        </w:rPr>
        <w:t>a/</w:t>
      </w:r>
      <w:r w:rsidR="00D83296">
        <w:rPr>
          <w:rFonts w:cs="Times New Roman"/>
          <w:lang w:val="hr-HR"/>
        </w:rPr>
        <w:t>uklanjanja</w:t>
      </w:r>
      <w:r w:rsidRPr="00470F08">
        <w:rPr>
          <w:rFonts w:cs="Times New Roman"/>
          <w:spacing w:val="-18"/>
          <w:lang w:val="hr-HR"/>
        </w:rPr>
        <w:t xml:space="preserve"> </w:t>
      </w:r>
      <w:r w:rsidRPr="00470F08">
        <w:rPr>
          <w:rFonts w:cs="Times New Roman"/>
          <w:lang w:val="hr-HR"/>
        </w:rPr>
        <w:t>rizika</w:t>
      </w:r>
      <w:r w:rsidR="00865E5C">
        <w:rPr>
          <w:rFonts w:cs="Times New Roman"/>
          <w:b/>
          <w:lang w:val="hr-HR"/>
        </w:rPr>
        <w:t>;</w:t>
      </w:r>
    </w:p>
    <w:p w14:paraId="71B48167" w14:textId="101009A4" w:rsidR="0014285F" w:rsidRDefault="0014285F" w:rsidP="0014285F">
      <w:pPr>
        <w:pStyle w:val="ListParagraph"/>
        <w:numPr>
          <w:ilvl w:val="0"/>
          <w:numId w:val="2"/>
        </w:numPr>
        <w:tabs>
          <w:tab w:val="left" w:pos="501"/>
        </w:tabs>
        <w:spacing w:before="151"/>
        <w:jc w:val="both"/>
        <w:rPr>
          <w:rFonts w:eastAsia="Calibri" w:cs="Times New Roman"/>
          <w:lang w:val="hr-HR"/>
        </w:rPr>
      </w:pPr>
      <w:r w:rsidRPr="0014285F">
        <w:rPr>
          <w:rFonts w:eastAsia="Calibri" w:cs="Times New Roman"/>
          <w:b/>
          <w:lang w:val="hr-HR"/>
        </w:rPr>
        <w:t>Metodologija s opisnim planom korištenja istraživačkih kapaciteta</w:t>
      </w:r>
      <w:r w:rsidRPr="0014285F">
        <w:rPr>
          <w:rFonts w:eastAsia="Calibri" w:cs="Times New Roman"/>
          <w:lang w:val="hr-HR"/>
        </w:rPr>
        <w:t xml:space="preserve"> odnosno koliko će radnih sati predmetnog subjekta (laboratorija, centra, ustrojstvene j</w:t>
      </w:r>
      <w:r w:rsidRPr="008D644A">
        <w:rPr>
          <w:rFonts w:eastAsia="Calibri" w:cs="Times New Roman"/>
          <w:lang w:val="hr-HR"/>
        </w:rPr>
        <w:t>edinice)</w:t>
      </w:r>
      <w:r w:rsidR="00C76615">
        <w:rPr>
          <w:rStyle w:val="FootnoteReference"/>
          <w:rFonts w:eastAsia="Calibri" w:cs="Times New Roman"/>
          <w:lang w:val="hr-HR"/>
        </w:rPr>
        <w:footnoteReference w:id="6"/>
      </w:r>
      <w:r w:rsidRPr="008D644A">
        <w:rPr>
          <w:rFonts w:eastAsia="Calibri" w:cs="Times New Roman"/>
          <w:lang w:val="hr-HR"/>
        </w:rPr>
        <w:t xml:space="preserve"> za sve godine od funkcionalnosti </w:t>
      </w:r>
      <w:r w:rsidR="00062143">
        <w:rPr>
          <w:rFonts w:eastAsia="Calibri" w:cs="Times New Roman"/>
          <w:lang w:val="hr-HR"/>
        </w:rPr>
        <w:t>opreme</w:t>
      </w:r>
      <w:r w:rsidRPr="00062143">
        <w:rPr>
          <w:rFonts w:eastAsia="Calibri" w:cs="Times New Roman"/>
          <w:lang w:val="hr-HR"/>
        </w:rPr>
        <w:t xml:space="preserve"> do</w:t>
      </w:r>
      <w:r w:rsidRPr="008D644A">
        <w:rPr>
          <w:rFonts w:eastAsia="Calibri" w:cs="Times New Roman"/>
          <w:lang w:val="hr-HR"/>
        </w:rPr>
        <w:t xml:space="preserve"> isteka roka za </w:t>
      </w:r>
      <w:r w:rsidR="008D644A">
        <w:rPr>
          <w:rFonts w:eastAsia="Calibri" w:cs="Times New Roman"/>
          <w:lang w:val="hr-HR"/>
        </w:rPr>
        <w:t xml:space="preserve">njezinu </w:t>
      </w:r>
      <w:r w:rsidRPr="008D644A">
        <w:rPr>
          <w:rFonts w:eastAsia="Calibri" w:cs="Times New Roman"/>
          <w:lang w:val="hr-HR"/>
        </w:rPr>
        <w:t>amortizaciju biti</w:t>
      </w:r>
      <w:r w:rsidRPr="0014285F">
        <w:rPr>
          <w:rFonts w:eastAsia="Calibri" w:cs="Times New Roman"/>
          <w:lang w:val="hr-HR"/>
        </w:rPr>
        <w:t xml:space="preserve"> utrošeno na neekonomske i pomoćne ekonomske djelatnosti uz naznaku koje su to pomoćne ekonomske aktivnosti</w:t>
      </w:r>
      <w:r w:rsidR="008D644A">
        <w:rPr>
          <w:rFonts w:eastAsia="Calibri" w:cs="Times New Roman"/>
          <w:lang w:val="hr-HR"/>
        </w:rPr>
        <w:t>.</w:t>
      </w:r>
      <w:r w:rsidR="008D644A">
        <w:rPr>
          <w:rStyle w:val="FootnoteReference"/>
          <w:rFonts w:eastAsia="Calibri" w:cs="Times New Roman"/>
          <w:lang w:val="hr-HR"/>
        </w:rPr>
        <w:footnoteReference w:id="7"/>
      </w:r>
      <w:r w:rsidRPr="0014285F">
        <w:rPr>
          <w:rFonts w:eastAsia="Calibri" w:cs="Times New Roman"/>
          <w:lang w:val="hr-HR"/>
        </w:rPr>
        <w:t xml:space="preserve"> </w:t>
      </w:r>
    </w:p>
    <w:p w14:paraId="2C293A0F" w14:textId="1CC5734F" w:rsidR="00470F08" w:rsidRPr="00470F08" w:rsidRDefault="00470F08" w:rsidP="00470F08">
      <w:pPr>
        <w:pStyle w:val="ListParagraph"/>
        <w:numPr>
          <w:ilvl w:val="0"/>
          <w:numId w:val="2"/>
        </w:numPr>
        <w:tabs>
          <w:tab w:val="left" w:pos="501"/>
        </w:tabs>
        <w:spacing w:before="151"/>
        <w:jc w:val="both"/>
        <w:rPr>
          <w:rFonts w:eastAsia="Calibri" w:cs="Times New Roman"/>
          <w:lang w:val="hr-HR"/>
        </w:rPr>
      </w:pPr>
      <w:r>
        <w:rPr>
          <w:rFonts w:eastAsia="Calibri" w:cs="Times New Roman"/>
          <w:b/>
          <w:lang w:val="hr-HR"/>
        </w:rPr>
        <w:t xml:space="preserve">Za troškove/usluge za koje </w:t>
      </w:r>
      <w:r w:rsidR="00865E5C">
        <w:rPr>
          <w:rFonts w:eastAsia="Calibri" w:cs="Times New Roman"/>
          <w:b/>
          <w:lang w:val="hr-HR"/>
        </w:rPr>
        <w:t xml:space="preserve">ne postoji tržišno natjecanje </w:t>
      </w:r>
      <w:r w:rsidRPr="00470F08">
        <w:rPr>
          <w:rFonts w:eastAsia="Calibri" w:cs="Times New Roman"/>
          <w:lang w:val="hr-HR"/>
        </w:rPr>
        <w:t>opisati način na koji su utvrđene cijene</w:t>
      </w:r>
      <w:r w:rsidR="0093154A">
        <w:rPr>
          <w:rFonts w:eastAsia="Calibri" w:cs="Times New Roman"/>
          <w:lang w:val="hr-HR"/>
        </w:rPr>
        <w:t>.</w:t>
      </w:r>
    </w:p>
    <w:p w14:paraId="282FA572" w14:textId="61B66E39" w:rsidR="00A05109" w:rsidRPr="004514CC" w:rsidRDefault="00A05109" w:rsidP="004514CC">
      <w:pPr>
        <w:pStyle w:val="ListParagraph"/>
        <w:tabs>
          <w:tab w:val="left" w:pos="501"/>
        </w:tabs>
        <w:spacing w:before="151"/>
        <w:ind w:left="168"/>
        <w:jc w:val="both"/>
        <w:rPr>
          <w:rFonts w:eastAsia="Calibri" w:cs="Times New Roman"/>
          <w:lang w:val="hr-HR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900"/>
      </w:tblGrid>
      <w:tr w:rsidR="00EE4557" w:rsidRPr="00470F08" w14:paraId="6ECC2D6E" w14:textId="77777777" w:rsidTr="004514CC">
        <w:trPr>
          <w:trHeight w:val="70"/>
        </w:trPr>
        <w:tc>
          <w:tcPr>
            <w:tcW w:w="10126" w:type="dxa"/>
            <w:shd w:val="clear" w:color="auto" w:fill="D6E3BC" w:themeFill="accent3" w:themeFillTint="66"/>
          </w:tcPr>
          <w:p w14:paraId="7A08C276" w14:textId="77777777" w:rsidR="00B26630" w:rsidRDefault="00A065F0" w:rsidP="00492661">
            <w:pPr>
              <w:tabs>
                <w:tab w:val="left" w:pos="501"/>
              </w:tabs>
              <w:jc w:val="both"/>
              <w:rPr>
                <w:rFonts w:eastAsia="Calibri" w:cs="Times New Roman"/>
                <w:b/>
                <w:lang w:val="hr-HR"/>
              </w:rPr>
            </w:pPr>
            <w:r>
              <w:rPr>
                <w:rFonts w:eastAsia="Calibri" w:cs="Times New Roman"/>
                <w:b/>
                <w:i/>
                <w:lang w:val="hr-HR"/>
              </w:rPr>
              <w:t>Napomena</w:t>
            </w:r>
            <w:r w:rsidR="00EE4557" w:rsidRPr="00470F08">
              <w:rPr>
                <w:rFonts w:eastAsia="Calibri" w:cs="Times New Roman"/>
                <w:b/>
                <w:lang w:val="hr-HR"/>
              </w:rPr>
              <w:t xml:space="preserve">: </w:t>
            </w:r>
          </w:p>
          <w:p w14:paraId="461D582A" w14:textId="3D1910DE" w:rsidR="00EE4557" w:rsidRPr="00470F08" w:rsidRDefault="00EE4557" w:rsidP="00492661">
            <w:pPr>
              <w:tabs>
                <w:tab w:val="left" w:pos="501"/>
              </w:tabs>
              <w:jc w:val="both"/>
              <w:rPr>
                <w:rFonts w:eastAsia="Calibri" w:cs="Times New Roman"/>
                <w:b/>
                <w:lang w:val="hr-HR"/>
              </w:rPr>
            </w:pPr>
            <w:r w:rsidRPr="00470F08">
              <w:rPr>
                <w:rFonts w:eastAsia="Calibri" w:cs="Times New Roman"/>
                <w:lang w:val="hr-HR"/>
              </w:rPr>
              <w:t xml:space="preserve">Važno je da </w:t>
            </w:r>
            <w:r w:rsidR="00C42F11" w:rsidRPr="00470F08">
              <w:rPr>
                <w:rFonts w:eastAsia="Calibri" w:cs="Times New Roman"/>
                <w:lang w:val="hr-HR"/>
              </w:rPr>
              <w:t>u Studiji</w:t>
            </w:r>
            <w:r w:rsidRPr="00470F08">
              <w:rPr>
                <w:rFonts w:eastAsia="Calibri" w:cs="Times New Roman"/>
                <w:lang w:val="hr-HR"/>
              </w:rPr>
              <w:t xml:space="preserve"> izv</w:t>
            </w:r>
            <w:r w:rsidR="00492661">
              <w:rPr>
                <w:rFonts w:eastAsia="Calibri" w:cs="Times New Roman"/>
                <w:lang w:val="hr-HR"/>
              </w:rPr>
              <w:t xml:space="preserve">edivosti </w:t>
            </w:r>
            <w:r w:rsidR="00C42F11" w:rsidRPr="00470F08">
              <w:rPr>
                <w:rFonts w:eastAsia="Calibri" w:cs="Times New Roman"/>
                <w:lang w:val="hr-HR"/>
              </w:rPr>
              <w:t>budu obrađene</w:t>
            </w:r>
            <w:r w:rsidRPr="00470F08">
              <w:rPr>
                <w:rFonts w:eastAsia="Calibri" w:cs="Times New Roman"/>
                <w:lang w:val="hr-HR"/>
              </w:rPr>
              <w:t xml:space="preserve"> sve gore navedene cjeline, a</w:t>
            </w:r>
            <w:r w:rsidR="00C42F11" w:rsidRPr="00470F08">
              <w:rPr>
                <w:rFonts w:eastAsia="Calibri" w:cs="Times New Roman"/>
                <w:lang w:val="hr-HR"/>
              </w:rPr>
              <w:t xml:space="preserve"> </w:t>
            </w:r>
            <w:r w:rsidRPr="00470F08">
              <w:rPr>
                <w:rFonts w:eastAsia="Calibri" w:cs="Times New Roman"/>
                <w:lang w:val="hr-HR"/>
              </w:rPr>
              <w:t>sadržaj Studije izv</w:t>
            </w:r>
            <w:r w:rsidR="00492661">
              <w:rPr>
                <w:rFonts w:eastAsia="Calibri" w:cs="Times New Roman"/>
                <w:lang w:val="hr-HR"/>
              </w:rPr>
              <w:t>edivosti</w:t>
            </w:r>
            <w:r w:rsidRPr="00470F08">
              <w:rPr>
                <w:rFonts w:eastAsia="Calibri" w:cs="Times New Roman"/>
                <w:lang w:val="hr-HR"/>
              </w:rPr>
              <w:t xml:space="preserve"> prijavitelj može sam odrediti!</w:t>
            </w:r>
          </w:p>
        </w:tc>
      </w:tr>
    </w:tbl>
    <w:p w14:paraId="5BE60471" w14:textId="4E5C4DB1" w:rsidR="00A05109" w:rsidRPr="00470F08" w:rsidRDefault="00A05109" w:rsidP="00EE4557">
      <w:pPr>
        <w:tabs>
          <w:tab w:val="left" w:pos="501"/>
        </w:tabs>
        <w:spacing w:before="151"/>
        <w:jc w:val="both"/>
        <w:rPr>
          <w:rFonts w:eastAsia="Calibri" w:cs="Times New Roman"/>
          <w:b/>
          <w:lang w:val="hr-HR"/>
        </w:rPr>
      </w:pPr>
    </w:p>
    <w:sectPr w:rsidR="00A05109" w:rsidRPr="00470F08" w:rsidSect="003F09AF">
      <w:headerReference w:type="default" r:id="rId12"/>
      <w:footerReference w:type="default" r:id="rId13"/>
      <w:type w:val="continuous"/>
      <w:pgSz w:w="11910" w:h="17340"/>
      <w:pgMar w:top="1640" w:right="920" w:bottom="280" w:left="108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1E0D7" w14:textId="77777777" w:rsidR="00586C6E" w:rsidRDefault="00586C6E" w:rsidP="003F09AF">
      <w:r>
        <w:separator/>
      </w:r>
    </w:p>
  </w:endnote>
  <w:endnote w:type="continuationSeparator" w:id="0">
    <w:p w14:paraId="63E22DF7" w14:textId="77777777" w:rsidR="00586C6E" w:rsidRDefault="00586C6E" w:rsidP="003F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60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EC947" w14:textId="27AA8AB2" w:rsidR="00F71C16" w:rsidRDefault="00F71C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3320C" w14:textId="77777777" w:rsidR="00F71C16" w:rsidRDefault="00F71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37DC6" w14:textId="77777777" w:rsidR="00586C6E" w:rsidRDefault="00586C6E" w:rsidP="003F09AF">
      <w:r>
        <w:separator/>
      </w:r>
    </w:p>
  </w:footnote>
  <w:footnote w:type="continuationSeparator" w:id="0">
    <w:p w14:paraId="65E869B0" w14:textId="77777777" w:rsidR="00586C6E" w:rsidRDefault="00586C6E" w:rsidP="003F09AF">
      <w:r>
        <w:continuationSeparator/>
      </w:r>
    </w:p>
  </w:footnote>
  <w:footnote w:id="1">
    <w:p w14:paraId="2A122E10" w14:textId="08B7BF0A" w:rsidR="002303EA" w:rsidRPr="00F9560C" w:rsidRDefault="00223B28" w:rsidP="002303EA">
      <w:pPr>
        <w:pStyle w:val="FootnoteText"/>
        <w:rPr>
          <w:rFonts w:cs="Times New Roman"/>
          <w:sz w:val="18"/>
        </w:rPr>
      </w:pPr>
      <w:r w:rsidRPr="00F9560C">
        <w:rPr>
          <w:rStyle w:val="FootnoteReference"/>
          <w:rFonts w:cs="Times New Roman"/>
          <w:sz w:val="18"/>
        </w:rPr>
        <w:footnoteRef/>
      </w:r>
      <w:r w:rsidRPr="00F9560C">
        <w:rPr>
          <w:rFonts w:cs="Times New Roman"/>
          <w:sz w:val="18"/>
        </w:rPr>
        <w:t xml:space="preserve"> </w:t>
      </w:r>
      <w:hyperlink r:id="rId1" w:history="1">
        <w:r w:rsidR="002303EA" w:rsidRPr="00F9560C">
          <w:rPr>
            <w:rStyle w:val="Hyperlink"/>
            <w:rFonts w:cs="Times New Roman"/>
            <w:sz w:val="18"/>
          </w:rPr>
          <w:t>https://mzo.hr/sites/default/files/migrated/europa-2020.pdf</w:t>
        </w:r>
      </w:hyperlink>
    </w:p>
  </w:footnote>
  <w:footnote w:id="2">
    <w:p w14:paraId="4059E7EA" w14:textId="0C289F1A" w:rsidR="002303EA" w:rsidRPr="00F9560C" w:rsidRDefault="00223B28" w:rsidP="00223B28">
      <w:pPr>
        <w:pStyle w:val="FootnoteText"/>
        <w:rPr>
          <w:sz w:val="18"/>
        </w:rPr>
      </w:pPr>
      <w:r w:rsidRPr="00F9560C">
        <w:rPr>
          <w:rStyle w:val="FootnoteReference"/>
          <w:rFonts w:cs="Times New Roman"/>
          <w:sz w:val="18"/>
        </w:rPr>
        <w:footnoteRef/>
      </w:r>
      <w:r w:rsidR="008C5B6E" w:rsidRPr="00F9560C">
        <w:rPr>
          <w:sz w:val="18"/>
        </w:rPr>
        <w:t xml:space="preserve"> </w:t>
      </w:r>
      <w:hyperlink r:id="rId2" w:history="1">
        <w:r w:rsidR="002303EA" w:rsidRPr="00F9560C">
          <w:rPr>
            <w:rStyle w:val="Hyperlink"/>
            <w:sz w:val="18"/>
          </w:rPr>
          <w:t>https://strukturnifondovi.hr/wp-content/uploads/2017/05/OPKK-2014.-2020.-tehničke-izmjene.pdf</w:t>
        </w:r>
      </w:hyperlink>
    </w:p>
  </w:footnote>
  <w:footnote w:id="3">
    <w:p w14:paraId="0BA73647" w14:textId="0D6C7254" w:rsidR="002303EA" w:rsidRPr="00F9560C" w:rsidRDefault="00223B28" w:rsidP="009B1610">
      <w:pPr>
        <w:pStyle w:val="FootnoteText"/>
        <w:rPr>
          <w:rFonts w:cs="Times New Roman"/>
          <w:sz w:val="18"/>
        </w:rPr>
      </w:pPr>
      <w:r w:rsidRPr="00F9560C">
        <w:rPr>
          <w:rStyle w:val="FootnoteReference"/>
          <w:rFonts w:cs="Times New Roman"/>
          <w:sz w:val="18"/>
        </w:rPr>
        <w:footnoteRef/>
      </w:r>
      <w:r w:rsidRPr="00F9560C">
        <w:rPr>
          <w:rFonts w:cs="Times New Roman"/>
          <w:sz w:val="18"/>
        </w:rPr>
        <w:t xml:space="preserve"> </w:t>
      </w:r>
      <w:hyperlink r:id="rId3" w:history="1">
        <w:r w:rsidR="002303EA" w:rsidRPr="00F9560C">
          <w:rPr>
            <w:rStyle w:val="Hyperlink"/>
            <w:rFonts w:cs="Times New Roman"/>
            <w:sz w:val="18"/>
          </w:rPr>
          <w:t>https://mzo.hr/sites/default/files/migrated/strategija_pametne_specijalizacije_rh_2016_2020.pdf</w:t>
        </w:r>
      </w:hyperlink>
    </w:p>
  </w:footnote>
  <w:footnote w:id="4">
    <w:p w14:paraId="7AABC7EB" w14:textId="146AB7BE" w:rsidR="002303EA" w:rsidRPr="00F9560C" w:rsidRDefault="00223B28" w:rsidP="009B1610">
      <w:pPr>
        <w:pStyle w:val="FootnoteText"/>
        <w:rPr>
          <w:sz w:val="18"/>
        </w:rPr>
      </w:pPr>
      <w:r w:rsidRPr="00F9560C">
        <w:rPr>
          <w:rStyle w:val="FootnoteReference"/>
          <w:rFonts w:cs="Times New Roman"/>
          <w:sz w:val="18"/>
        </w:rPr>
        <w:footnoteRef/>
      </w:r>
      <w:r w:rsidRPr="00F9560C">
        <w:rPr>
          <w:rFonts w:cs="Times New Roman"/>
          <w:sz w:val="18"/>
        </w:rPr>
        <w:t xml:space="preserve"> </w:t>
      </w:r>
      <w:r w:rsidR="002303EA" w:rsidRPr="00F9560C">
        <w:rPr>
          <w:sz w:val="18"/>
        </w:rPr>
        <w:t xml:space="preserve"> </w:t>
      </w:r>
      <w:hyperlink r:id="rId4" w:history="1">
        <w:r w:rsidR="002303EA" w:rsidRPr="00F9560C">
          <w:rPr>
            <w:rStyle w:val="Hyperlink"/>
            <w:sz w:val="18"/>
          </w:rPr>
          <w:t>https://mzo.hr/sites/default/files/migrated/plan_razvoja_istrazivacke_infrastrukture_u_rh.pdf</w:t>
        </w:r>
      </w:hyperlink>
    </w:p>
  </w:footnote>
  <w:footnote w:id="5">
    <w:p w14:paraId="21A1B7AB" w14:textId="020B6B43" w:rsidR="00223B28" w:rsidRPr="00F9560C" w:rsidRDefault="00223B28" w:rsidP="009B1610">
      <w:pPr>
        <w:pStyle w:val="FootnoteText"/>
        <w:rPr>
          <w:sz w:val="18"/>
        </w:rPr>
      </w:pPr>
      <w:r w:rsidRPr="00F9560C">
        <w:rPr>
          <w:rStyle w:val="FootnoteReference"/>
          <w:rFonts w:cs="Times New Roman"/>
          <w:sz w:val="18"/>
        </w:rPr>
        <w:footnoteRef/>
      </w:r>
      <w:r w:rsidRPr="00F9560C">
        <w:rPr>
          <w:rFonts w:cs="Times New Roman"/>
          <w:sz w:val="18"/>
        </w:rPr>
        <w:t xml:space="preserve"> </w:t>
      </w:r>
      <w:hyperlink r:id="rId5" w:history="1">
        <w:r w:rsidR="002303EA" w:rsidRPr="00F9560C">
          <w:rPr>
            <w:rStyle w:val="Hyperlink"/>
            <w:sz w:val="18"/>
          </w:rPr>
          <w:t>http://narodne-novine.nn.hr/clanci/sluzbeni/2014_10_124_2364.html</w:t>
        </w:r>
      </w:hyperlink>
    </w:p>
    <w:p w14:paraId="613BBC04" w14:textId="77777777" w:rsidR="009B1610" w:rsidRPr="00F9141C" w:rsidRDefault="009B1610" w:rsidP="00223B28">
      <w:pPr>
        <w:pStyle w:val="FootnoteText"/>
        <w:rPr>
          <w:lang w:val="hr-HR"/>
        </w:rPr>
      </w:pPr>
    </w:p>
  </w:footnote>
  <w:footnote w:id="6">
    <w:p w14:paraId="0E2BCDF7" w14:textId="79685B14" w:rsidR="00C76615" w:rsidRPr="00C76615" w:rsidRDefault="00C76615" w:rsidP="002B341A">
      <w:pPr>
        <w:pStyle w:val="FootnoteText"/>
        <w:jc w:val="both"/>
        <w:rPr>
          <w:lang w:val="hr-HR"/>
        </w:rPr>
      </w:pPr>
      <w:r w:rsidRPr="00C76615">
        <w:rPr>
          <w:rStyle w:val="FootnoteReference"/>
          <w:sz w:val="18"/>
          <w:lang w:val="hr-HR"/>
        </w:rPr>
        <w:footnoteRef/>
      </w:r>
      <w:r w:rsidRPr="00C76615">
        <w:rPr>
          <w:sz w:val="18"/>
          <w:lang w:val="hr-HR"/>
        </w:rPr>
        <w:t xml:space="preserve"> </w:t>
      </w:r>
      <w:r w:rsidR="007260CF" w:rsidRPr="007260CF">
        <w:rPr>
          <w:sz w:val="18"/>
          <w:lang w:val="hr-HR"/>
        </w:rPr>
        <w:t>Predmetni subjekt se odnosi na npr. laboratorij, centar, zavod, ustrojstvenu jedinicu u okviru koje se oprema kupuje.</w:t>
      </w:r>
      <w:r w:rsidR="007260CF">
        <w:rPr>
          <w:sz w:val="18"/>
          <w:lang w:val="hr-HR"/>
        </w:rPr>
        <w:t xml:space="preserve"> </w:t>
      </w:r>
      <w:r w:rsidRPr="00C76615">
        <w:rPr>
          <w:sz w:val="18"/>
          <w:lang w:val="hr-HR"/>
        </w:rPr>
        <w:t>Ako sama oprema koja se kupuje može biti zasebno shvaćena kao predmetni subjekt tj. da svrha rada te opreme ne ovisi o drugoj opremi tj, nije sastavni dio veće cjeline onda bi se oprema mogla smatrati predmetnim subjektom za izračun kapaciteta. U suprotnom ako će oprema koja se planira nabaviti u okviru ovog Poziva biti dio cjeline (tj. da ovisi o radu druge opreme ili će se za svrhu istraživanja koje se provodi koristi kao dio cjeline) onda se ta cjelina uzima kao predmetni subjekt.</w:t>
      </w:r>
    </w:p>
  </w:footnote>
  <w:footnote w:id="7">
    <w:p w14:paraId="0CDEA3AF" w14:textId="1018E922" w:rsidR="008D644A" w:rsidRPr="008D644A" w:rsidRDefault="008D644A" w:rsidP="00911C00">
      <w:pPr>
        <w:pStyle w:val="FootnoteText"/>
        <w:jc w:val="both"/>
        <w:rPr>
          <w:lang w:val="hr-HR"/>
        </w:rPr>
      </w:pPr>
      <w:r w:rsidRPr="00F9560C">
        <w:rPr>
          <w:rStyle w:val="FootnoteReference"/>
          <w:sz w:val="18"/>
          <w:lang w:val="hr-HR"/>
        </w:rPr>
        <w:footnoteRef/>
      </w:r>
      <w:r w:rsidRPr="00F9560C">
        <w:rPr>
          <w:sz w:val="18"/>
          <w:lang w:val="hr-HR"/>
        </w:rPr>
        <w:t xml:space="preserve"> </w:t>
      </w:r>
      <w:r w:rsidR="0027273E">
        <w:rPr>
          <w:sz w:val="18"/>
          <w:lang w:val="hr-HR"/>
        </w:rPr>
        <w:t>U skladu s Prilogom 4 e</w:t>
      </w:r>
      <w:r w:rsidRPr="00F9560C">
        <w:rPr>
          <w:sz w:val="18"/>
          <w:lang w:val="hr-HR"/>
        </w:rPr>
        <w:t>konomske aktivnosti mogu biti isključivo pomoćne, što znači da trebaju biti izravno povezane s radom istraživačke/</w:t>
      </w:r>
      <w:r w:rsidR="00FF128A" w:rsidRPr="00F9560C">
        <w:rPr>
          <w:sz w:val="18"/>
          <w:lang w:val="hr-HR"/>
        </w:rPr>
        <w:t xml:space="preserve"> </w:t>
      </w:r>
      <w:r w:rsidRPr="00F9560C">
        <w:rPr>
          <w:sz w:val="18"/>
          <w:lang w:val="hr-HR"/>
        </w:rPr>
        <w:t>znanstvene organizacije  i neophodne za taj rad ili neodvojivo povezane s njihovom glavnom neekonomskom upotrebom, te opseg aktivnosti mora biti ograničen. To je slučaj ako ekonomske djelatnosti troše potpuno jednake inpute (primjerice materijal, oprema, radna snaga i fiksni kapital) kao i neekonomske djelatnosti, a kapaciteti koji se svake godine dodjeljuju tim ekonomskim djelatnostima ne premašuju 20% ukupnih godišnjih kapaciteta predmetnog subjekta.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5FC5" w14:textId="77777777" w:rsidR="00852B4D" w:rsidRDefault="00852B4D">
    <w:pPr>
      <w:pStyle w:val="Header"/>
      <w:rPr>
        <w:b/>
        <w:lang w:val="hr-HR"/>
      </w:rPr>
    </w:pPr>
  </w:p>
  <w:p w14:paraId="6149F1D7" w14:textId="77777777" w:rsidR="0066701E" w:rsidRPr="00325A2C" w:rsidRDefault="0066701E">
    <w:pPr>
      <w:pStyle w:val="Header"/>
      <w:rPr>
        <w:rFonts w:cs="Times New Roman"/>
        <w:lang w:val="hr-HR"/>
      </w:rPr>
    </w:pPr>
    <w:r w:rsidRPr="00325A2C">
      <w:rPr>
        <w:rFonts w:cs="Times New Roman"/>
        <w:lang w:val="hr-HR"/>
      </w:rPr>
      <w:t xml:space="preserve">Prilog </w:t>
    </w:r>
    <w:r w:rsidR="00057FA0" w:rsidRPr="00325A2C">
      <w:rPr>
        <w:rFonts w:cs="Times New Roman"/>
        <w:lang w:val="hr-HR"/>
      </w:rPr>
      <w:t>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0EBD"/>
    <w:multiLevelType w:val="hybridMultilevel"/>
    <w:tmpl w:val="169A7706"/>
    <w:lvl w:ilvl="0" w:tplc="041A0011">
      <w:start w:val="1"/>
      <w:numFmt w:val="decimal"/>
      <w:lvlText w:val="%1)"/>
      <w:lvlJc w:val="left"/>
      <w:pPr>
        <w:ind w:left="168" w:hanging="237"/>
      </w:pPr>
      <w:rPr>
        <w:rFonts w:hint="default"/>
        <w:b/>
        <w:bCs/>
        <w:w w:val="100"/>
        <w:sz w:val="22"/>
        <w:szCs w:val="22"/>
      </w:rPr>
    </w:lvl>
    <w:lvl w:ilvl="1" w:tplc="3B10578E">
      <w:start w:val="1"/>
      <w:numFmt w:val="bullet"/>
      <w:lvlText w:val="•"/>
      <w:lvlJc w:val="left"/>
      <w:pPr>
        <w:ind w:left="1134" w:hanging="237"/>
      </w:pPr>
      <w:rPr>
        <w:rFonts w:hint="default"/>
      </w:rPr>
    </w:lvl>
    <w:lvl w:ilvl="2" w:tplc="43F6AD9E">
      <w:start w:val="1"/>
      <w:numFmt w:val="bullet"/>
      <w:lvlText w:val="•"/>
      <w:lvlJc w:val="left"/>
      <w:pPr>
        <w:ind w:left="2109" w:hanging="237"/>
      </w:pPr>
      <w:rPr>
        <w:rFonts w:hint="default"/>
      </w:rPr>
    </w:lvl>
    <w:lvl w:ilvl="3" w:tplc="F15E4BD8">
      <w:start w:val="1"/>
      <w:numFmt w:val="bullet"/>
      <w:lvlText w:val="•"/>
      <w:lvlJc w:val="left"/>
      <w:pPr>
        <w:ind w:left="3083" w:hanging="237"/>
      </w:pPr>
      <w:rPr>
        <w:rFonts w:hint="default"/>
      </w:rPr>
    </w:lvl>
    <w:lvl w:ilvl="4" w:tplc="14C08C60">
      <w:start w:val="1"/>
      <w:numFmt w:val="bullet"/>
      <w:lvlText w:val="•"/>
      <w:lvlJc w:val="left"/>
      <w:pPr>
        <w:ind w:left="4058" w:hanging="237"/>
      </w:pPr>
      <w:rPr>
        <w:rFonts w:hint="default"/>
      </w:rPr>
    </w:lvl>
    <w:lvl w:ilvl="5" w:tplc="CE262610">
      <w:start w:val="1"/>
      <w:numFmt w:val="bullet"/>
      <w:lvlText w:val="•"/>
      <w:lvlJc w:val="left"/>
      <w:pPr>
        <w:ind w:left="5033" w:hanging="237"/>
      </w:pPr>
      <w:rPr>
        <w:rFonts w:hint="default"/>
      </w:rPr>
    </w:lvl>
    <w:lvl w:ilvl="6" w:tplc="A4281222">
      <w:start w:val="1"/>
      <w:numFmt w:val="bullet"/>
      <w:lvlText w:val="•"/>
      <w:lvlJc w:val="left"/>
      <w:pPr>
        <w:ind w:left="6007" w:hanging="237"/>
      </w:pPr>
      <w:rPr>
        <w:rFonts w:hint="default"/>
      </w:rPr>
    </w:lvl>
    <w:lvl w:ilvl="7" w:tplc="F83CA0F8">
      <w:start w:val="1"/>
      <w:numFmt w:val="bullet"/>
      <w:lvlText w:val="•"/>
      <w:lvlJc w:val="left"/>
      <w:pPr>
        <w:ind w:left="6982" w:hanging="237"/>
      </w:pPr>
      <w:rPr>
        <w:rFonts w:hint="default"/>
      </w:rPr>
    </w:lvl>
    <w:lvl w:ilvl="8" w:tplc="C16A7B48">
      <w:start w:val="1"/>
      <w:numFmt w:val="bullet"/>
      <w:lvlText w:val="•"/>
      <w:lvlJc w:val="left"/>
      <w:pPr>
        <w:ind w:left="7957" w:hanging="237"/>
      </w:pPr>
      <w:rPr>
        <w:rFonts w:hint="default"/>
      </w:rPr>
    </w:lvl>
  </w:abstractNum>
  <w:abstractNum w:abstractNumId="1" w15:restartNumberingAfterBreak="0">
    <w:nsid w:val="751E40D5"/>
    <w:multiLevelType w:val="hybridMultilevel"/>
    <w:tmpl w:val="D766DC0E"/>
    <w:lvl w:ilvl="0" w:tplc="80EC7F2C">
      <w:start w:val="1"/>
      <w:numFmt w:val="decimal"/>
      <w:lvlText w:val="%1."/>
      <w:lvlJc w:val="left"/>
      <w:pPr>
        <w:ind w:left="168" w:hanging="237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3B10578E">
      <w:start w:val="1"/>
      <w:numFmt w:val="bullet"/>
      <w:lvlText w:val="•"/>
      <w:lvlJc w:val="left"/>
      <w:pPr>
        <w:ind w:left="1134" w:hanging="237"/>
      </w:pPr>
      <w:rPr>
        <w:rFonts w:hint="default"/>
      </w:rPr>
    </w:lvl>
    <w:lvl w:ilvl="2" w:tplc="43F6AD9E">
      <w:start w:val="1"/>
      <w:numFmt w:val="bullet"/>
      <w:lvlText w:val="•"/>
      <w:lvlJc w:val="left"/>
      <w:pPr>
        <w:ind w:left="2109" w:hanging="237"/>
      </w:pPr>
      <w:rPr>
        <w:rFonts w:hint="default"/>
      </w:rPr>
    </w:lvl>
    <w:lvl w:ilvl="3" w:tplc="F15E4BD8">
      <w:start w:val="1"/>
      <w:numFmt w:val="bullet"/>
      <w:lvlText w:val="•"/>
      <w:lvlJc w:val="left"/>
      <w:pPr>
        <w:ind w:left="3083" w:hanging="237"/>
      </w:pPr>
      <w:rPr>
        <w:rFonts w:hint="default"/>
      </w:rPr>
    </w:lvl>
    <w:lvl w:ilvl="4" w:tplc="14C08C60">
      <w:start w:val="1"/>
      <w:numFmt w:val="bullet"/>
      <w:lvlText w:val="•"/>
      <w:lvlJc w:val="left"/>
      <w:pPr>
        <w:ind w:left="4058" w:hanging="237"/>
      </w:pPr>
      <w:rPr>
        <w:rFonts w:hint="default"/>
      </w:rPr>
    </w:lvl>
    <w:lvl w:ilvl="5" w:tplc="CE262610">
      <w:start w:val="1"/>
      <w:numFmt w:val="bullet"/>
      <w:lvlText w:val="•"/>
      <w:lvlJc w:val="left"/>
      <w:pPr>
        <w:ind w:left="5033" w:hanging="237"/>
      </w:pPr>
      <w:rPr>
        <w:rFonts w:hint="default"/>
      </w:rPr>
    </w:lvl>
    <w:lvl w:ilvl="6" w:tplc="A4281222">
      <w:start w:val="1"/>
      <w:numFmt w:val="bullet"/>
      <w:lvlText w:val="•"/>
      <w:lvlJc w:val="left"/>
      <w:pPr>
        <w:ind w:left="6007" w:hanging="237"/>
      </w:pPr>
      <w:rPr>
        <w:rFonts w:hint="default"/>
      </w:rPr>
    </w:lvl>
    <w:lvl w:ilvl="7" w:tplc="F83CA0F8">
      <w:start w:val="1"/>
      <w:numFmt w:val="bullet"/>
      <w:lvlText w:val="•"/>
      <w:lvlJc w:val="left"/>
      <w:pPr>
        <w:ind w:left="6982" w:hanging="237"/>
      </w:pPr>
      <w:rPr>
        <w:rFonts w:hint="default"/>
      </w:rPr>
    </w:lvl>
    <w:lvl w:ilvl="8" w:tplc="C16A7B48">
      <w:start w:val="1"/>
      <w:numFmt w:val="bullet"/>
      <w:lvlText w:val="•"/>
      <w:lvlJc w:val="left"/>
      <w:pPr>
        <w:ind w:left="7957" w:hanging="23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18"/>
    <w:rsid w:val="00000B25"/>
    <w:rsid w:val="00003064"/>
    <w:rsid w:val="000577D1"/>
    <w:rsid w:val="00057FA0"/>
    <w:rsid w:val="00062143"/>
    <w:rsid w:val="00072267"/>
    <w:rsid w:val="00081C16"/>
    <w:rsid w:val="00085871"/>
    <w:rsid w:val="000908FE"/>
    <w:rsid w:val="000A10F9"/>
    <w:rsid w:val="000C704C"/>
    <w:rsid w:val="000F05A2"/>
    <w:rsid w:val="000F5CAC"/>
    <w:rsid w:val="00122654"/>
    <w:rsid w:val="001238B1"/>
    <w:rsid w:val="0014285F"/>
    <w:rsid w:val="00144F98"/>
    <w:rsid w:val="00154806"/>
    <w:rsid w:val="001825F1"/>
    <w:rsid w:val="00197C99"/>
    <w:rsid w:val="001A0C3C"/>
    <w:rsid w:val="001B1633"/>
    <w:rsid w:val="001C1636"/>
    <w:rsid w:val="001C17D9"/>
    <w:rsid w:val="0021275F"/>
    <w:rsid w:val="00223B28"/>
    <w:rsid w:val="00223BA0"/>
    <w:rsid w:val="00225405"/>
    <w:rsid w:val="002303EA"/>
    <w:rsid w:val="002634E5"/>
    <w:rsid w:val="0027273E"/>
    <w:rsid w:val="00291127"/>
    <w:rsid w:val="002913D6"/>
    <w:rsid w:val="002941CF"/>
    <w:rsid w:val="00297F5E"/>
    <w:rsid w:val="002A23C8"/>
    <w:rsid w:val="002A6E55"/>
    <w:rsid w:val="002B341A"/>
    <w:rsid w:val="002E4097"/>
    <w:rsid w:val="002F2FC8"/>
    <w:rsid w:val="002F5BCE"/>
    <w:rsid w:val="00305C5F"/>
    <w:rsid w:val="00313145"/>
    <w:rsid w:val="00317C49"/>
    <w:rsid w:val="00321474"/>
    <w:rsid w:val="00325A2C"/>
    <w:rsid w:val="00352D32"/>
    <w:rsid w:val="00367225"/>
    <w:rsid w:val="003702F0"/>
    <w:rsid w:val="003720B1"/>
    <w:rsid w:val="00396D0B"/>
    <w:rsid w:val="003A573A"/>
    <w:rsid w:val="003B50A9"/>
    <w:rsid w:val="003B5FC2"/>
    <w:rsid w:val="003E07E8"/>
    <w:rsid w:val="003F06FD"/>
    <w:rsid w:val="003F09AF"/>
    <w:rsid w:val="003F2753"/>
    <w:rsid w:val="0041162B"/>
    <w:rsid w:val="00424633"/>
    <w:rsid w:val="00431E71"/>
    <w:rsid w:val="00436E4F"/>
    <w:rsid w:val="00446B3B"/>
    <w:rsid w:val="004514CC"/>
    <w:rsid w:val="0046108A"/>
    <w:rsid w:val="00464AE6"/>
    <w:rsid w:val="00466106"/>
    <w:rsid w:val="00470F08"/>
    <w:rsid w:val="00492661"/>
    <w:rsid w:val="004C221B"/>
    <w:rsid w:val="004C78E3"/>
    <w:rsid w:val="004D1FB5"/>
    <w:rsid w:val="004E4A3C"/>
    <w:rsid w:val="005041E4"/>
    <w:rsid w:val="005048A8"/>
    <w:rsid w:val="005117DF"/>
    <w:rsid w:val="00513572"/>
    <w:rsid w:val="005370C7"/>
    <w:rsid w:val="00544079"/>
    <w:rsid w:val="005700DB"/>
    <w:rsid w:val="00586C6E"/>
    <w:rsid w:val="005B279E"/>
    <w:rsid w:val="005C5118"/>
    <w:rsid w:val="005D126B"/>
    <w:rsid w:val="005D6224"/>
    <w:rsid w:val="005E0041"/>
    <w:rsid w:val="005E0CE9"/>
    <w:rsid w:val="00624B00"/>
    <w:rsid w:val="00647BA7"/>
    <w:rsid w:val="0065688C"/>
    <w:rsid w:val="0066701E"/>
    <w:rsid w:val="00667044"/>
    <w:rsid w:val="0067553E"/>
    <w:rsid w:val="00697E71"/>
    <w:rsid w:val="006A4ED4"/>
    <w:rsid w:val="006C43B5"/>
    <w:rsid w:val="006D0670"/>
    <w:rsid w:val="006E125B"/>
    <w:rsid w:val="006F0423"/>
    <w:rsid w:val="00725341"/>
    <w:rsid w:val="007260CF"/>
    <w:rsid w:val="0075434A"/>
    <w:rsid w:val="0075795C"/>
    <w:rsid w:val="00762DF1"/>
    <w:rsid w:val="007865FF"/>
    <w:rsid w:val="0079067D"/>
    <w:rsid w:val="00797977"/>
    <w:rsid w:val="007C40AD"/>
    <w:rsid w:val="00812253"/>
    <w:rsid w:val="008339FF"/>
    <w:rsid w:val="00836053"/>
    <w:rsid w:val="00846AE8"/>
    <w:rsid w:val="00852B4D"/>
    <w:rsid w:val="008568AA"/>
    <w:rsid w:val="00865E5C"/>
    <w:rsid w:val="0087255C"/>
    <w:rsid w:val="00892B48"/>
    <w:rsid w:val="008A2778"/>
    <w:rsid w:val="008A6ACD"/>
    <w:rsid w:val="008B62D6"/>
    <w:rsid w:val="008C5B6E"/>
    <w:rsid w:val="008D53F5"/>
    <w:rsid w:val="008D644A"/>
    <w:rsid w:val="008E4F04"/>
    <w:rsid w:val="008F121E"/>
    <w:rsid w:val="009030F9"/>
    <w:rsid w:val="00911C00"/>
    <w:rsid w:val="0092480B"/>
    <w:rsid w:val="0093154A"/>
    <w:rsid w:val="0095507D"/>
    <w:rsid w:val="00966305"/>
    <w:rsid w:val="00983589"/>
    <w:rsid w:val="009A3869"/>
    <w:rsid w:val="009B0800"/>
    <w:rsid w:val="009B1610"/>
    <w:rsid w:val="009C441E"/>
    <w:rsid w:val="009E2A04"/>
    <w:rsid w:val="00A05109"/>
    <w:rsid w:val="00A065F0"/>
    <w:rsid w:val="00A12628"/>
    <w:rsid w:val="00A4435A"/>
    <w:rsid w:val="00A717DE"/>
    <w:rsid w:val="00A74315"/>
    <w:rsid w:val="00A81A6C"/>
    <w:rsid w:val="00A9562F"/>
    <w:rsid w:val="00A97693"/>
    <w:rsid w:val="00AB154C"/>
    <w:rsid w:val="00AD790B"/>
    <w:rsid w:val="00AE0268"/>
    <w:rsid w:val="00B11CDC"/>
    <w:rsid w:val="00B212FD"/>
    <w:rsid w:val="00B26630"/>
    <w:rsid w:val="00B3364C"/>
    <w:rsid w:val="00B545A9"/>
    <w:rsid w:val="00B63CEC"/>
    <w:rsid w:val="00B653BC"/>
    <w:rsid w:val="00B71E5D"/>
    <w:rsid w:val="00B85A03"/>
    <w:rsid w:val="00B86D9E"/>
    <w:rsid w:val="00B9447D"/>
    <w:rsid w:val="00BA0E89"/>
    <w:rsid w:val="00BC6A18"/>
    <w:rsid w:val="00BD773D"/>
    <w:rsid w:val="00BE3C82"/>
    <w:rsid w:val="00BF6FC4"/>
    <w:rsid w:val="00C42F11"/>
    <w:rsid w:val="00C54963"/>
    <w:rsid w:val="00C66A06"/>
    <w:rsid w:val="00C7150D"/>
    <w:rsid w:val="00C76615"/>
    <w:rsid w:val="00CE266E"/>
    <w:rsid w:val="00CE699B"/>
    <w:rsid w:val="00CF2F27"/>
    <w:rsid w:val="00D3308A"/>
    <w:rsid w:val="00D468C9"/>
    <w:rsid w:val="00D728F1"/>
    <w:rsid w:val="00D83296"/>
    <w:rsid w:val="00D83555"/>
    <w:rsid w:val="00D85815"/>
    <w:rsid w:val="00D86792"/>
    <w:rsid w:val="00DA42A8"/>
    <w:rsid w:val="00DA74D1"/>
    <w:rsid w:val="00DC219E"/>
    <w:rsid w:val="00DC38D5"/>
    <w:rsid w:val="00DD31C1"/>
    <w:rsid w:val="00DD32A5"/>
    <w:rsid w:val="00DD7D38"/>
    <w:rsid w:val="00DE01B4"/>
    <w:rsid w:val="00DF2E39"/>
    <w:rsid w:val="00E20025"/>
    <w:rsid w:val="00E24CB7"/>
    <w:rsid w:val="00E336B4"/>
    <w:rsid w:val="00E33993"/>
    <w:rsid w:val="00E54D90"/>
    <w:rsid w:val="00E63396"/>
    <w:rsid w:val="00E71F97"/>
    <w:rsid w:val="00EA1012"/>
    <w:rsid w:val="00EA4C99"/>
    <w:rsid w:val="00EA60AA"/>
    <w:rsid w:val="00EC72D2"/>
    <w:rsid w:val="00ED006A"/>
    <w:rsid w:val="00EE4557"/>
    <w:rsid w:val="00EE4E6D"/>
    <w:rsid w:val="00EE67B4"/>
    <w:rsid w:val="00F124E8"/>
    <w:rsid w:val="00F16BD5"/>
    <w:rsid w:val="00F25FC6"/>
    <w:rsid w:val="00F37426"/>
    <w:rsid w:val="00F71C16"/>
    <w:rsid w:val="00F84AC9"/>
    <w:rsid w:val="00F9141C"/>
    <w:rsid w:val="00F94068"/>
    <w:rsid w:val="00F9560C"/>
    <w:rsid w:val="00FC451D"/>
    <w:rsid w:val="00FD230F"/>
    <w:rsid w:val="00FD2517"/>
    <w:rsid w:val="00FD6DAE"/>
    <w:rsid w:val="00FE252B"/>
    <w:rsid w:val="00FF128A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93A1"/>
  <w15:docId w15:val="{BA03894B-D93B-48C3-8234-BD00516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390" w:hanging="22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9"/>
      <w:ind w:left="16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9AF"/>
  </w:style>
  <w:style w:type="paragraph" w:styleId="Footer">
    <w:name w:val="footer"/>
    <w:basedOn w:val="Normal"/>
    <w:link w:val="FooterChar"/>
    <w:uiPriority w:val="99"/>
    <w:unhideWhenUsed/>
    <w:rsid w:val="003F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9AF"/>
  </w:style>
  <w:style w:type="character" w:styleId="CommentReference">
    <w:name w:val="annotation reference"/>
    <w:basedOn w:val="DefaultParagraphFont"/>
    <w:uiPriority w:val="99"/>
    <w:semiHidden/>
    <w:unhideWhenUsed/>
    <w:rsid w:val="00790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6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D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D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DAE"/>
    <w:rPr>
      <w:vertAlign w:val="superscript"/>
    </w:rPr>
  </w:style>
  <w:style w:type="table" w:styleId="TableGrid">
    <w:name w:val="Table Grid"/>
    <w:basedOn w:val="TableNormal"/>
    <w:uiPriority w:val="59"/>
    <w:rsid w:val="00EE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0F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o.hr/sites/default/files/migrated/strategija_pametne_specijalizacije_rh_2016_2020.pdf" TargetMode="External"/><Relationship Id="rId2" Type="http://schemas.openxmlformats.org/officeDocument/2006/relationships/hyperlink" Target="https://strukturnifondovi.hr/wp-content/uploads/2017/05/OPKK-2014.-2020.-tehni&#269;ke-izmjene.pdf" TargetMode="External"/><Relationship Id="rId1" Type="http://schemas.openxmlformats.org/officeDocument/2006/relationships/hyperlink" Target="https://mzo.hr/sites/default/files/migrated/europa-2020.pdf" TargetMode="External"/><Relationship Id="rId5" Type="http://schemas.openxmlformats.org/officeDocument/2006/relationships/hyperlink" Target="http://narodne-novine.nn.hr/clanci/sluzbeni/2014_10_124_2364.html" TargetMode="External"/><Relationship Id="rId4" Type="http://schemas.openxmlformats.org/officeDocument/2006/relationships/hyperlink" Target="https://mzo.hr/sites/default/files/migrated/plan_razvoja_istrazivacke_infrastrukture_u_r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5" ma:contentTypeDescription="Stvaranje novog dokumenta." ma:contentTypeScope="" ma:versionID="61d5a972544a54c53c454673e4453152">
  <xsd:schema xmlns:xsd="http://www.w3.org/2001/XMLSchema" xmlns:xs="http://www.w3.org/2001/XMLSchema" xmlns:p="http://schemas.microsoft.com/office/2006/metadata/properties" xmlns:ns2="e7897449-8e6f-4cef-be58-e81a4abd4035" xmlns:ns3="7397057a-053e-462f-a29a-3130029afbdb" targetNamespace="http://schemas.microsoft.com/office/2006/metadata/properties" ma:root="true" ma:fieldsID="cb2f1beb017b04fa8f11c83b5af56df3" ns2:_="" ns3:_="">
    <xsd:import namespace="e7897449-8e6f-4cef-be58-e81a4abd4035"/>
    <xsd:import namespace="7397057a-053e-462f-a29a-3130029afb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A5144-890C-4EA5-8615-09CC1510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407F9-4AD6-479B-9F72-95E6536C2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6F21E-F356-4EBE-AE6D-4E10759E9D5C}">
  <ds:schemaRefs>
    <ds:schemaRef ds:uri="http://schemas.microsoft.com/office/2006/documentManagement/types"/>
    <ds:schemaRef ds:uri="7397057a-053e-462f-a29a-3130029afbd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7897449-8e6f-4cef-be58-e81a4abd403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293F33-67D0-4A9C-849F-A694FDBA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Sandra Lušetić</cp:lastModifiedBy>
  <cp:revision>2</cp:revision>
  <dcterms:created xsi:type="dcterms:W3CDTF">2018-11-23T14:02:00Z</dcterms:created>
  <dcterms:modified xsi:type="dcterms:W3CDTF">2018-11-23T14:02:00Z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2015-06-12T00:00:00Z</vt:filetime>
  </property>
  <property fmtid="{D5CDD505-2E9C-101B-9397-08002B2CF9AE}" pid="5" name="ContentTypeId">
    <vt:lpwstr>0x01010016854C3C86770C4BB558ED0DB2F48256</vt:lpwstr>
  </property>
</Properties>
</file>