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79735" w14:textId="77777777" w:rsidR="00B132B1" w:rsidRDefault="00B132B1"/>
    <w:p w14:paraId="4B7087AC" w14:textId="77777777" w:rsidR="00B132B1" w:rsidRDefault="00B132B1"/>
    <w:p w14:paraId="3711ACE6" w14:textId="77777777" w:rsidR="00B132B1" w:rsidRDefault="00A54DEE">
      <w:pPr>
        <w:rPr>
          <w:b/>
        </w:rPr>
      </w:pPr>
      <w:r>
        <w:rPr>
          <w:b/>
        </w:rPr>
        <w:t>Pitanja zaprimljena na email ESF-Ministarstvo kulture po objavi Poziva na dostavu projektnih prijedloga „Umjetnost i kultura 54+“, 1. dio</w:t>
      </w:r>
    </w:p>
    <w:tbl>
      <w:tblPr>
        <w:tblStyle w:val="TableGrid"/>
        <w:tblW w:w="9067" w:type="dxa"/>
        <w:tblLook w:val="04A0" w:firstRow="1" w:lastRow="0" w:firstColumn="1" w:lastColumn="0" w:noHBand="0" w:noVBand="1"/>
      </w:tblPr>
      <w:tblGrid>
        <w:gridCol w:w="562"/>
        <w:gridCol w:w="4252"/>
        <w:gridCol w:w="4253"/>
      </w:tblGrid>
      <w:tr w:rsidR="00B132B1" w14:paraId="18C13D36" w14:textId="77777777">
        <w:trPr>
          <w:trHeight w:val="346"/>
        </w:trPr>
        <w:tc>
          <w:tcPr>
            <w:tcW w:w="562" w:type="dxa"/>
            <w:shd w:val="pct15" w:color="auto" w:fill="auto"/>
            <w:tcMar>
              <w:left w:w="108" w:type="dxa"/>
            </w:tcMar>
          </w:tcPr>
          <w:p w14:paraId="3C22BE1C" w14:textId="77777777" w:rsidR="00B132B1" w:rsidRDefault="00A54DEE">
            <w:pPr>
              <w:spacing w:after="0" w:line="240" w:lineRule="auto"/>
              <w:rPr>
                <w:rFonts w:cstheme="minorHAnsi"/>
                <w:b/>
              </w:rPr>
            </w:pPr>
            <w:r>
              <w:rPr>
                <w:rFonts w:cstheme="minorHAnsi"/>
                <w:b/>
              </w:rPr>
              <w:t>Br.</w:t>
            </w:r>
          </w:p>
        </w:tc>
        <w:tc>
          <w:tcPr>
            <w:tcW w:w="4252" w:type="dxa"/>
            <w:shd w:val="pct15" w:color="auto" w:fill="auto"/>
            <w:tcMar>
              <w:left w:w="108" w:type="dxa"/>
            </w:tcMar>
          </w:tcPr>
          <w:p w14:paraId="1BE407C0" w14:textId="77777777" w:rsidR="00B132B1" w:rsidRDefault="00A54DEE">
            <w:pPr>
              <w:spacing w:after="0" w:line="240" w:lineRule="auto"/>
              <w:rPr>
                <w:b/>
                <w:lang w:val="en-US"/>
              </w:rPr>
            </w:pPr>
            <w:r>
              <w:rPr>
                <w:b/>
                <w:lang w:val="en-US"/>
              </w:rPr>
              <w:t>PITANJE</w:t>
            </w:r>
          </w:p>
        </w:tc>
        <w:tc>
          <w:tcPr>
            <w:tcW w:w="4253" w:type="dxa"/>
            <w:shd w:val="pct15" w:color="auto" w:fill="auto"/>
            <w:tcMar>
              <w:left w:w="108" w:type="dxa"/>
            </w:tcMar>
          </w:tcPr>
          <w:p w14:paraId="160A007B" w14:textId="77777777" w:rsidR="00B132B1" w:rsidRDefault="00A54DEE">
            <w:pPr>
              <w:pStyle w:val="FootnoteText"/>
              <w:rPr>
                <w:rFonts w:asciiTheme="minorHAnsi" w:eastAsiaTheme="minorHAnsi" w:hAnsiTheme="minorHAnsi" w:cstheme="minorBidi"/>
                <w:b/>
                <w:sz w:val="22"/>
                <w:szCs w:val="22"/>
                <w:lang w:eastAsia="en-US"/>
              </w:rPr>
            </w:pPr>
            <w:r>
              <w:rPr>
                <w:rFonts w:eastAsiaTheme="minorHAnsi" w:cstheme="minorBidi"/>
                <w:b/>
                <w:sz w:val="22"/>
                <w:szCs w:val="22"/>
                <w:lang w:eastAsia="en-US"/>
              </w:rPr>
              <w:t>ODGOVOR</w:t>
            </w:r>
          </w:p>
        </w:tc>
      </w:tr>
      <w:tr w:rsidR="00B132B1" w14:paraId="56510A30" w14:textId="77777777">
        <w:tc>
          <w:tcPr>
            <w:tcW w:w="562" w:type="dxa"/>
            <w:shd w:val="clear" w:color="auto" w:fill="auto"/>
            <w:tcMar>
              <w:left w:w="108" w:type="dxa"/>
            </w:tcMar>
          </w:tcPr>
          <w:p w14:paraId="485601E1" w14:textId="77777777" w:rsidR="00B132B1" w:rsidRDefault="00A54DEE">
            <w:pPr>
              <w:spacing w:after="0" w:line="240" w:lineRule="auto"/>
              <w:rPr>
                <w:rFonts w:cstheme="minorHAnsi"/>
                <w:highlight w:val="yellow"/>
              </w:rPr>
            </w:pPr>
            <w:r>
              <w:rPr>
                <w:rFonts w:cstheme="minorHAnsi"/>
              </w:rPr>
              <w:t>1</w:t>
            </w:r>
          </w:p>
        </w:tc>
        <w:tc>
          <w:tcPr>
            <w:tcW w:w="4252" w:type="dxa"/>
            <w:shd w:val="clear" w:color="auto" w:fill="auto"/>
            <w:tcMar>
              <w:left w:w="108" w:type="dxa"/>
            </w:tcMar>
          </w:tcPr>
          <w:p w14:paraId="2692F699" w14:textId="77777777" w:rsidR="00B132B1" w:rsidRDefault="00A54DEE">
            <w:pPr>
              <w:spacing w:after="0" w:line="240" w:lineRule="auto"/>
            </w:pPr>
            <w:r>
              <w:t xml:space="preserve">U Uputama za prijavitelje piše: </w:t>
            </w:r>
            <w:r>
              <w:rPr>
                <w:bCs/>
              </w:rPr>
              <w:t>Projekti koji sadrže aktivnosti stručnog usavršavanja umjetnika i kulturnih radnika u području kulturne te umjetničke edukacije i medijacije usmjerene na socijalno uključivanje osoba starijih od 54 godine moraju doprinositi i pokazatelju SO203 „Stručnjaci koji su sudjelovali u osposobljavanju“. Što</w:t>
            </w:r>
            <w:r>
              <w:t xml:space="preserve"> to znači – da se za stručno usavršavanje unutar projekta mogu prijaviti samo stručnjaci koji su već sudjelovali u osposobljavanju i prije ovog projekta? </w:t>
            </w:r>
          </w:p>
          <w:p w14:paraId="6F0B0799" w14:textId="77777777" w:rsidR="00B132B1" w:rsidRDefault="00A54DEE">
            <w:pPr>
              <w:spacing w:after="0" w:line="240" w:lineRule="auto"/>
            </w:pPr>
            <w:r>
              <w:t>Na koja se točno osposobljavanje misli - ako je umjetnik npr. završio umjetničku akademiju, koje bi još osposobljavanje trebao završiti da bi mogao sudjelovati u ovom programu? Osposobljavanje za rad sa osobama starije dobi? Postoje li programi takvih osposobljavanja u HR?</w:t>
            </w:r>
          </w:p>
        </w:tc>
        <w:tc>
          <w:tcPr>
            <w:tcW w:w="4253" w:type="dxa"/>
            <w:shd w:val="clear" w:color="auto" w:fill="auto"/>
            <w:tcMar>
              <w:left w:w="108" w:type="dxa"/>
            </w:tcMar>
          </w:tcPr>
          <w:p w14:paraId="152F6561" w14:textId="77777777" w:rsidR="00B132B1" w:rsidRDefault="00A54DEE">
            <w:pPr>
              <w:spacing w:after="0" w:line="240" w:lineRule="auto"/>
              <w:rPr>
                <w:bCs/>
              </w:rPr>
            </w:pPr>
            <w:r>
              <w:rPr>
                <w:bCs/>
              </w:rPr>
              <w:t xml:space="preserve">Sukladno točki 3.3 </w:t>
            </w:r>
            <w:r>
              <w:rPr>
                <w:bCs/>
                <w:i/>
              </w:rPr>
              <w:t>Prihvatljive aktivnosti</w:t>
            </w:r>
            <w:r>
              <w:rPr>
                <w:bCs/>
              </w:rPr>
              <w:t xml:space="preserve"> Uputa za prijavitelje, prijavitelj može u okviru projektnog prijedloga organizirati aktivnosti stručnog usavršavanja u području kulturne te umjetničke edukacije i medijacije usmjerene na socijalno uključivanje osoba starijih od 54 godine. Sudionici stručnog usavršavanja mogu biti samo oni stručnjaci iz područja kulture i umjetnosti koji će, u okviru projektnog prijedloga, biti angažirani na pripremi i provedbi participativnih umjetničkih i kulturnih aktivnosti usmjerenih na socijalno uključivanje osoba starijih od 54 godine. Pritom nije nužno da su navedeni stručnjaci pohađali/završili stručno usavršavanje tog tipa i prije početka projekta.</w:t>
            </w:r>
          </w:p>
        </w:tc>
      </w:tr>
      <w:tr w:rsidR="00B132B1" w14:paraId="5351E3E7" w14:textId="77777777">
        <w:tc>
          <w:tcPr>
            <w:tcW w:w="562" w:type="dxa"/>
            <w:shd w:val="clear" w:color="auto" w:fill="auto"/>
            <w:tcMar>
              <w:left w:w="108" w:type="dxa"/>
            </w:tcMar>
          </w:tcPr>
          <w:p w14:paraId="7E00A601" w14:textId="77777777" w:rsidR="00B132B1" w:rsidRDefault="00A54DEE">
            <w:pPr>
              <w:spacing w:after="0" w:line="240" w:lineRule="auto"/>
              <w:rPr>
                <w:rFonts w:cstheme="minorHAnsi"/>
              </w:rPr>
            </w:pPr>
            <w:r>
              <w:rPr>
                <w:rFonts w:cstheme="minorHAnsi"/>
              </w:rPr>
              <w:t>2</w:t>
            </w:r>
          </w:p>
        </w:tc>
        <w:tc>
          <w:tcPr>
            <w:tcW w:w="4252" w:type="dxa"/>
            <w:shd w:val="clear" w:color="auto" w:fill="auto"/>
            <w:tcMar>
              <w:left w:w="108" w:type="dxa"/>
            </w:tcMar>
          </w:tcPr>
          <w:p w14:paraId="79ED7B02" w14:textId="77777777" w:rsidR="00B132B1" w:rsidRDefault="00A54DEE">
            <w:pPr>
              <w:spacing w:after="0" w:line="240" w:lineRule="auto"/>
            </w:pPr>
            <w:r>
              <w:t>Kojeg datuma će se znati da li je naš projekt odobren, ukoliko nam materijali budu uredno pripremljeni?</w:t>
            </w:r>
          </w:p>
        </w:tc>
        <w:tc>
          <w:tcPr>
            <w:tcW w:w="4253" w:type="dxa"/>
            <w:shd w:val="clear" w:color="auto" w:fill="auto"/>
            <w:tcMar>
              <w:left w:w="108" w:type="dxa"/>
            </w:tcMar>
          </w:tcPr>
          <w:p w14:paraId="2694E54D" w14:textId="77777777" w:rsidR="00B132B1" w:rsidRDefault="00A54DEE">
            <w:pPr>
              <w:spacing w:after="0" w:line="240" w:lineRule="auto"/>
              <w:rPr>
                <w:rFonts w:eastAsia="Times New Roman"/>
              </w:rPr>
            </w:pPr>
            <w:r>
              <w:rPr>
                <w:rFonts w:eastAsia="Times New Roman"/>
              </w:rPr>
              <w:t xml:space="preserve">Nacionalna zaklada za razvoj civilnoga društva će obavijestiti prijavitelje o statusu njihova projektnog prijedloga pisanim putem po završetku 1. i 2. dijela postupka dodjele bespovratnih sredstava i to: uspješne prijavitelje – da su njihovi projektni prijedlozi odabrani za sljedeću fazu dodjele, odnosno neuspješne prijavitelje – da njihovi projektni prijedlozi nisu odabrani za sljedeću fazu. </w:t>
            </w:r>
          </w:p>
          <w:p w14:paraId="392D9244" w14:textId="77777777" w:rsidR="00B132B1" w:rsidRDefault="00A54DEE">
            <w:pPr>
              <w:spacing w:after="0" w:line="240" w:lineRule="auto"/>
            </w:pPr>
            <w:r>
              <w:rPr>
                <w:rFonts w:eastAsia="Times New Roman"/>
              </w:rPr>
              <w:t xml:space="preserve">Po donošenju Odluke o financiranju, </w:t>
            </w:r>
            <w:r>
              <w:t>Ministarstvo kulture će pisanim putem obavijestiti prijavitelje čiji projektni prijedlozi su odabrani za financiranje, one čiji projektni prijedlozi nisu odabrani, kao i one čiji se projektni prijedlozi nalaze na rezervnoj listi.</w:t>
            </w:r>
          </w:p>
          <w:p w14:paraId="245105A2" w14:textId="77777777" w:rsidR="00B132B1" w:rsidRDefault="00A54DEE">
            <w:pPr>
              <w:spacing w:after="0" w:line="240" w:lineRule="auto"/>
            </w:pPr>
            <w:r>
              <w:t xml:space="preserve">Okvirni termin donošenja Odluke o financiranju je </w:t>
            </w:r>
            <w:r w:rsidRPr="004A5206">
              <w:t>studeni/prosinac 2017.</w:t>
            </w:r>
            <w:r>
              <w:t xml:space="preserve"> godine. </w:t>
            </w:r>
          </w:p>
        </w:tc>
      </w:tr>
      <w:tr w:rsidR="00B132B1" w14:paraId="093E561E" w14:textId="77777777">
        <w:tc>
          <w:tcPr>
            <w:tcW w:w="562" w:type="dxa"/>
            <w:shd w:val="clear" w:color="auto" w:fill="auto"/>
            <w:tcMar>
              <w:left w:w="108" w:type="dxa"/>
            </w:tcMar>
          </w:tcPr>
          <w:p w14:paraId="07A0FCC6" w14:textId="77777777" w:rsidR="00B132B1" w:rsidRDefault="00A54DEE">
            <w:pPr>
              <w:spacing w:after="0" w:line="240" w:lineRule="auto"/>
              <w:rPr>
                <w:rFonts w:cstheme="minorHAnsi"/>
              </w:rPr>
            </w:pPr>
            <w:r>
              <w:rPr>
                <w:rFonts w:cstheme="minorHAnsi"/>
              </w:rPr>
              <w:t>3</w:t>
            </w:r>
          </w:p>
        </w:tc>
        <w:tc>
          <w:tcPr>
            <w:tcW w:w="4252" w:type="dxa"/>
            <w:shd w:val="clear" w:color="auto" w:fill="auto"/>
            <w:tcMar>
              <w:left w:w="108" w:type="dxa"/>
            </w:tcMar>
          </w:tcPr>
          <w:p w14:paraId="460DE1F7" w14:textId="77777777" w:rsidR="00B132B1" w:rsidRDefault="00A54DEE">
            <w:pPr>
              <w:spacing w:after="0" w:line="240" w:lineRule="auto"/>
            </w:pPr>
            <w:r>
              <w:t>Kojeg datuma će se moći krenuti s realizacijom projekta?</w:t>
            </w:r>
          </w:p>
        </w:tc>
        <w:tc>
          <w:tcPr>
            <w:tcW w:w="4253" w:type="dxa"/>
            <w:shd w:val="clear" w:color="auto" w:fill="auto"/>
            <w:tcMar>
              <w:left w:w="108" w:type="dxa"/>
            </w:tcMar>
          </w:tcPr>
          <w:p w14:paraId="1DA296C0" w14:textId="77777777" w:rsidR="00B132B1" w:rsidRDefault="00A54DEE">
            <w:pPr>
              <w:spacing w:after="0" w:line="240" w:lineRule="auto"/>
            </w:pPr>
            <w:r>
              <w:t xml:space="preserve">Razdoblje provedbe projekta započinje datumom zadnjeg potpisa Ugovora o dodjeli bespovratnih sredstava. Ugovor se potpisuje najkasnije 30 dana od donošenja Odluke o financiranju (v. točke 3.2 </w:t>
            </w:r>
            <w:r>
              <w:rPr>
                <w:i/>
              </w:rPr>
              <w:t>Trajanje i početak provedbe</w:t>
            </w:r>
            <w:r>
              <w:t xml:space="preserve"> te 5.6 </w:t>
            </w:r>
            <w:r>
              <w:rPr>
                <w:i/>
              </w:rPr>
              <w:t>Dodatne informacije –</w:t>
            </w:r>
            <w:r>
              <w:t xml:space="preserve"> </w:t>
            </w:r>
            <w:r>
              <w:rPr>
                <w:i/>
              </w:rPr>
              <w:lastRenderedPageBreak/>
              <w:t>Okvirni raspored procesa prijave i odabira</w:t>
            </w:r>
            <w:r>
              <w:t xml:space="preserve"> Uputa za prijavitelje).</w:t>
            </w:r>
          </w:p>
          <w:p w14:paraId="017E0B50" w14:textId="77777777" w:rsidR="00B132B1" w:rsidRDefault="00B132B1">
            <w:pPr>
              <w:spacing w:after="0" w:line="240" w:lineRule="auto"/>
            </w:pPr>
          </w:p>
          <w:p w14:paraId="5B849B15" w14:textId="77777777" w:rsidR="00B132B1" w:rsidRDefault="00A54DEE">
            <w:pPr>
              <w:spacing w:after="0" w:line="240" w:lineRule="auto"/>
            </w:pPr>
            <w:r>
              <w:t>U vezi okvirnog termina donošenja Odluke o financiranju molimo pogledati odgovor br. 2.</w:t>
            </w:r>
          </w:p>
        </w:tc>
      </w:tr>
      <w:tr w:rsidR="00B132B1" w14:paraId="54AB284B" w14:textId="77777777">
        <w:tc>
          <w:tcPr>
            <w:tcW w:w="562" w:type="dxa"/>
            <w:shd w:val="clear" w:color="auto" w:fill="auto"/>
            <w:tcMar>
              <w:left w:w="108" w:type="dxa"/>
            </w:tcMar>
          </w:tcPr>
          <w:p w14:paraId="377A618A" w14:textId="77777777" w:rsidR="00B132B1" w:rsidRDefault="00A54DEE">
            <w:pPr>
              <w:spacing w:after="0" w:line="240" w:lineRule="auto"/>
              <w:rPr>
                <w:rFonts w:cstheme="minorHAnsi"/>
              </w:rPr>
            </w:pPr>
            <w:r>
              <w:rPr>
                <w:rFonts w:cstheme="minorHAnsi"/>
              </w:rPr>
              <w:lastRenderedPageBreak/>
              <w:t>4</w:t>
            </w:r>
          </w:p>
        </w:tc>
        <w:tc>
          <w:tcPr>
            <w:tcW w:w="4252" w:type="dxa"/>
            <w:shd w:val="clear" w:color="auto" w:fill="auto"/>
            <w:tcMar>
              <w:left w:w="108" w:type="dxa"/>
            </w:tcMar>
          </w:tcPr>
          <w:p w14:paraId="6CFCBE27" w14:textId="77777777" w:rsidR="00B132B1" w:rsidRDefault="00A54DEE">
            <w:pPr>
              <w:spacing w:after="0" w:line="240" w:lineRule="auto"/>
              <w:rPr>
                <w:sz w:val="19"/>
                <w:szCs w:val="19"/>
              </w:rPr>
            </w:pPr>
            <w:r>
              <w:t>Kada i na koji način se novac za provedbu projekta isplaćuje: odjednom ili mjesečno – kvartalno?</w:t>
            </w:r>
          </w:p>
        </w:tc>
        <w:tc>
          <w:tcPr>
            <w:tcW w:w="4253" w:type="dxa"/>
            <w:shd w:val="clear" w:color="auto" w:fill="auto"/>
            <w:tcMar>
              <w:left w:w="108" w:type="dxa"/>
            </w:tcMar>
          </w:tcPr>
          <w:p w14:paraId="3717C1E6" w14:textId="77777777" w:rsidR="00B132B1" w:rsidRDefault="00A54DEE">
            <w:pPr>
              <w:pStyle w:val="FootnoteText"/>
              <w:rPr>
                <w:sz w:val="22"/>
              </w:rPr>
            </w:pPr>
            <w:r>
              <w:rPr>
                <w:sz w:val="22"/>
              </w:rPr>
              <w:t xml:space="preserve">Sukladno točki 3.4 Posebnih uvjeta Ugovora o dodjeli bespovratnih sredstava (Prilog 2 natječajne dokumentacije), uspješni prijavitelj (korisnik) može zatražiti isplatu predujma i to u iznosu koji ne premašuje 40% ukupnih prihvatljivih troškova projekta. Nakon potpisa Ugovora, korisnik može Posredničkom tijelu razine 2 (PT 2) dostaviti Zahtjev za predujam (vidi članak 15., Opći uvjeti Ugovora). Daljnja financijska sredstva korisnik potražuje temeljem Zahtjeva za nadoknadom sredstava (ZNS) koji se dostavljaju PT 2 u roku 15 kalendarskih dana nakon isteka svaka 3 mjeseca provedbe projekta. Korisnik može podnositi ZNS-ove </w:t>
            </w:r>
            <w:r>
              <w:rPr>
                <w:b/>
                <w:sz w:val="22"/>
              </w:rPr>
              <w:t>samo za već plaćene troškove</w:t>
            </w:r>
            <w:r>
              <w:rPr>
                <w:sz w:val="22"/>
              </w:rPr>
              <w:t xml:space="preserve"> (v. članak 3., Posebni uvjeti Ugovora). U skladu s dinamikom trošenja, sredstva potraživana temeljem ZNS-ova bit će umanjivana sukladno iznosu isplaćenog predujma. </w:t>
            </w:r>
          </w:p>
          <w:p w14:paraId="25766567" w14:textId="77777777" w:rsidR="00B132B1" w:rsidRDefault="00B132B1">
            <w:pPr>
              <w:pStyle w:val="FootnoteText"/>
              <w:rPr>
                <w:sz w:val="22"/>
              </w:rPr>
            </w:pPr>
          </w:p>
          <w:p w14:paraId="4A1CF9E2" w14:textId="77777777" w:rsidR="00B132B1" w:rsidRDefault="00A54DEE">
            <w:pPr>
              <w:pStyle w:val="FootnoteText"/>
              <w:rPr>
                <w:rFonts w:asciiTheme="minorHAnsi" w:eastAsiaTheme="minorHAnsi" w:hAnsiTheme="minorHAnsi" w:cstheme="minorBidi"/>
                <w:sz w:val="22"/>
                <w:szCs w:val="22"/>
                <w:lang w:eastAsia="en-US"/>
              </w:rPr>
            </w:pPr>
            <w:r>
              <w:rPr>
                <w:sz w:val="22"/>
              </w:rPr>
              <w:t>Napominjemo da će uspješni prijavitelji biti detaljno informirani o načinu podnošenja ZNS-ova i odredbama vezanim uz plaćanje predujma na provedbenim radionicama koje će biti organizirane nakon potpisivanja Ugovora.</w:t>
            </w:r>
          </w:p>
        </w:tc>
      </w:tr>
      <w:tr w:rsidR="00B132B1" w14:paraId="32D4CD93" w14:textId="77777777">
        <w:tc>
          <w:tcPr>
            <w:tcW w:w="562" w:type="dxa"/>
            <w:shd w:val="clear" w:color="auto" w:fill="auto"/>
            <w:tcMar>
              <w:left w:w="108" w:type="dxa"/>
            </w:tcMar>
          </w:tcPr>
          <w:p w14:paraId="4535B33E" w14:textId="77777777" w:rsidR="00B132B1" w:rsidRDefault="00A54DEE">
            <w:pPr>
              <w:spacing w:after="0" w:line="240" w:lineRule="auto"/>
              <w:rPr>
                <w:rFonts w:cstheme="minorHAnsi"/>
              </w:rPr>
            </w:pPr>
            <w:r>
              <w:rPr>
                <w:rFonts w:cstheme="minorHAnsi"/>
              </w:rPr>
              <w:t>5</w:t>
            </w:r>
          </w:p>
        </w:tc>
        <w:tc>
          <w:tcPr>
            <w:tcW w:w="4252" w:type="dxa"/>
            <w:shd w:val="clear" w:color="auto" w:fill="auto"/>
            <w:tcMar>
              <w:left w:w="108" w:type="dxa"/>
            </w:tcMar>
          </w:tcPr>
          <w:p w14:paraId="382A1DE0" w14:textId="77777777" w:rsidR="00B132B1" w:rsidRDefault="00A54DEE">
            <w:pPr>
              <w:shd w:val="clear" w:color="auto" w:fill="FFFFFF"/>
              <w:spacing w:after="0" w:line="240" w:lineRule="auto"/>
            </w:pPr>
            <w:r>
              <w:t>Koje je trajanje projekta: godina dana, dvije, tri...</w:t>
            </w:r>
          </w:p>
        </w:tc>
        <w:tc>
          <w:tcPr>
            <w:tcW w:w="4253" w:type="dxa"/>
            <w:shd w:val="clear" w:color="auto" w:fill="auto"/>
            <w:tcMar>
              <w:left w:w="108" w:type="dxa"/>
            </w:tcMar>
          </w:tcPr>
          <w:p w14:paraId="42C8F7BC" w14:textId="77777777" w:rsidR="00B132B1" w:rsidRDefault="00A54DEE">
            <w:pPr>
              <w:spacing w:after="0" w:line="240" w:lineRule="auto"/>
            </w:pPr>
            <w:r>
              <w:t xml:space="preserve">Sukladno točki 3.2 </w:t>
            </w:r>
            <w:r>
              <w:rPr>
                <w:i/>
              </w:rPr>
              <w:t>Trajanje i početak provedbe</w:t>
            </w:r>
            <w:r>
              <w:t xml:space="preserve"> Uputa za prijavitelje, planirano trajanje provedbe projekata je 6 do 18 mjeseci od dana sklapanja Ugovora o dodjeli bespovratnih sredstava. </w:t>
            </w:r>
          </w:p>
        </w:tc>
      </w:tr>
      <w:tr w:rsidR="00B132B1" w14:paraId="03E6B888" w14:textId="77777777">
        <w:tc>
          <w:tcPr>
            <w:tcW w:w="562" w:type="dxa"/>
            <w:shd w:val="clear" w:color="auto" w:fill="auto"/>
            <w:tcMar>
              <w:left w:w="108" w:type="dxa"/>
            </w:tcMar>
          </w:tcPr>
          <w:p w14:paraId="28DF57EC" w14:textId="77777777" w:rsidR="00B132B1" w:rsidRDefault="00A54DEE">
            <w:pPr>
              <w:spacing w:after="0" w:line="240" w:lineRule="auto"/>
              <w:rPr>
                <w:rFonts w:cstheme="minorHAnsi"/>
              </w:rPr>
            </w:pPr>
            <w:r>
              <w:rPr>
                <w:rFonts w:cstheme="minorHAnsi"/>
              </w:rPr>
              <w:t>6</w:t>
            </w:r>
          </w:p>
        </w:tc>
        <w:tc>
          <w:tcPr>
            <w:tcW w:w="4252" w:type="dxa"/>
            <w:shd w:val="clear" w:color="auto" w:fill="auto"/>
            <w:tcMar>
              <w:left w:w="108" w:type="dxa"/>
            </w:tcMar>
          </w:tcPr>
          <w:p w14:paraId="1B3CB235" w14:textId="77777777" w:rsidR="00B132B1" w:rsidRDefault="00A54DEE">
            <w:pPr>
              <w:spacing w:after="0" w:line="240" w:lineRule="auto"/>
            </w:pPr>
            <w:r>
              <w:t>Da li se u projekt može ići sam ili treba imati partnere, jer naš grad je jako spor u donošenju odluka o sudjelovanju?</w:t>
            </w:r>
          </w:p>
        </w:tc>
        <w:tc>
          <w:tcPr>
            <w:tcW w:w="4253" w:type="dxa"/>
            <w:shd w:val="clear" w:color="auto" w:fill="auto"/>
            <w:tcMar>
              <w:left w:w="108" w:type="dxa"/>
            </w:tcMar>
          </w:tcPr>
          <w:p w14:paraId="028D5AF2" w14:textId="77777777" w:rsidR="00B132B1" w:rsidRDefault="00A54DEE">
            <w:pPr>
              <w:pStyle w:val="FootnoteText"/>
              <w:rPr>
                <w:rFonts w:asciiTheme="minorHAnsi" w:eastAsiaTheme="minorHAnsi" w:hAnsiTheme="minorHAnsi" w:cstheme="minorBidi"/>
                <w:sz w:val="22"/>
                <w:szCs w:val="22"/>
                <w:lang w:eastAsia="en-US"/>
              </w:rPr>
            </w:pPr>
            <w:r>
              <w:rPr>
                <w:rFonts w:eastAsiaTheme="minorHAnsi" w:cstheme="minorBidi"/>
                <w:sz w:val="22"/>
                <w:szCs w:val="22"/>
                <w:lang w:eastAsia="en-US"/>
              </w:rPr>
              <w:t xml:space="preserve">Sukladno točki 2.1 </w:t>
            </w:r>
            <w:r>
              <w:rPr>
                <w:rFonts w:eastAsiaTheme="minorHAnsi" w:cstheme="minorBidi"/>
                <w:i/>
                <w:sz w:val="22"/>
                <w:szCs w:val="22"/>
                <w:lang w:eastAsia="en-US"/>
              </w:rPr>
              <w:t>Prijavitelj i partneri</w:t>
            </w:r>
            <w:r>
              <w:rPr>
                <w:rFonts w:eastAsiaTheme="minorHAnsi" w:cstheme="minorBidi"/>
                <w:sz w:val="22"/>
                <w:szCs w:val="22"/>
                <w:lang w:eastAsia="en-US"/>
              </w:rPr>
              <w:t xml:space="preserve"> Uputa za prijavitelje, prijavitelj se na dostavu projektnih prijedloga može prijaviti sam ili u projektnom partnerstvu.</w:t>
            </w:r>
          </w:p>
        </w:tc>
      </w:tr>
      <w:tr w:rsidR="00B132B1" w14:paraId="47DCE11F" w14:textId="77777777">
        <w:tc>
          <w:tcPr>
            <w:tcW w:w="562" w:type="dxa"/>
            <w:shd w:val="clear" w:color="auto" w:fill="auto"/>
            <w:tcMar>
              <w:left w:w="108" w:type="dxa"/>
            </w:tcMar>
          </w:tcPr>
          <w:p w14:paraId="4541D8E1" w14:textId="77777777" w:rsidR="00B132B1" w:rsidRDefault="00A54DEE">
            <w:pPr>
              <w:spacing w:after="0" w:line="240" w:lineRule="auto"/>
              <w:rPr>
                <w:rFonts w:cstheme="minorHAnsi"/>
              </w:rPr>
            </w:pPr>
            <w:r>
              <w:rPr>
                <w:rFonts w:cstheme="minorHAnsi"/>
              </w:rPr>
              <w:t>7</w:t>
            </w:r>
          </w:p>
        </w:tc>
        <w:tc>
          <w:tcPr>
            <w:tcW w:w="4252" w:type="dxa"/>
            <w:shd w:val="clear" w:color="auto" w:fill="auto"/>
            <w:tcMar>
              <w:left w:w="108" w:type="dxa"/>
            </w:tcMar>
          </w:tcPr>
          <w:p w14:paraId="0A2A054D" w14:textId="77777777" w:rsidR="00B132B1" w:rsidRDefault="00A54DEE">
            <w:pPr>
              <w:spacing w:after="0" w:line="240" w:lineRule="auto"/>
              <w:rPr>
                <w:sz w:val="19"/>
                <w:szCs w:val="19"/>
              </w:rPr>
            </w:pPr>
            <w:r>
              <w:t>Kolika je vjerojatnost da se odobri [projektni prijedlog] nekome iz grada X, kako nismo imali iskustva da nam je itko iz ministarstva odgovorio kad bi se javili na natječaj, a kamoli da smo prošli?</w:t>
            </w:r>
          </w:p>
        </w:tc>
        <w:tc>
          <w:tcPr>
            <w:tcW w:w="4253" w:type="dxa"/>
            <w:shd w:val="clear" w:color="auto" w:fill="auto"/>
            <w:tcMar>
              <w:left w:w="108" w:type="dxa"/>
            </w:tcMar>
          </w:tcPr>
          <w:p w14:paraId="091A0FCD" w14:textId="5ADA8D0D" w:rsidR="00B132B1" w:rsidRPr="00984C7D" w:rsidRDefault="00A54DEE">
            <w:pPr>
              <w:pStyle w:val="FootnoteText"/>
              <w:rPr>
                <w:rFonts w:asciiTheme="minorHAnsi" w:eastAsiaTheme="minorHAnsi" w:hAnsiTheme="minorHAnsi" w:cstheme="minorBidi"/>
                <w:sz w:val="22"/>
                <w:szCs w:val="22"/>
                <w:lang w:eastAsia="en-US"/>
              </w:rPr>
            </w:pPr>
            <w:r w:rsidRPr="00984C7D">
              <w:rPr>
                <w:sz w:val="22"/>
                <w:szCs w:val="22"/>
              </w:rPr>
              <w:t>Jedinica lokalne samouprave u kojoj je sjedište prijavitelj</w:t>
            </w:r>
            <w:bookmarkStart w:id="0" w:name="_GoBack"/>
            <w:bookmarkEnd w:id="0"/>
            <w:r w:rsidRPr="00984C7D">
              <w:rPr>
                <w:sz w:val="22"/>
                <w:szCs w:val="22"/>
              </w:rPr>
              <w:t xml:space="preserve">a nije kriterij u postupku dodjele bespovratnih sredstava (v. točku 6 </w:t>
            </w:r>
            <w:r w:rsidRPr="00984C7D">
              <w:rPr>
                <w:i/>
                <w:sz w:val="22"/>
                <w:szCs w:val="22"/>
              </w:rPr>
              <w:t>Postupak dodjele</w:t>
            </w:r>
            <w:r w:rsidRPr="00984C7D">
              <w:rPr>
                <w:sz w:val="22"/>
                <w:szCs w:val="22"/>
              </w:rPr>
              <w:t xml:space="preserve"> Uputa za prijavitelje). Sukladno točki 2.2.1 </w:t>
            </w:r>
            <w:r w:rsidRPr="00984C7D">
              <w:rPr>
                <w:i/>
                <w:sz w:val="22"/>
                <w:szCs w:val="22"/>
              </w:rPr>
              <w:t>Prihvatljivi prijavitelji</w:t>
            </w:r>
            <w:r w:rsidRPr="00984C7D">
              <w:rPr>
                <w:sz w:val="22"/>
                <w:szCs w:val="22"/>
              </w:rPr>
              <w:t xml:space="preserve"> Uputa za prijavitelje, na dan objave Poziva prijavitelj mora biti registriran za obavljanje djelatnosti u Republici Hrvatskoj najmanje 12 mjeseci te ispunjavati i ostale uvjete navedene u spomenutoj točki.</w:t>
            </w:r>
          </w:p>
        </w:tc>
      </w:tr>
      <w:tr w:rsidR="00B132B1" w14:paraId="15BBA2DD" w14:textId="77777777">
        <w:tc>
          <w:tcPr>
            <w:tcW w:w="562" w:type="dxa"/>
            <w:shd w:val="clear" w:color="auto" w:fill="auto"/>
            <w:tcMar>
              <w:left w:w="108" w:type="dxa"/>
            </w:tcMar>
          </w:tcPr>
          <w:p w14:paraId="7FB53E32" w14:textId="77777777" w:rsidR="00B132B1" w:rsidRDefault="00A54DEE">
            <w:pPr>
              <w:spacing w:after="0" w:line="240" w:lineRule="auto"/>
              <w:rPr>
                <w:rFonts w:cstheme="minorHAnsi"/>
              </w:rPr>
            </w:pPr>
            <w:r>
              <w:rPr>
                <w:rFonts w:cstheme="minorHAnsi"/>
              </w:rPr>
              <w:lastRenderedPageBreak/>
              <w:t>8</w:t>
            </w:r>
          </w:p>
        </w:tc>
        <w:tc>
          <w:tcPr>
            <w:tcW w:w="4252" w:type="dxa"/>
            <w:shd w:val="clear" w:color="auto" w:fill="auto"/>
            <w:tcMar>
              <w:left w:w="108" w:type="dxa"/>
            </w:tcMar>
          </w:tcPr>
          <w:p w14:paraId="671FFF7E" w14:textId="77777777" w:rsidR="00B132B1" w:rsidRDefault="00A54DEE">
            <w:pPr>
              <w:spacing w:after="0" w:line="240" w:lineRule="auto"/>
              <w:rPr>
                <w:sz w:val="19"/>
                <w:szCs w:val="19"/>
              </w:rPr>
            </w:pPr>
            <w:r>
              <w:t xml:space="preserve">Može li se podugovoriti lokalna razvojna agencija za usluge 'administrativnog voditelja projekta'? Ukoliko je odgovor potvrdan, smatramo li taj trošak izravnim troškom? </w:t>
            </w:r>
          </w:p>
        </w:tc>
        <w:tc>
          <w:tcPr>
            <w:tcW w:w="4253" w:type="dxa"/>
            <w:shd w:val="clear" w:color="auto" w:fill="auto"/>
            <w:tcMar>
              <w:left w:w="108" w:type="dxa"/>
            </w:tcMar>
          </w:tcPr>
          <w:p w14:paraId="64DD3809" w14:textId="0798732A" w:rsidR="00B132B1" w:rsidRDefault="00A54DEE">
            <w:pPr>
              <w:pStyle w:val="FootnoteText"/>
              <w:rPr>
                <w:sz w:val="22"/>
              </w:rPr>
            </w:pPr>
            <w:r>
              <w:rPr>
                <w:sz w:val="22"/>
              </w:rPr>
              <w:t>Ne. Voditelj projekta mora na projektu biti zaposlen kod prijavitelja/partnera isključivo putem ugovora o radu sklopljenog na puno ili dio radnog vremena. Pritom može imati ugovor o radu na neodređeno vrijeme, no može biti angažiran i na određeno vrijeme tijekom trajanja projekta. Plaća voditelja projekta je prihvatljiv izravni trošak osoblja.</w:t>
            </w:r>
          </w:p>
        </w:tc>
      </w:tr>
      <w:tr w:rsidR="00B132B1" w14:paraId="7EA95B53" w14:textId="77777777">
        <w:tc>
          <w:tcPr>
            <w:tcW w:w="562" w:type="dxa"/>
            <w:shd w:val="clear" w:color="auto" w:fill="auto"/>
            <w:tcMar>
              <w:left w:w="108" w:type="dxa"/>
            </w:tcMar>
          </w:tcPr>
          <w:p w14:paraId="5A63B9D9" w14:textId="77777777" w:rsidR="00B132B1" w:rsidRDefault="00A54DEE">
            <w:pPr>
              <w:spacing w:after="0" w:line="240" w:lineRule="auto"/>
              <w:rPr>
                <w:rFonts w:cstheme="minorHAnsi"/>
              </w:rPr>
            </w:pPr>
            <w:r>
              <w:rPr>
                <w:rFonts w:cstheme="minorHAnsi"/>
              </w:rPr>
              <w:t>9</w:t>
            </w:r>
          </w:p>
        </w:tc>
        <w:tc>
          <w:tcPr>
            <w:tcW w:w="4252" w:type="dxa"/>
            <w:shd w:val="clear" w:color="auto" w:fill="auto"/>
            <w:tcMar>
              <w:left w:w="108" w:type="dxa"/>
            </w:tcMar>
          </w:tcPr>
          <w:p w14:paraId="3EDD9133" w14:textId="77777777" w:rsidR="00B132B1" w:rsidRDefault="00A54DEE">
            <w:pPr>
              <w:spacing w:after="0" w:line="240" w:lineRule="auto"/>
              <w:rPr>
                <w:rFonts w:ascii="Calibri" w:eastAsia="Droid Sans Fallback" w:hAnsi="Calibri" w:cs="Calibri"/>
                <w:szCs w:val="20"/>
                <w:lang w:eastAsia="zh-CN"/>
              </w:rPr>
            </w:pPr>
            <w:r>
              <w:rPr>
                <w:rFonts w:eastAsia="Droid Sans Fallback" w:cs="Calibri"/>
                <w:szCs w:val="20"/>
                <w:lang w:eastAsia="zh-CN"/>
              </w:rPr>
              <w:t>Mogu li ustanove socijalne skrbi biti prihvatljivi partneri u ovom otvorenom javnom pozivu?</w:t>
            </w:r>
          </w:p>
          <w:p w14:paraId="5518236C" w14:textId="77777777" w:rsidR="00B132B1" w:rsidRDefault="00A54DEE">
            <w:pPr>
              <w:spacing w:after="0" w:line="240" w:lineRule="auto"/>
              <w:rPr>
                <w:color w:val="1F497D"/>
              </w:rPr>
            </w:pPr>
            <w:r>
              <w:rPr>
                <w:rFonts w:eastAsia="Droid Sans Fallback" w:cs="Calibri"/>
                <w:szCs w:val="20"/>
                <w:lang w:eastAsia="zh-CN"/>
              </w:rPr>
              <w:t>Naime, budući da su  umjetničke organizacije, udruge u području kulture i umjetnosti i/ili u području socijalne djelatnosti, zaklade te zadruge  koje u svom temeljnom aktu imaju navedenu socijalnu i/ili kulturnu, odnosno umjetničku djelatnost, prihvatljivi partneri , smatramo da nema razloga i da je u duhu ciljeva natječaja da i ustanove socijalne skrbi budu prihvatljivi partneri.</w:t>
            </w:r>
            <w:r>
              <w:rPr>
                <w:color w:val="1F497D"/>
              </w:rPr>
              <w:t xml:space="preserve"> </w:t>
            </w:r>
          </w:p>
        </w:tc>
        <w:tc>
          <w:tcPr>
            <w:tcW w:w="4253" w:type="dxa"/>
            <w:shd w:val="clear" w:color="auto" w:fill="auto"/>
            <w:tcMar>
              <w:left w:w="108" w:type="dxa"/>
            </w:tcMar>
          </w:tcPr>
          <w:p w14:paraId="1A13D488" w14:textId="77777777" w:rsidR="00B132B1" w:rsidRDefault="00A54DEE">
            <w:pPr>
              <w:pStyle w:val="FootnoteText"/>
              <w:rPr>
                <w:rFonts w:asciiTheme="minorHAnsi" w:eastAsiaTheme="minorHAnsi" w:hAnsiTheme="minorHAnsi" w:cstheme="minorBidi"/>
                <w:sz w:val="22"/>
                <w:szCs w:val="22"/>
                <w:lang w:eastAsia="en-US"/>
              </w:rPr>
            </w:pPr>
            <w:r>
              <w:rPr>
                <w:rFonts w:eastAsiaTheme="minorHAnsi" w:cstheme="minorBidi"/>
                <w:sz w:val="22"/>
                <w:szCs w:val="22"/>
                <w:lang w:eastAsia="en-US"/>
              </w:rPr>
              <w:t xml:space="preserve">Sukladno točki 2.2.2 </w:t>
            </w:r>
            <w:r>
              <w:rPr>
                <w:rFonts w:eastAsiaTheme="minorHAnsi" w:cstheme="minorBidi"/>
                <w:i/>
                <w:sz w:val="22"/>
                <w:szCs w:val="22"/>
                <w:lang w:eastAsia="en-US"/>
              </w:rPr>
              <w:t>Prihvatljivi partneri</w:t>
            </w:r>
            <w:r>
              <w:rPr>
                <w:rFonts w:eastAsiaTheme="minorHAnsi" w:cstheme="minorBidi"/>
                <w:sz w:val="22"/>
                <w:szCs w:val="22"/>
                <w:lang w:eastAsia="en-US"/>
              </w:rPr>
              <w:t xml:space="preserve"> Uputa za prijavitelje, ustanove socijalne skrbi nisu prihvatljivi partneri u okviru Poziva.</w:t>
            </w:r>
          </w:p>
          <w:p w14:paraId="05CD2746" w14:textId="77777777" w:rsidR="00B132B1" w:rsidRDefault="00B132B1">
            <w:pPr>
              <w:pStyle w:val="FootnoteText"/>
              <w:rPr>
                <w:rFonts w:asciiTheme="minorHAnsi" w:eastAsiaTheme="minorHAnsi" w:hAnsiTheme="minorHAnsi" w:cstheme="minorBidi"/>
                <w:sz w:val="22"/>
                <w:szCs w:val="22"/>
                <w:lang w:eastAsia="en-US"/>
              </w:rPr>
            </w:pPr>
          </w:p>
          <w:p w14:paraId="2A684EF2" w14:textId="77777777" w:rsidR="00B132B1" w:rsidRDefault="00B132B1">
            <w:pPr>
              <w:pStyle w:val="FootnoteText"/>
              <w:rPr>
                <w:rFonts w:asciiTheme="minorHAnsi" w:eastAsiaTheme="minorHAnsi" w:hAnsiTheme="minorHAnsi" w:cstheme="minorBidi"/>
                <w:sz w:val="22"/>
                <w:szCs w:val="22"/>
                <w:lang w:eastAsia="en-US"/>
              </w:rPr>
            </w:pPr>
          </w:p>
        </w:tc>
      </w:tr>
      <w:tr w:rsidR="00B132B1" w14:paraId="6B47539C" w14:textId="77777777">
        <w:tc>
          <w:tcPr>
            <w:tcW w:w="562" w:type="dxa"/>
            <w:shd w:val="clear" w:color="auto" w:fill="auto"/>
            <w:tcMar>
              <w:left w:w="108" w:type="dxa"/>
            </w:tcMar>
          </w:tcPr>
          <w:p w14:paraId="42216EF2" w14:textId="77777777" w:rsidR="00B132B1" w:rsidRDefault="00A54DEE">
            <w:pPr>
              <w:spacing w:after="0" w:line="240" w:lineRule="auto"/>
              <w:rPr>
                <w:rFonts w:cstheme="minorHAnsi"/>
              </w:rPr>
            </w:pPr>
            <w:r>
              <w:rPr>
                <w:rFonts w:cstheme="minorHAnsi"/>
              </w:rPr>
              <w:t>10</w:t>
            </w:r>
          </w:p>
        </w:tc>
        <w:tc>
          <w:tcPr>
            <w:tcW w:w="4252" w:type="dxa"/>
            <w:shd w:val="clear" w:color="auto" w:fill="auto"/>
            <w:tcMar>
              <w:left w:w="108" w:type="dxa"/>
            </w:tcMar>
          </w:tcPr>
          <w:p w14:paraId="17AA140E" w14:textId="77777777" w:rsidR="00B132B1" w:rsidRDefault="00A54DEE">
            <w:pPr>
              <w:spacing w:after="0" w:line="240" w:lineRule="auto"/>
            </w:pPr>
            <w:r>
              <w:t>Da li sam dobro shvatila da se po odobrenju projekta dobiva predujam od samo 40%? Naime, naša udruga nema financijskih zaliha pa nemam ideja gdje nabaviti preostalih minimalno 60.000 kn. Kako je to zamišljeno sa strane pokretača projekta? Vjerujem da rijetko koja organizacija ima tu količinu zaliha.</w:t>
            </w:r>
          </w:p>
        </w:tc>
        <w:tc>
          <w:tcPr>
            <w:tcW w:w="4253" w:type="dxa"/>
            <w:shd w:val="clear" w:color="auto" w:fill="auto"/>
            <w:tcMar>
              <w:left w:w="108" w:type="dxa"/>
            </w:tcMar>
          </w:tcPr>
          <w:p w14:paraId="72D02444" w14:textId="77777777" w:rsidR="00B132B1" w:rsidRDefault="00A54DEE">
            <w:pPr>
              <w:spacing w:after="0" w:line="240" w:lineRule="auto"/>
            </w:pPr>
            <w:r>
              <w:t xml:space="preserve">Molimo pogledati odgovor br. 4. </w:t>
            </w:r>
          </w:p>
          <w:p w14:paraId="360C33F9" w14:textId="77777777" w:rsidR="00B132B1" w:rsidRDefault="00B132B1">
            <w:pPr>
              <w:spacing w:after="0" w:line="240" w:lineRule="auto"/>
            </w:pPr>
          </w:p>
          <w:p w14:paraId="0D32A742" w14:textId="77777777" w:rsidR="00B132B1" w:rsidRDefault="00B132B1">
            <w:pPr>
              <w:spacing w:after="0" w:line="240" w:lineRule="auto"/>
              <w:rPr>
                <w:i/>
              </w:rPr>
            </w:pPr>
          </w:p>
        </w:tc>
      </w:tr>
      <w:tr w:rsidR="00B132B1" w14:paraId="25E54CCB" w14:textId="77777777">
        <w:tc>
          <w:tcPr>
            <w:tcW w:w="562" w:type="dxa"/>
            <w:shd w:val="clear" w:color="auto" w:fill="auto"/>
            <w:tcMar>
              <w:left w:w="108" w:type="dxa"/>
            </w:tcMar>
          </w:tcPr>
          <w:p w14:paraId="2A5F7033" w14:textId="77777777" w:rsidR="00B132B1" w:rsidRDefault="00A54DEE">
            <w:pPr>
              <w:spacing w:after="0" w:line="240" w:lineRule="auto"/>
              <w:rPr>
                <w:rFonts w:cstheme="minorHAnsi"/>
              </w:rPr>
            </w:pPr>
            <w:r>
              <w:rPr>
                <w:rFonts w:cstheme="minorHAnsi"/>
              </w:rPr>
              <w:t>11</w:t>
            </w:r>
          </w:p>
        </w:tc>
        <w:tc>
          <w:tcPr>
            <w:tcW w:w="4252" w:type="dxa"/>
            <w:shd w:val="clear" w:color="auto" w:fill="auto"/>
            <w:tcMar>
              <w:left w:w="108" w:type="dxa"/>
            </w:tcMar>
          </w:tcPr>
          <w:p w14:paraId="2A6016FE" w14:textId="77777777" w:rsidR="00B132B1" w:rsidRDefault="00A54DEE">
            <w:pPr>
              <w:spacing w:after="0" w:line="240" w:lineRule="auto"/>
              <w:rPr>
                <w:color w:val="1F497D"/>
              </w:rPr>
            </w:pPr>
            <w:r>
              <w:rPr>
                <w:rFonts w:eastAsia="Times New Roman"/>
              </w:rPr>
              <w:t>Molim odgovor da li je Udruga X prihvatljiv prijavitelj projektnog prijedloga za sudjelovanje u ESF, Operativni program Učinkoviti ljudski potencijali 2014. - 2020. "Umjetnost i kultura 54+", UP.02.1.1.03. Naime, iako Udruga, među ostalim, djeluje i na području kulture i umjetnosti (članak 13. stavak 3. Statuta) voljeli bi Vaše mišljenje o tome da li smo, u ovom slučaju, prihvatljivi prijavitelj, pa Vam u tu svrhu dostavljamo Statut.</w:t>
            </w:r>
          </w:p>
        </w:tc>
        <w:tc>
          <w:tcPr>
            <w:tcW w:w="4253" w:type="dxa"/>
            <w:shd w:val="clear" w:color="auto" w:fill="auto"/>
            <w:tcMar>
              <w:left w:w="108" w:type="dxa"/>
            </w:tcMar>
          </w:tcPr>
          <w:p w14:paraId="435EC62C" w14:textId="77777777" w:rsidR="00B132B1" w:rsidRDefault="00A54DEE">
            <w:pPr>
              <w:pStyle w:val="FootnoteText"/>
              <w:rPr>
                <w:sz w:val="22"/>
              </w:rPr>
            </w:pPr>
            <w:r>
              <w:rPr>
                <w:sz w:val="22"/>
              </w:rPr>
              <w:t xml:space="preserve">Prema točki 2.2.1 Prihvatljivi prijavitelji Uputa za prijavitelje, </w:t>
            </w:r>
            <w:r>
              <w:rPr>
                <w:sz w:val="22"/>
                <w:szCs w:val="22"/>
              </w:rPr>
              <w:t>udruga u području kulture i umjetnosti je prihvatljivi prijavitelj na Poziv. Udruga mora ispunjavati i ostale uvjete navedene u spomenutoj točki.</w:t>
            </w:r>
          </w:p>
        </w:tc>
      </w:tr>
      <w:tr w:rsidR="00B132B1" w14:paraId="26EA4106" w14:textId="77777777">
        <w:tc>
          <w:tcPr>
            <w:tcW w:w="562" w:type="dxa"/>
            <w:shd w:val="clear" w:color="auto" w:fill="auto"/>
            <w:tcMar>
              <w:left w:w="108" w:type="dxa"/>
            </w:tcMar>
          </w:tcPr>
          <w:p w14:paraId="68BFD42C" w14:textId="77777777" w:rsidR="00B132B1" w:rsidRDefault="00A54DEE">
            <w:pPr>
              <w:spacing w:after="0" w:line="240" w:lineRule="auto"/>
              <w:rPr>
                <w:rFonts w:eastAsia="Times New Roman"/>
              </w:rPr>
            </w:pPr>
            <w:r>
              <w:rPr>
                <w:rFonts w:eastAsia="Times New Roman"/>
              </w:rPr>
              <w:t>12</w:t>
            </w:r>
          </w:p>
        </w:tc>
        <w:tc>
          <w:tcPr>
            <w:tcW w:w="4252" w:type="dxa"/>
            <w:shd w:val="clear" w:color="auto" w:fill="auto"/>
            <w:tcMar>
              <w:left w:w="108" w:type="dxa"/>
            </w:tcMar>
          </w:tcPr>
          <w:p w14:paraId="223B8051" w14:textId="77777777" w:rsidR="00B132B1" w:rsidRDefault="00A54DEE">
            <w:pPr>
              <w:spacing w:after="0"/>
              <w:rPr>
                <w:rFonts w:eastAsia="Times New Roman"/>
              </w:rPr>
            </w:pPr>
            <w:r>
              <w:rPr>
                <w:rFonts w:eastAsia="Times New Roman"/>
              </w:rPr>
              <w:t xml:space="preserve">Projekt koji bismo prijavili uključuje osobe koje su educirani stručnjaci iz područja izvedbenih umjetnosti, međutim angažirani su u udruzi X putem autorskog ugovora te kao dokaz o ciljnoj skupini ne možemo predati ugovor o radu, već ugovor o autorskom djelu. Dvoje stručnjaka imaju potvrdu članstva u Hrvatskoj zajednici samostalnih umjetnika, a ostali su članovi sljedećih strukovnih udruga: </w:t>
            </w:r>
          </w:p>
          <w:p w14:paraId="5FB65F38" w14:textId="77777777" w:rsidR="00B132B1" w:rsidRDefault="00A54DEE">
            <w:pPr>
              <w:pStyle w:val="ListParagraph"/>
              <w:numPr>
                <w:ilvl w:val="0"/>
                <w:numId w:val="1"/>
              </w:numPr>
              <w:rPr>
                <w:rFonts w:asciiTheme="minorHAnsi" w:eastAsia="Times New Roman" w:hAnsiTheme="minorHAnsi" w:cstheme="minorBidi"/>
              </w:rPr>
            </w:pPr>
            <w:r>
              <w:rPr>
                <w:rFonts w:eastAsia="Times New Roman" w:cstheme="minorBidi"/>
              </w:rPr>
              <w:lastRenderedPageBreak/>
              <w:t>Hrvatsko društvo dramskih umjetnika</w:t>
            </w:r>
          </w:p>
          <w:p w14:paraId="726FBF3B" w14:textId="77777777" w:rsidR="00B132B1" w:rsidRDefault="00A54DEE">
            <w:pPr>
              <w:pStyle w:val="ListParagraph"/>
              <w:numPr>
                <w:ilvl w:val="0"/>
                <w:numId w:val="1"/>
              </w:numPr>
              <w:rPr>
                <w:rFonts w:asciiTheme="minorHAnsi" w:eastAsia="Times New Roman" w:hAnsiTheme="minorHAnsi" w:cstheme="minorBidi"/>
              </w:rPr>
            </w:pPr>
            <w:r>
              <w:rPr>
                <w:rFonts w:eastAsia="Times New Roman" w:cstheme="minorBidi"/>
              </w:rPr>
              <w:t>Hrvatsko društvo filmskih djelatnika</w:t>
            </w:r>
          </w:p>
          <w:p w14:paraId="44083D1C" w14:textId="77777777" w:rsidR="00B132B1" w:rsidRDefault="00A54DEE">
            <w:pPr>
              <w:pStyle w:val="ListParagraph"/>
              <w:numPr>
                <w:ilvl w:val="0"/>
                <w:numId w:val="1"/>
              </w:numPr>
              <w:rPr>
                <w:rFonts w:asciiTheme="minorHAnsi" w:eastAsia="Times New Roman" w:hAnsiTheme="minorHAnsi" w:cstheme="minorBidi"/>
              </w:rPr>
            </w:pPr>
            <w:r>
              <w:rPr>
                <w:rFonts w:eastAsia="Times New Roman" w:cstheme="minorBidi"/>
              </w:rPr>
              <w:t>Hrvatska glazbena unija</w:t>
            </w:r>
          </w:p>
          <w:p w14:paraId="0B1D2C9F" w14:textId="77777777" w:rsidR="00B132B1" w:rsidRDefault="00A54DEE">
            <w:pPr>
              <w:pStyle w:val="ListParagraph"/>
              <w:numPr>
                <w:ilvl w:val="0"/>
                <w:numId w:val="1"/>
              </w:numPr>
              <w:rPr>
                <w:rFonts w:asciiTheme="minorHAnsi" w:eastAsia="Times New Roman" w:hAnsiTheme="minorHAnsi" w:cstheme="minorBidi"/>
              </w:rPr>
            </w:pPr>
            <w:r>
              <w:rPr>
                <w:rFonts w:eastAsia="Times New Roman" w:cstheme="minorBidi"/>
              </w:rPr>
              <w:t>Udruga plesnih umjetnika Hrvatske</w:t>
            </w:r>
          </w:p>
          <w:p w14:paraId="7945943E" w14:textId="77777777" w:rsidR="00B132B1" w:rsidRDefault="00A54DEE">
            <w:pPr>
              <w:pStyle w:val="ListParagraph"/>
              <w:numPr>
                <w:ilvl w:val="0"/>
                <w:numId w:val="1"/>
              </w:numPr>
              <w:rPr>
                <w:rFonts w:asciiTheme="minorHAnsi" w:eastAsia="Times New Roman" w:hAnsiTheme="minorHAnsi" w:cstheme="minorBidi"/>
              </w:rPr>
            </w:pPr>
            <w:r>
              <w:rPr>
                <w:rFonts w:eastAsia="Times New Roman" w:cstheme="minorBidi"/>
              </w:rPr>
              <w:t>Hrvatsko društvo glazbenih umjetnika</w:t>
            </w:r>
          </w:p>
          <w:p w14:paraId="7D550F79" w14:textId="77777777" w:rsidR="00B132B1" w:rsidRDefault="00A54DEE">
            <w:pPr>
              <w:spacing w:after="0"/>
              <w:rPr>
                <w:rFonts w:eastAsia="Times New Roman"/>
              </w:rPr>
            </w:pPr>
            <w:r>
              <w:rPr>
                <w:rFonts w:eastAsia="Times New Roman"/>
              </w:rPr>
              <w:t>Mogu li potvrde navedenih udruženja o njihovom statusu umjetnika služiti kao prihvatljivi dokazi o njihovoj pripadnosti ciljnoj skupini?</w:t>
            </w:r>
          </w:p>
        </w:tc>
        <w:tc>
          <w:tcPr>
            <w:tcW w:w="4253" w:type="dxa"/>
            <w:shd w:val="clear" w:color="auto" w:fill="auto"/>
            <w:tcMar>
              <w:left w:w="108" w:type="dxa"/>
            </w:tcMar>
          </w:tcPr>
          <w:p w14:paraId="433F8606"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lastRenderedPageBreak/>
              <w:t xml:space="preserve">Ne. Sukladno točki 1.4 Svrha, cilj i ciljne skupine Poziva na dostavu projektnih prijedloga Uputa za prijavitelje, za dokazivanje pripadnosti ciljnoj skupini „stručnjaci iz područja kulture i umjetnosti“ obavezan dokument je preslika ugovora o radu ili izjava poslodavca iz koje je vidljivo </w:t>
            </w:r>
          </w:p>
          <w:p w14:paraId="770571C3"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t xml:space="preserve">da osoba obavlja poslove iz područja kulture i umjetnosti kao zaposlenik  ustanove u kulturi, umjetničke organizacije, udruge u području kulture i umjetnosti, zaklade te </w:t>
            </w:r>
            <w:r>
              <w:rPr>
                <w:rFonts w:eastAsia="Times New Roman" w:cstheme="minorBidi"/>
                <w:sz w:val="22"/>
                <w:szCs w:val="22"/>
                <w:lang w:eastAsia="en-US"/>
              </w:rPr>
              <w:lastRenderedPageBreak/>
              <w:t xml:space="preserve">neprofitne zadruge koja obavlja kulturnu ili umjetničku djelatnost ili potvrda članstva u Hrvatskoj zajednici samostalnih umjetnika. </w:t>
            </w:r>
            <w:r>
              <w:rPr>
                <w:sz w:val="22"/>
                <w:szCs w:val="22"/>
              </w:rPr>
              <w:t>Dokazivanje ciljnih skupina se mora provesti te izuzeće nije moguće.</w:t>
            </w:r>
          </w:p>
        </w:tc>
      </w:tr>
      <w:tr w:rsidR="00B132B1" w14:paraId="312BFA54" w14:textId="77777777">
        <w:tc>
          <w:tcPr>
            <w:tcW w:w="562" w:type="dxa"/>
            <w:shd w:val="clear" w:color="auto" w:fill="auto"/>
            <w:tcMar>
              <w:left w:w="108" w:type="dxa"/>
            </w:tcMar>
          </w:tcPr>
          <w:p w14:paraId="03CD4E56" w14:textId="77777777" w:rsidR="00B132B1" w:rsidRDefault="00A54DEE">
            <w:pPr>
              <w:spacing w:after="0" w:line="240" w:lineRule="auto"/>
              <w:rPr>
                <w:rFonts w:eastAsia="Times New Roman"/>
              </w:rPr>
            </w:pPr>
            <w:r>
              <w:rPr>
                <w:rFonts w:eastAsia="Times New Roman"/>
              </w:rPr>
              <w:lastRenderedPageBreak/>
              <w:t>13</w:t>
            </w:r>
          </w:p>
        </w:tc>
        <w:tc>
          <w:tcPr>
            <w:tcW w:w="4252" w:type="dxa"/>
            <w:shd w:val="clear" w:color="auto" w:fill="auto"/>
            <w:tcMar>
              <w:left w:w="108" w:type="dxa"/>
            </w:tcMar>
          </w:tcPr>
          <w:p w14:paraId="7642F3D5" w14:textId="77777777" w:rsidR="00B132B1" w:rsidRDefault="00A54DEE">
            <w:pPr>
              <w:spacing w:after="0" w:line="240" w:lineRule="auto"/>
              <w:rPr>
                <w:rFonts w:eastAsia="Times New Roman"/>
              </w:rPr>
            </w:pPr>
            <w:r>
              <w:rPr>
                <w:rFonts w:eastAsia="Times New Roman"/>
              </w:rPr>
              <w:t>U natječajnoj dokumentaciji piše da je partner onaj pravni subjekt koji je odgovoran za provedbu pojedinih prihvatljivih projektnih aktivnosti i/ili sudjeluje u projektu financijskim doprinosom. Ako neka udruga ili mjesna zajednica ustupi prostor za održavanje programa bez naknade, mora li nužno biti navedena kao partner projekta?</w:t>
            </w:r>
          </w:p>
        </w:tc>
        <w:tc>
          <w:tcPr>
            <w:tcW w:w="4253" w:type="dxa"/>
            <w:shd w:val="clear" w:color="auto" w:fill="auto"/>
            <w:tcMar>
              <w:left w:w="108" w:type="dxa"/>
            </w:tcMar>
          </w:tcPr>
          <w:p w14:paraId="0191343C"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t xml:space="preserve">Pravna osoba koja prijavitelju ustupa prostor na korištenje ne treba biti navedena kao partner u projektnoj prijavi. Sukladno Uputama za prijavitelje, partner je pravna osoba javnog ili privatnog prava koja koristi dio projektnih sredstava i sudjeluje u provedbi projekta provodeći povjerene mu projektne aktivnosti. </w:t>
            </w:r>
          </w:p>
          <w:p w14:paraId="3A8D8D08" w14:textId="77777777" w:rsidR="00B132B1" w:rsidRDefault="00B132B1">
            <w:pPr>
              <w:pStyle w:val="FootnoteText"/>
              <w:rPr>
                <w:rFonts w:asciiTheme="minorHAnsi" w:eastAsia="Times New Roman" w:hAnsiTheme="minorHAnsi" w:cstheme="minorBidi"/>
                <w:sz w:val="22"/>
                <w:szCs w:val="22"/>
                <w:lang w:eastAsia="en-US"/>
              </w:rPr>
            </w:pPr>
          </w:p>
          <w:p w14:paraId="63683E54" w14:textId="77777777" w:rsidR="00B132B1" w:rsidRDefault="00B132B1">
            <w:pPr>
              <w:pStyle w:val="FootnoteText"/>
              <w:rPr>
                <w:rFonts w:asciiTheme="minorHAnsi" w:eastAsia="Times New Roman" w:hAnsiTheme="minorHAnsi" w:cstheme="minorBidi"/>
                <w:sz w:val="22"/>
                <w:szCs w:val="22"/>
                <w:lang w:eastAsia="en-US"/>
              </w:rPr>
            </w:pPr>
          </w:p>
        </w:tc>
      </w:tr>
      <w:tr w:rsidR="00B132B1" w14:paraId="5589624A" w14:textId="77777777">
        <w:tc>
          <w:tcPr>
            <w:tcW w:w="562" w:type="dxa"/>
            <w:shd w:val="clear" w:color="auto" w:fill="auto"/>
            <w:tcMar>
              <w:left w:w="108" w:type="dxa"/>
            </w:tcMar>
          </w:tcPr>
          <w:p w14:paraId="7F2F2BDF" w14:textId="77777777" w:rsidR="00B132B1" w:rsidRDefault="00A54DEE">
            <w:pPr>
              <w:spacing w:after="0" w:line="240" w:lineRule="auto"/>
              <w:rPr>
                <w:rFonts w:eastAsia="Times New Roman"/>
              </w:rPr>
            </w:pPr>
            <w:r>
              <w:rPr>
                <w:rFonts w:eastAsia="Times New Roman"/>
              </w:rPr>
              <w:t>14</w:t>
            </w:r>
          </w:p>
        </w:tc>
        <w:tc>
          <w:tcPr>
            <w:tcW w:w="4252" w:type="dxa"/>
            <w:shd w:val="clear" w:color="auto" w:fill="auto"/>
            <w:tcMar>
              <w:left w:w="108" w:type="dxa"/>
            </w:tcMar>
          </w:tcPr>
          <w:p w14:paraId="4FB31587" w14:textId="68220E68" w:rsidR="00B132B1" w:rsidRDefault="00A54DEE">
            <w:pPr>
              <w:pStyle w:val="NormalWeb"/>
              <w:rPr>
                <w:rFonts w:asciiTheme="minorHAnsi" w:eastAsia="Times New Roman" w:hAnsiTheme="minorHAnsi" w:cstheme="minorBidi"/>
                <w:sz w:val="22"/>
                <w:szCs w:val="22"/>
                <w:lang w:eastAsia="en-US"/>
              </w:rPr>
            </w:pPr>
            <w:r>
              <w:rPr>
                <w:rFonts w:asciiTheme="minorHAnsi" w:eastAsia="Times New Roman" w:hAnsiTheme="minorHAnsi" w:cstheme="minorBidi"/>
                <w:sz w:val="22"/>
                <w:szCs w:val="22"/>
                <w:lang w:eastAsia="en-US"/>
              </w:rPr>
              <w:t>Domovi umirovljenika ovdje nisu prihvatljivi partneri – ako ustupe svoje osoblje i prostor za realizaciju programa bez naknade, kako ugov</w:t>
            </w:r>
            <w:r w:rsidR="004A5206">
              <w:rPr>
                <w:rFonts w:asciiTheme="minorHAnsi" w:eastAsia="Times New Roman" w:hAnsiTheme="minorHAnsi" w:cstheme="minorBidi"/>
                <w:sz w:val="22"/>
                <w:szCs w:val="22"/>
                <w:lang w:eastAsia="en-US"/>
              </w:rPr>
              <w:t>a</w:t>
            </w:r>
            <w:r>
              <w:rPr>
                <w:rFonts w:asciiTheme="minorHAnsi" w:eastAsia="Times New Roman" w:hAnsiTheme="minorHAnsi" w:cstheme="minorBidi"/>
                <w:sz w:val="22"/>
                <w:szCs w:val="22"/>
                <w:lang w:eastAsia="en-US"/>
              </w:rPr>
              <w:t>ramo taj odnos?</w:t>
            </w:r>
          </w:p>
        </w:tc>
        <w:tc>
          <w:tcPr>
            <w:tcW w:w="4253" w:type="dxa"/>
            <w:shd w:val="clear" w:color="auto" w:fill="auto"/>
            <w:tcMar>
              <w:left w:w="108" w:type="dxa"/>
            </w:tcMar>
          </w:tcPr>
          <w:p w14:paraId="244DBE47" w14:textId="7D8F9008"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t xml:space="preserve">U svrhu provedbe projekta, prijavitelj može uspostaviti suradnju s fizičkim i pravnim osoba te je pri tom dužan postupati u skladu sa zakonom. Troškovi koji proizlaze iz navedene suradnje mogu biti prihvatljivi za financiranje ukoliko zadovoljavaju uvjete navedene u točki 4.1.1 </w:t>
            </w:r>
            <w:r>
              <w:rPr>
                <w:rFonts w:eastAsia="Times New Roman" w:cstheme="minorBidi"/>
                <w:i/>
                <w:sz w:val="22"/>
                <w:szCs w:val="22"/>
                <w:lang w:eastAsia="en-US"/>
              </w:rPr>
              <w:t xml:space="preserve">Prihvatljivi izdatci </w:t>
            </w:r>
            <w:r>
              <w:rPr>
                <w:rFonts w:eastAsia="Times New Roman" w:cstheme="minorBidi"/>
                <w:sz w:val="22"/>
                <w:szCs w:val="22"/>
                <w:lang w:eastAsia="en-US"/>
              </w:rPr>
              <w:t>Uputa za prijavitelje</w:t>
            </w:r>
            <w:r>
              <w:rPr>
                <w:rFonts w:eastAsia="Times New Roman" w:cstheme="minorBidi"/>
                <w:i/>
                <w:sz w:val="22"/>
                <w:szCs w:val="22"/>
                <w:lang w:eastAsia="en-US"/>
              </w:rPr>
              <w:t xml:space="preserve">. </w:t>
            </w:r>
          </w:p>
        </w:tc>
      </w:tr>
      <w:tr w:rsidR="00B132B1" w14:paraId="393894C1" w14:textId="77777777">
        <w:tc>
          <w:tcPr>
            <w:tcW w:w="562" w:type="dxa"/>
            <w:shd w:val="clear" w:color="auto" w:fill="auto"/>
            <w:tcMar>
              <w:left w:w="108" w:type="dxa"/>
            </w:tcMar>
          </w:tcPr>
          <w:p w14:paraId="128C8914" w14:textId="77777777" w:rsidR="00B132B1" w:rsidRDefault="00A54DEE">
            <w:pPr>
              <w:spacing w:after="0" w:line="240" w:lineRule="auto"/>
              <w:rPr>
                <w:rFonts w:eastAsia="Times New Roman"/>
              </w:rPr>
            </w:pPr>
            <w:r>
              <w:rPr>
                <w:rFonts w:eastAsia="Times New Roman"/>
              </w:rPr>
              <w:t>15</w:t>
            </w:r>
          </w:p>
        </w:tc>
        <w:tc>
          <w:tcPr>
            <w:tcW w:w="4252" w:type="dxa"/>
            <w:shd w:val="clear" w:color="auto" w:fill="auto"/>
            <w:tcMar>
              <w:left w:w="108" w:type="dxa"/>
            </w:tcMar>
          </w:tcPr>
          <w:p w14:paraId="34736FBA" w14:textId="77777777" w:rsidR="00B132B1" w:rsidRDefault="00A54DEE">
            <w:pPr>
              <w:spacing w:after="0" w:line="240" w:lineRule="auto"/>
            </w:pPr>
            <w:r>
              <w:t>Da li i u ovom natječaju voditelj projekta treba biti zaposlen kod prijavitelja (ili partnera) u punom ili nepunom radnom vremenu (imati zaključen ugovor o radu)?</w:t>
            </w:r>
          </w:p>
        </w:tc>
        <w:tc>
          <w:tcPr>
            <w:tcW w:w="4253" w:type="dxa"/>
            <w:shd w:val="clear" w:color="auto" w:fill="auto"/>
            <w:tcMar>
              <w:left w:w="108" w:type="dxa"/>
            </w:tcMar>
          </w:tcPr>
          <w:p w14:paraId="4B91F388"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t>Da. Voditelj/koordinator projekta mora na projektu biti zaposlen kod prijavitelja/partnera isključivo putem ugovora o radu sklopljenog na puno ili nepuno radno vrijeme. Pritom može imati ugovor o radu na neodređeno vrijeme, no može biti angažiran i na određeno vrijeme tijekom trajanja projekta.</w:t>
            </w:r>
          </w:p>
        </w:tc>
      </w:tr>
      <w:tr w:rsidR="00B132B1" w14:paraId="486DC946" w14:textId="77777777">
        <w:tc>
          <w:tcPr>
            <w:tcW w:w="562" w:type="dxa"/>
            <w:shd w:val="clear" w:color="auto" w:fill="auto"/>
            <w:tcMar>
              <w:left w:w="108" w:type="dxa"/>
            </w:tcMar>
          </w:tcPr>
          <w:p w14:paraId="4AAF7C9D" w14:textId="77777777" w:rsidR="00B132B1" w:rsidRDefault="00A54DEE">
            <w:pPr>
              <w:spacing w:after="0" w:line="240" w:lineRule="auto"/>
              <w:rPr>
                <w:rFonts w:eastAsia="Times New Roman"/>
              </w:rPr>
            </w:pPr>
            <w:r>
              <w:rPr>
                <w:rFonts w:eastAsia="Times New Roman"/>
              </w:rPr>
              <w:t>16</w:t>
            </w:r>
          </w:p>
        </w:tc>
        <w:tc>
          <w:tcPr>
            <w:tcW w:w="4252" w:type="dxa"/>
            <w:shd w:val="clear" w:color="auto" w:fill="auto"/>
            <w:tcMar>
              <w:left w:w="108" w:type="dxa"/>
            </w:tcMar>
          </w:tcPr>
          <w:p w14:paraId="494C7E55" w14:textId="77777777" w:rsidR="00B132B1" w:rsidRDefault="00A54DEE">
            <w:pPr>
              <w:pStyle w:val="NormalWeb"/>
              <w:rPr>
                <w:rFonts w:asciiTheme="minorHAnsi" w:eastAsia="Times New Roman" w:hAnsiTheme="minorHAnsi" w:cstheme="minorBidi"/>
                <w:sz w:val="22"/>
                <w:szCs w:val="22"/>
                <w:lang w:eastAsia="en-US"/>
              </w:rPr>
            </w:pPr>
            <w:r>
              <w:rPr>
                <w:rFonts w:asciiTheme="minorHAnsi" w:hAnsiTheme="minorHAnsi" w:cstheme="minorBidi"/>
                <w:sz w:val="22"/>
                <w:szCs w:val="22"/>
                <w:lang w:eastAsia="en-US"/>
              </w:rPr>
              <w:t>Kada je planirano potpisivanje ugovora - donošenje odluke o financiranju?</w:t>
            </w:r>
          </w:p>
        </w:tc>
        <w:tc>
          <w:tcPr>
            <w:tcW w:w="4253" w:type="dxa"/>
            <w:shd w:val="clear" w:color="auto" w:fill="auto"/>
            <w:tcMar>
              <w:left w:w="108" w:type="dxa"/>
            </w:tcMar>
          </w:tcPr>
          <w:p w14:paraId="169760EB"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t>Molimo pogledati odgovor br. 2.</w:t>
            </w:r>
          </w:p>
        </w:tc>
      </w:tr>
      <w:tr w:rsidR="00B132B1" w14:paraId="29656433" w14:textId="77777777">
        <w:tc>
          <w:tcPr>
            <w:tcW w:w="562" w:type="dxa"/>
            <w:shd w:val="clear" w:color="auto" w:fill="auto"/>
            <w:tcMar>
              <w:left w:w="108" w:type="dxa"/>
            </w:tcMar>
          </w:tcPr>
          <w:p w14:paraId="36CF5B38" w14:textId="77777777" w:rsidR="00B132B1" w:rsidRDefault="00A54DEE">
            <w:pPr>
              <w:spacing w:after="0" w:line="240" w:lineRule="auto"/>
              <w:rPr>
                <w:rFonts w:eastAsia="Times New Roman"/>
              </w:rPr>
            </w:pPr>
            <w:r>
              <w:rPr>
                <w:rFonts w:eastAsia="Times New Roman"/>
              </w:rPr>
              <w:t>17</w:t>
            </w:r>
          </w:p>
        </w:tc>
        <w:tc>
          <w:tcPr>
            <w:tcW w:w="4252" w:type="dxa"/>
            <w:shd w:val="clear" w:color="auto" w:fill="auto"/>
            <w:tcMar>
              <w:left w:w="108" w:type="dxa"/>
            </w:tcMar>
          </w:tcPr>
          <w:p w14:paraId="4BEB568C" w14:textId="77777777" w:rsidR="00B132B1" w:rsidRDefault="00A54DEE">
            <w:pPr>
              <w:spacing w:after="0" w:line="240" w:lineRule="auto"/>
              <w:rPr>
                <w:rFonts w:ascii="Calibri" w:hAnsi="Calibri" w:cs="Times New Roman"/>
              </w:rPr>
            </w:pPr>
            <w:r>
              <w:t xml:space="preserve">Unutar </w:t>
            </w:r>
            <w:proofErr w:type="spellStart"/>
            <w:r>
              <w:t>UzP</w:t>
            </w:r>
            <w:proofErr w:type="spellEnd"/>
            <w:r>
              <w:t xml:space="preserve"> u dijelu Izravni troškovi osoblja stoji: “…. IZRAVNI TROŠKOVI OSOBLJA su…. ili ugovora o uslugama za vanjsko osoblje između naručitelja i fizičke osobe u vrijednosti manjoj od 200.000,00 kn bez poreza na dodanu vrijednost, a isplaćuju se osoblju za obavljeni rad koji je izravno povezan s operacijom .“ Na koji način je moguće sklapati ugovor sa naručiteljem (koji je pravna osoba) i fizička osoba a promatra se kroz segment PDV, tj. da se vrijednost ugovora definira sa i bez PDV-om? Te u fusnoti stoji: „Sama vrsta ugovora odnosno računa za izvršenu uslugu nije podloga za </w:t>
            </w:r>
            <w:r>
              <w:lastRenderedPageBreak/>
              <w:t>određivanje troška kao izravnog troška osoblja.“ Zašto je onda u kategoriji Izravnih troškova osoblja?</w:t>
            </w:r>
          </w:p>
        </w:tc>
        <w:tc>
          <w:tcPr>
            <w:tcW w:w="4253" w:type="dxa"/>
            <w:shd w:val="clear" w:color="auto" w:fill="auto"/>
            <w:tcMar>
              <w:left w:w="108" w:type="dxa"/>
            </w:tcMar>
          </w:tcPr>
          <w:p w14:paraId="1E642595" w14:textId="77777777" w:rsidR="00B132B1" w:rsidRDefault="00A54DEE">
            <w:pPr>
              <w:pStyle w:val="FootnoteText"/>
              <w:rPr>
                <w:sz w:val="22"/>
              </w:rPr>
            </w:pPr>
            <w:r>
              <w:rPr>
                <w:sz w:val="22"/>
              </w:rPr>
              <w:lastRenderedPageBreak/>
              <w:t xml:space="preserve">Sukladno odredbama Zakona o porezu na dodanu vrijednost (NN 73/13, 99/13, 148/13, 153/13, 143/14, 115/16), fizička osoba može biti obveznik PDV-a. </w:t>
            </w:r>
          </w:p>
          <w:p w14:paraId="03028E1D" w14:textId="77777777" w:rsidR="00B132B1" w:rsidRDefault="00B132B1">
            <w:pPr>
              <w:pStyle w:val="FootnoteText"/>
              <w:rPr>
                <w:sz w:val="22"/>
              </w:rPr>
            </w:pPr>
          </w:p>
          <w:p w14:paraId="14129EDE" w14:textId="77777777" w:rsidR="00B132B1" w:rsidRDefault="00A54DEE">
            <w:pPr>
              <w:pStyle w:val="FootnoteText"/>
            </w:pPr>
            <w:r>
              <w:rPr>
                <w:sz w:val="22"/>
              </w:rPr>
              <w:t xml:space="preserve">Neovisno o tome je li fizička osoba obveznik PDV-a ili nije, trošak rada izravno povezanog s projektom pripada kategoriji izravnog troška osoblja ukoliko proizlazi iz ugovora o uslugama između naručitelja i fizičke osobe u vrijednosti manjoj od 200.000,00 kn bez PDV-a. </w:t>
            </w:r>
            <w:r>
              <w:rPr>
                <w:rFonts w:eastAsia="Times New Roman" w:cstheme="minorBidi"/>
                <w:sz w:val="22"/>
                <w:szCs w:val="22"/>
                <w:lang w:eastAsia="en-US"/>
              </w:rPr>
              <w:t xml:space="preserve">Uvjeti prihvatljivosti izdataka navedeni su u točki 4.1 </w:t>
            </w:r>
            <w:r>
              <w:rPr>
                <w:rFonts w:eastAsia="Times New Roman" w:cstheme="minorBidi"/>
                <w:i/>
                <w:sz w:val="22"/>
                <w:szCs w:val="22"/>
                <w:lang w:eastAsia="en-US"/>
              </w:rPr>
              <w:t xml:space="preserve">Prihvatljivost izdataka </w:t>
            </w:r>
            <w:r>
              <w:rPr>
                <w:rFonts w:eastAsia="Times New Roman" w:cstheme="minorBidi"/>
                <w:sz w:val="22"/>
                <w:szCs w:val="22"/>
                <w:lang w:eastAsia="en-US"/>
              </w:rPr>
              <w:t>Uputa za prijavitelje</w:t>
            </w:r>
            <w:r>
              <w:rPr>
                <w:rFonts w:eastAsia="Times New Roman" w:cstheme="minorBidi"/>
                <w:i/>
                <w:sz w:val="22"/>
                <w:szCs w:val="22"/>
                <w:lang w:eastAsia="en-US"/>
              </w:rPr>
              <w:t>.</w:t>
            </w:r>
          </w:p>
        </w:tc>
      </w:tr>
      <w:tr w:rsidR="00B132B1" w14:paraId="3E064229" w14:textId="77777777">
        <w:tc>
          <w:tcPr>
            <w:tcW w:w="562" w:type="dxa"/>
            <w:shd w:val="clear" w:color="auto" w:fill="auto"/>
            <w:tcMar>
              <w:left w:w="108" w:type="dxa"/>
            </w:tcMar>
          </w:tcPr>
          <w:p w14:paraId="31C1AFD3" w14:textId="77777777" w:rsidR="00B132B1" w:rsidRDefault="00A54DEE">
            <w:pPr>
              <w:spacing w:after="0" w:line="240" w:lineRule="auto"/>
              <w:rPr>
                <w:rFonts w:eastAsia="Times New Roman"/>
              </w:rPr>
            </w:pPr>
            <w:r>
              <w:rPr>
                <w:rFonts w:eastAsia="Times New Roman"/>
              </w:rPr>
              <w:t>18</w:t>
            </w:r>
          </w:p>
        </w:tc>
        <w:tc>
          <w:tcPr>
            <w:tcW w:w="4252" w:type="dxa"/>
            <w:shd w:val="clear" w:color="auto" w:fill="auto"/>
            <w:tcMar>
              <w:left w:w="108" w:type="dxa"/>
            </w:tcMar>
          </w:tcPr>
          <w:p w14:paraId="6E830D70" w14:textId="77777777" w:rsidR="00B132B1" w:rsidRDefault="00A54DEE">
            <w:pPr>
              <w:spacing w:after="0" w:line="240" w:lineRule="auto"/>
              <w:rPr>
                <w:rFonts w:eastAsia="Times New Roman"/>
              </w:rPr>
            </w:pPr>
            <w:r>
              <w:t>Pod Izravni troškovi stoji: “naknade za vanjske usluge izravno povezane s provedbom projektnih aktivnosti isplaćene pravnim osobama“. Da li je dozvoljeno pod ovom kategorijom Upravljanje projektom i administracija kao vanjska usluga pravne osobe?</w:t>
            </w:r>
          </w:p>
        </w:tc>
        <w:tc>
          <w:tcPr>
            <w:tcW w:w="4253" w:type="dxa"/>
            <w:shd w:val="clear" w:color="auto" w:fill="auto"/>
            <w:tcMar>
              <w:left w:w="108" w:type="dxa"/>
            </w:tcMar>
          </w:tcPr>
          <w:p w14:paraId="165D59F7" w14:textId="6543BAE1" w:rsidR="00B132B1" w:rsidRDefault="00D2652A">
            <w:pPr>
              <w:spacing w:after="0" w:line="240" w:lineRule="auto"/>
              <w:rPr>
                <w:rFonts w:eastAsia="Times New Roman"/>
              </w:rPr>
            </w:pPr>
            <w:r>
              <w:t xml:space="preserve">Smisao i svrha projekta je rješavanje određenog problema pomoću planiranih projektnih aktivnosti. Upravljanje projektom i administracija ne potpada pod projektne aktivnosti koje doprinose rješavanju određenog problema te stoga naknade za vanjske usluge u sklopu navedenog elementa nisu prihvatljive. </w:t>
            </w:r>
          </w:p>
          <w:p w14:paraId="16510A56" w14:textId="77777777" w:rsidR="00B132B1" w:rsidRDefault="00B132B1">
            <w:pPr>
              <w:spacing w:after="0" w:line="240" w:lineRule="auto"/>
              <w:rPr>
                <w:rFonts w:eastAsia="Times New Roman"/>
              </w:rPr>
            </w:pPr>
          </w:p>
        </w:tc>
      </w:tr>
      <w:tr w:rsidR="00B132B1" w14:paraId="3A64A569" w14:textId="77777777">
        <w:tc>
          <w:tcPr>
            <w:tcW w:w="562" w:type="dxa"/>
            <w:shd w:val="clear" w:color="auto" w:fill="auto"/>
            <w:tcMar>
              <w:left w:w="108" w:type="dxa"/>
            </w:tcMar>
          </w:tcPr>
          <w:p w14:paraId="1124EC39" w14:textId="77777777" w:rsidR="00B132B1" w:rsidRDefault="00A54DEE">
            <w:pPr>
              <w:spacing w:after="0" w:line="240" w:lineRule="auto"/>
              <w:rPr>
                <w:rFonts w:eastAsia="Times New Roman"/>
              </w:rPr>
            </w:pPr>
            <w:r>
              <w:rPr>
                <w:rFonts w:eastAsia="Times New Roman"/>
              </w:rPr>
              <w:t>19</w:t>
            </w:r>
          </w:p>
        </w:tc>
        <w:tc>
          <w:tcPr>
            <w:tcW w:w="4252" w:type="dxa"/>
            <w:shd w:val="clear" w:color="auto" w:fill="auto"/>
            <w:tcMar>
              <w:left w:w="108" w:type="dxa"/>
            </w:tcMar>
          </w:tcPr>
          <w:p w14:paraId="50870B91" w14:textId="77777777" w:rsidR="00B132B1" w:rsidRDefault="00A54DEE">
            <w:pPr>
              <w:spacing w:after="0" w:line="240" w:lineRule="auto"/>
            </w:pPr>
            <w:r>
              <w:t>Pod Izravni troškovi stoji: „naknade za vanjske usluge izravno povezane s provedbom projektnih aktivnosti isplaćene fizičkim osobama temeljem ugovora potpisanih u okviru postupka javne nabave.“- Ukoliko je Prijavitelj NZJN i ne provodi postupak javne nabave te sklopi ugovor sa fizičkom osobom (autorski ugovor, ugovor o djelu), da li je to prihvatljiv izravni trošak te tada ulazi u kategoriju izravnih troškova osoblja? A ako je obveznik ZJN i sklopi ugovor sa fizičkom osobom, ne postaje li to tada izravni trošak osoblja?</w:t>
            </w:r>
          </w:p>
        </w:tc>
        <w:tc>
          <w:tcPr>
            <w:tcW w:w="4253" w:type="dxa"/>
            <w:shd w:val="clear" w:color="auto" w:fill="auto"/>
            <w:tcMar>
              <w:left w:w="108" w:type="dxa"/>
            </w:tcMar>
          </w:tcPr>
          <w:p w14:paraId="67D390BE" w14:textId="77777777" w:rsidR="00B132B1" w:rsidRDefault="00A54DEE">
            <w:pPr>
              <w:spacing w:after="0" w:line="240" w:lineRule="auto"/>
              <w:rPr>
                <w:rFonts w:eastAsia="Times New Roman"/>
                <w:highlight w:val="yellow"/>
              </w:rPr>
            </w:pPr>
            <w:r>
              <w:t xml:space="preserve">Sukladno točki 4.1.1 </w:t>
            </w:r>
            <w:r>
              <w:rPr>
                <w:i/>
              </w:rPr>
              <w:t xml:space="preserve">Prihvatljivi izdaci </w:t>
            </w:r>
            <w:r>
              <w:t xml:space="preserve">Uputa za prijavitelje, izravni troškovi osoblja su troškovi rada koji proizlaze iz ugovora/rješenja/sporazuma između poslodavca i zaposlenika ili ugovora o uslugama za vanjsko osoblje između poslodavca i fizičke osobe u vrijednosti manjoj od 200.000,00 kn bez PDV-a. Navedeni uvjet se primjenjuje bez obzira na to je li prijavitelj obveznik Zakona o javnoj nabavi ili se na njega primjenjuju pravila i Priloga 4 Postupci nabave za osobe koje nisu obveznici Zakona o javnoj nabavi. </w:t>
            </w:r>
          </w:p>
        </w:tc>
      </w:tr>
      <w:tr w:rsidR="00B132B1" w14:paraId="2D80CAD2" w14:textId="77777777">
        <w:tc>
          <w:tcPr>
            <w:tcW w:w="562" w:type="dxa"/>
            <w:shd w:val="clear" w:color="auto" w:fill="auto"/>
            <w:tcMar>
              <w:left w:w="108" w:type="dxa"/>
            </w:tcMar>
          </w:tcPr>
          <w:p w14:paraId="422A858F" w14:textId="77777777" w:rsidR="00B132B1" w:rsidRDefault="00A54DEE">
            <w:pPr>
              <w:spacing w:after="0" w:line="240" w:lineRule="auto"/>
              <w:rPr>
                <w:rFonts w:eastAsia="Times New Roman"/>
              </w:rPr>
            </w:pPr>
            <w:r>
              <w:rPr>
                <w:rFonts w:eastAsia="Times New Roman"/>
              </w:rPr>
              <w:t>20</w:t>
            </w:r>
          </w:p>
        </w:tc>
        <w:tc>
          <w:tcPr>
            <w:tcW w:w="4252" w:type="dxa"/>
            <w:shd w:val="clear" w:color="auto" w:fill="auto"/>
            <w:tcMar>
              <w:left w:w="108" w:type="dxa"/>
            </w:tcMar>
          </w:tcPr>
          <w:p w14:paraId="7452A5AC" w14:textId="77777777" w:rsidR="00B132B1" w:rsidRDefault="00A54DEE">
            <w:pPr>
              <w:spacing w:after="0" w:line="240" w:lineRule="auto"/>
            </w:pPr>
            <w:r>
              <w:t>Molim vas objašnjenje uvjeta: na dan objave Poziva biti registriran(i) za obavljanje djelatnosti u Republici Hrvatskoj najmanje 12 mjeseci. Odnosi li se uvjet od 12 mjeseci na činjenicu da udruga mora biti registrirana 12 mjeseci u RH ili na konkretnu djelatnost udruge u području umjetnosti i kulture?</w:t>
            </w:r>
          </w:p>
        </w:tc>
        <w:tc>
          <w:tcPr>
            <w:tcW w:w="4253" w:type="dxa"/>
            <w:shd w:val="clear" w:color="auto" w:fill="auto"/>
            <w:tcMar>
              <w:left w:w="108" w:type="dxa"/>
            </w:tcMar>
          </w:tcPr>
          <w:p w14:paraId="21AAB8D0" w14:textId="77777777" w:rsidR="00B132B1" w:rsidRDefault="00A54DEE">
            <w:pPr>
              <w:pStyle w:val="FootnoteText"/>
              <w:rPr>
                <w:sz w:val="22"/>
                <w:szCs w:val="22"/>
              </w:rPr>
            </w:pPr>
            <w:r>
              <w:rPr>
                <w:sz w:val="22"/>
                <w:szCs w:val="22"/>
              </w:rPr>
              <w:t>Registracija u određenom području djelatnosti najmanje 12 mjeseci nije uvjet prihvatljivosti prijavitelja na ovaj Poziv. Prihvatljivost prijavitelja s obzirom na područje djelovanja se provjerava uvidom u temeljni akt organizacije.</w:t>
            </w:r>
          </w:p>
        </w:tc>
      </w:tr>
      <w:tr w:rsidR="00B132B1" w14:paraId="3C2CDD47" w14:textId="77777777">
        <w:tc>
          <w:tcPr>
            <w:tcW w:w="562" w:type="dxa"/>
            <w:shd w:val="clear" w:color="auto" w:fill="auto"/>
            <w:tcMar>
              <w:left w:w="108" w:type="dxa"/>
            </w:tcMar>
          </w:tcPr>
          <w:p w14:paraId="40F1AA2A" w14:textId="77777777" w:rsidR="00B132B1" w:rsidRDefault="00A54DEE">
            <w:pPr>
              <w:spacing w:after="0" w:line="240" w:lineRule="auto"/>
              <w:rPr>
                <w:rFonts w:eastAsia="Times New Roman"/>
              </w:rPr>
            </w:pPr>
            <w:r>
              <w:rPr>
                <w:rFonts w:eastAsia="Times New Roman"/>
              </w:rPr>
              <w:t>21</w:t>
            </w:r>
          </w:p>
        </w:tc>
        <w:tc>
          <w:tcPr>
            <w:tcW w:w="4252" w:type="dxa"/>
            <w:shd w:val="clear" w:color="auto" w:fill="auto"/>
            <w:tcMar>
              <w:left w:w="108" w:type="dxa"/>
            </w:tcMar>
          </w:tcPr>
          <w:p w14:paraId="1219D8DD" w14:textId="77777777" w:rsidR="00B132B1" w:rsidRDefault="00A54DEE">
            <w:pPr>
              <w:spacing w:after="0" w:line="240" w:lineRule="auto"/>
              <w:rPr>
                <w:rFonts w:eastAsia="Times New Roman"/>
              </w:rPr>
            </w:pPr>
            <w:r>
              <w:t xml:space="preserve">Trebaju li pripadnici ciljne skupine 2 (stručnjaci iz područja kulture i umjetnosti) obavezno biti zaposlenici udruge u području kulture i umjetnosti ili je dovoljno da budu članovi takve udruge? </w:t>
            </w:r>
          </w:p>
        </w:tc>
        <w:tc>
          <w:tcPr>
            <w:tcW w:w="4253" w:type="dxa"/>
            <w:shd w:val="clear" w:color="auto" w:fill="auto"/>
            <w:tcMar>
              <w:left w:w="108" w:type="dxa"/>
            </w:tcMar>
          </w:tcPr>
          <w:p w14:paraId="04A15454"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t>Članstvo u udruzi nije relevantan dokaz pripadnosti ciljnoj skupini. Pripadnici ciljne skupine „stručnjaci iz područja kulture i umjetnosti“ moraju biti angažirani na poslovima iz područja kulture i/ili umjetnosti kao zaposlenici ustanove u kulturi, umjetničke organizaciji, udruge, zaklade ili neprofitne zadruge koja obavlja kulturnu ili umjetničku djelatnost. Pripadnici navedene ciljne skupine su i</w:t>
            </w:r>
            <w:r>
              <w:t xml:space="preserve"> </w:t>
            </w:r>
            <w:r>
              <w:rPr>
                <w:rFonts w:eastAsia="Times New Roman" w:cstheme="minorBidi"/>
                <w:sz w:val="22"/>
                <w:szCs w:val="22"/>
                <w:lang w:eastAsia="en-US"/>
              </w:rPr>
              <w:t xml:space="preserve">članovi  Hrvatske zajednice samostalnih umjetnika. </w:t>
            </w:r>
          </w:p>
        </w:tc>
      </w:tr>
      <w:tr w:rsidR="00B132B1" w14:paraId="1EB54C58" w14:textId="77777777">
        <w:tc>
          <w:tcPr>
            <w:tcW w:w="562" w:type="dxa"/>
            <w:shd w:val="clear" w:color="auto" w:fill="auto"/>
            <w:tcMar>
              <w:left w:w="108" w:type="dxa"/>
            </w:tcMar>
          </w:tcPr>
          <w:p w14:paraId="2031C091" w14:textId="77777777" w:rsidR="00B132B1" w:rsidRDefault="00A54DEE">
            <w:pPr>
              <w:spacing w:after="0" w:line="240" w:lineRule="auto"/>
              <w:rPr>
                <w:rFonts w:eastAsia="Times New Roman"/>
              </w:rPr>
            </w:pPr>
            <w:r>
              <w:rPr>
                <w:rFonts w:eastAsia="Times New Roman"/>
              </w:rPr>
              <w:t>22</w:t>
            </w:r>
          </w:p>
        </w:tc>
        <w:tc>
          <w:tcPr>
            <w:tcW w:w="4252" w:type="dxa"/>
            <w:shd w:val="clear" w:color="auto" w:fill="auto"/>
            <w:tcMar>
              <w:left w:w="108" w:type="dxa"/>
            </w:tcMar>
          </w:tcPr>
          <w:p w14:paraId="2FB53100" w14:textId="77777777" w:rsidR="00B132B1" w:rsidRDefault="00A54DEE">
            <w:pPr>
              <w:spacing w:after="0" w:line="240" w:lineRule="auto"/>
              <w:rPr>
                <w:rFonts w:ascii="Calibri" w:eastAsia="Times New Roman" w:hAnsi="Calibri" w:cs="Calibri"/>
                <w:color w:val="000000"/>
              </w:rPr>
            </w:pPr>
            <w:r>
              <w:rPr>
                <w:rFonts w:eastAsia="Times New Roman" w:cs="Calibri"/>
                <w:color w:val="000000"/>
              </w:rPr>
              <w:t>Molimo pojašnjenje da li u prihvatljive partnere spadaju domovi za starije i nemoćne osobe, odnosno i ustanove koje se bave socijalnom djelatnošću?</w:t>
            </w:r>
          </w:p>
        </w:tc>
        <w:tc>
          <w:tcPr>
            <w:tcW w:w="4253" w:type="dxa"/>
            <w:shd w:val="clear" w:color="auto" w:fill="auto"/>
            <w:tcMar>
              <w:left w:w="108" w:type="dxa"/>
            </w:tcMar>
          </w:tcPr>
          <w:p w14:paraId="55259AED"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t xml:space="preserve">Sukladno točki 2.2.2 </w:t>
            </w:r>
            <w:r>
              <w:rPr>
                <w:rFonts w:eastAsia="Times New Roman" w:cstheme="minorBidi"/>
                <w:i/>
                <w:sz w:val="22"/>
                <w:szCs w:val="22"/>
                <w:lang w:eastAsia="en-US"/>
              </w:rPr>
              <w:t>Prihvatljivi partneri</w:t>
            </w:r>
            <w:r>
              <w:rPr>
                <w:rFonts w:eastAsia="Times New Roman" w:cstheme="minorBidi"/>
                <w:sz w:val="22"/>
                <w:szCs w:val="22"/>
                <w:lang w:eastAsia="en-US"/>
              </w:rPr>
              <w:t xml:space="preserve"> Uputa za prijavitelje, ustanove socijalne skrbi, uključujući domove za starije i nemoćne osobe, nisu prihvatljivi prijavitelji u okviru ovog Poziva.</w:t>
            </w:r>
          </w:p>
        </w:tc>
      </w:tr>
      <w:tr w:rsidR="00B132B1" w14:paraId="5D5BBFEC" w14:textId="77777777">
        <w:tc>
          <w:tcPr>
            <w:tcW w:w="562" w:type="dxa"/>
            <w:shd w:val="clear" w:color="auto" w:fill="auto"/>
            <w:tcMar>
              <w:left w:w="108" w:type="dxa"/>
            </w:tcMar>
          </w:tcPr>
          <w:p w14:paraId="2C3E8212" w14:textId="77777777" w:rsidR="00B132B1" w:rsidRDefault="00A54DEE">
            <w:pPr>
              <w:spacing w:after="0" w:line="240" w:lineRule="auto"/>
              <w:rPr>
                <w:rFonts w:eastAsia="Times New Roman"/>
              </w:rPr>
            </w:pPr>
            <w:r>
              <w:rPr>
                <w:rFonts w:eastAsia="Times New Roman"/>
              </w:rPr>
              <w:t>23</w:t>
            </w:r>
          </w:p>
        </w:tc>
        <w:tc>
          <w:tcPr>
            <w:tcW w:w="4252" w:type="dxa"/>
            <w:shd w:val="clear" w:color="auto" w:fill="auto"/>
            <w:tcMar>
              <w:left w:w="108" w:type="dxa"/>
            </w:tcMar>
          </w:tcPr>
          <w:p w14:paraId="7510A58E" w14:textId="77777777" w:rsidR="00B132B1" w:rsidRDefault="00A54DEE">
            <w:pPr>
              <w:pStyle w:val="gmail-msocommenttext"/>
              <w:spacing w:before="280" w:after="0"/>
            </w:pPr>
            <w:r>
              <w:rPr>
                <w:rFonts w:ascii="Calibri" w:eastAsia="Times New Roman" w:hAnsi="Calibri" w:cs="Calibri"/>
                <w:color w:val="000000"/>
                <w:sz w:val="22"/>
                <w:szCs w:val="22"/>
                <w:lang w:eastAsia="en-US"/>
              </w:rPr>
              <w:t xml:space="preserve">Zanima nas da li udruga prijavitelj koja ima u svom temeljnom aktu (Statutu) navedenu kulturnu, odnosno umjetničku djelatnost, </w:t>
            </w:r>
            <w:r>
              <w:rPr>
                <w:rFonts w:ascii="Calibri" w:eastAsia="Times New Roman" w:hAnsi="Calibri" w:cs="Calibri"/>
                <w:color w:val="000000"/>
                <w:sz w:val="22"/>
                <w:szCs w:val="22"/>
                <w:lang w:eastAsia="en-US"/>
              </w:rPr>
              <w:lastRenderedPageBreak/>
              <w:t>treba imati Rješenje o upisu umjetničke organizacije u Registar umjetničkih organizacija koje donosi Ministarstvo kulture?</w:t>
            </w:r>
          </w:p>
        </w:tc>
        <w:tc>
          <w:tcPr>
            <w:tcW w:w="4253" w:type="dxa"/>
            <w:shd w:val="clear" w:color="auto" w:fill="auto"/>
            <w:tcMar>
              <w:left w:w="108" w:type="dxa"/>
            </w:tcMar>
          </w:tcPr>
          <w:p w14:paraId="1AAC418F"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lastRenderedPageBreak/>
              <w:t xml:space="preserve">Udruga ne treba biti upisana u Registar umjetničkih organizacija. U vezi uvjeta </w:t>
            </w:r>
            <w:r>
              <w:rPr>
                <w:rFonts w:eastAsia="Times New Roman" w:cstheme="minorBidi"/>
                <w:sz w:val="22"/>
                <w:szCs w:val="22"/>
                <w:lang w:eastAsia="en-US"/>
              </w:rPr>
              <w:lastRenderedPageBreak/>
              <w:t>prihvatljivosti udruge kao prijavitelja, molimo pogledati odgovor br. 20.</w:t>
            </w:r>
          </w:p>
        </w:tc>
      </w:tr>
      <w:tr w:rsidR="00B132B1" w14:paraId="02897412" w14:textId="77777777">
        <w:tc>
          <w:tcPr>
            <w:tcW w:w="562" w:type="dxa"/>
            <w:shd w:val="clear" w:color="auto" w:fill="auto"/>
            <w:tcMar>
              <w:left w:w="108" w:type="dxa"/>
            </w:tcMar>
          </w:tcPr>
          <w:p w14:paraId="23DEAAAF" w14:textId="77777777" w:rsidR="00B132B1" w:rsidRDefault="00A54DEE">
            <w:pPr>
              <w:spacing w:after="0" w:line="240" w:lineRule="auto"/>
              <w:rPr>
                <w:rFonts w:eastAsia="Times New Roman"/>
              </w:rPr>
            </w:pPr>
            <w:r>
              <w:rPr>
                <w:rFonts w:eastAsia="Times New Roman"/>
              </w:rPr>
              <w:lastRenderedPageBreak/>
              <w:t>24</w:t>
            </w:r>
          </w:p>
        </w:tc>
        <w:tc>
          <w:tcPr>
            <w:tcW w:w="4252" w:type="dxa"/>
            <w:shd w:val="clear" w:color="auto" w:fill="auto"/>
            <w:tcMar>
              <w:left w:w="108" w:type="dxa"/>
            </w:tcMar>
          </w:tcPr>
          <w:p w14:paraId="3046CF45" w14:textId="77777777" w:rsidR="00B132B1" w:rsidRDefault="00A54DEE">
            <w:pPr>
              <w:spacing w:after="0" w:line="240" w:lineRule="auto"/>
            </w:pPr>
            <w:r>
              <w:t>Da li na natječaj mogu aplicirati turističke zajednice područja, obzirom da su JLS osnivači?</w:t>
            </w:r>
          </w:p>
        </w:tc>
        <w:tc>
          <w:tcPr>
            <w:tcW w:w="4253" w:type="dxa"/>
            <w:shd w:val="clear" w:color="auto" w:fill="auto"/>
            <w:tcMar>
              <w:left w:w="108" w:type="dxa"/>
            </w:tcMar>
          </w:tcPr>
          <w:p w14:paraId="278A5FC9" w14:textId="77777777" w:rsidR="00B132B1" w:rsidRDefault="00A54DEE">
            <w:pPr>
              <w:pStyle w:val="FootnoteText"/>
              <w:rPr>
                <w:rFonts w:asciiTheme="minorHAnsi" w:eastAsiaTheme="minorHAnsi" w:hAnsiTheme="minorHAnsi" w:cstheme="minorBidi"/>
                <w:sz w:val="22"/>
                <w:szCs w:val="22"/>
                <w:lang w:eastAsia="en-US"/>
              </w:rPr>
            </w:pPr>
            <w:r>
              <w:rPr>
                <w:rFonts w:eastAsiaTheme="minorHAnsi" w:cstheme="minorBidi"/>
                <w:sz w:val="22"/>
                <w:szCs w:val="22"/>
                <w:lang w:eastAsia="en-US"/>
              </w:rPr>
              <w:t xml:space="preserve">Sukladno točki 2.2.1 </w:t>
            </w:r>
            <w:r>
              <w:rPr>
                <w:rFonts w:eastAsiaTheme="minorHAnsi" w:cstheme="minorBidi"/>
                <w:i/>
                <w:sz w:val="22"/>
                <w:szCs w:val="22"/>
                <w:lang w:eastAsia="en-US"/>
              </w:rPr>
              <w:t>Prihvatljivi prijavitelji</w:t>
            </w:r>
            <w:r>
              <w:rPr>
                <w:rFonts w:eastAsiaTheme="minorHAnsi" w:cstheme="minorBidi"/>
                <w:sz w:val="22"/>
                <w:szCs w:val="22"/>
                <w:lang w:eastAsia="en-US"/>
              </w:rPr>
              <w:t xml:space="preserve"> Uputa za prijavitelje, turističke zajednice nisu prihvatljivi prijavitelji u okviru Poziva.</w:t>
            </w:r>
          </w:p>
        </w:tc>
      </w:tr>
      <w:tr w:rsidR="00B132B1" w14:paraId="0E06FDD8" w14:textId="77777777">
        <w:tc>
          <w:tcPr>
            <w:tcW w:w="562" w:type="dxa"/>
            <w:shd w:val="clear" w:color="auto" w:fill="auto"/>
            <w:tcMar>
              <w:left w:w="108" w:type="dxa"/>
            </w:tcMar>
          </w:tcPr>
          <w:p w14:paraId="6E36860B" w14:textId="77777777" w:rsidR="00B132B1" w:rsidRDefault="00A54DEE">
            <w:pPr>
              <w:spacing w:after="0" w:line="240" w:lineRule="auto"/>
              <w:rPr>
                <w:rFonts w:eastAsia="Times New Roman"/>
              </w:rPr>
            </w:pPr>
            <w:r>
              <w:rPr>
                <w:rFonts w:eastAsia="Times New Roman"/>
              </w:rPr>
              <w:t>25</w:t>
            </w:r>
          </w:p>
        </w:tc>
        <w:tc>
          <w:tcPr>
            <w:tcW w:w="4252" w:type="dxa"/>
            <w:shd w:val="clear" w:color="auto" w:fill="auto"/>
            <w:tcMar>
              <w:left w:w="108" w:type="dxa"/>
            </w:tcMar>
          </w:tcPr>
          <w:p w14:paraId="3CC133FB" w14:textId="77777777" w:rsidR="00B132B1" w:rsidRDefault="00A54DEE">
            <w:pPr>
              <w:spacing w:after="0"/>
            </w:pPr>
            <w:r>
              <w:t>Da li je moguće da korisnici osmišljenog programa (ciljna skupina) budu i iz jedinice lokalne samouprave koja ne sudjeluje u projektu kao partner ili je projektni prijedlog namijenjen isključivo stanovništvu sa područja jedinice lokalne samouprave koja je prijavitelj?</w:t>
            </w:r>
          </w:p>
          <w:p w14:paraId="5AF408D0" w14:textId="77777777" w:rsidR="00B132B1" w:rsidRDefault="00B132B1">
            <w:pPr>
              <w:spacing w:after="0"/>
              <w:rPr>
                <w:rFonts w:eastAsia="Times New Roman"/>
              </w:rPr>
            </w:pPr>
          </w:p>
        </w:tc>
        <w:tc>
          <w:tcPr>
            <w:tcW w:w="4253" w:type="dxa"/>
            <w:shd w:val="clear" w:color="auto" w:fill="auto"/>
            <w:tcMar>
              <w:left w:w="108" w:type="dxa"/>
            </w:tcMar>
          </w:tcPr>
          <w:p w14:paraId="5F02EB3A" w14:textId="77777777" w:rsidR="00B132B1" w:rsidRDefault="00A54DEE">
            <w:pPr>
              <w:spacing w:after="0" w:line="240" w:lineRule="auto"/>
              <w:rPr>
                <w:rFonts w:eastAsia="Times New Roman"/>
              </w:rPr>
            </w:pPr>
            <w:r>
              <w:rPr>
                <w:rFonts w:eastAsia="Times New Roman"/>
              </w:rPr>
              <w:t xml:space="preserve">U okviru ovog Poziva nije propisano da sudionici i prijavitelj/partner moraju imati prebivalište odnosno sjedište u istoj jedinici lokalne ili područne (regionalne) samouprave. </w:t>
            </w:r>
          </w:p>
        </w:tc>
      </w:tr>
      <w:tr w:rsidR="00B132B1" w14:paraId="6679F210" w14:textId="77777777">
        <w:tc>
          <w:tcPr>
            <w:tcW w:w="562" w:type="dxa"/>
            <w:shd w:val="clear" w:color="auto" w:fill="auto"/>
            <w:tcMar>
              <w:left w:w="108" w:type="dxa"/>
            </w:tcMar>
          </w:tcPr>
          <w:p w14:paraId="3D44FEEB" w14:textId="77777777" w:rsidR="00B132B1" w:rsidRDefault="00A54DEE">
            <w:pPr>
              <w:spacing w:after="0" w:line="240" w:lineRule="auto"/>
              <w:rPr>
                <w:rFonts w:eastAsia="Times New Roman"/>
              </w:rPr>
            </w:pPr>
            <w:r>
              <w:rPr>
                <w:rFonts w:eastAsia="Times New Roman"/>
              </w:rPr>
              <w:t>26</w:t>
            </w:r>
          </w:p>
        </w:tc>
        <w:tc>
          <w:tcPr>
            <w:tcW w:w="4252" w:type="dxa"/>
            <w:shd w:val="clear" w:color="auto" w:fill="auto"/>
            <w:tcMar>
              <w:left w:w="108" w:type="dxa"/>
            </w:tcMar>
          </w:tcPr>
          <w:p w14:paraId="1AF440BC" w14:textId="77777777" w:rsidR="00B132B1" w:rsidRDefault="00A54DEE">
            <w:pPr>
              <w:spacing w:after="0"/>
            </w:pPr>
            <w:r>
              <w:t>U slučaju partnerstva na projektu da li je nužno da partner financijski sudjeluje u provedbi projekta ili prijavitelj može kompletno privremeno financiranje preuzeti na sebe?</w:t>
            </w:r>
          </w:p>
          <w:p w14:paraId="27642B17" w14:textId="77777777" w:rsidR="00B132B1" w:rsidRDefault="00B132B1">
            <w:pPr>
              <w:spacing w:after="0"/>
            </w:pPr>
          </w:p>
        </w:tc>
        <w:tc>
          <w:tcPr>
            <w:tcW w:w="4253" w:type="dxa"/>
            <w:shd w:val="clear" w:color="auto" w:fill="auto"/>
            <w:tcMar>
              <w:left w:w="108" w:type="dxa"/>
            </w:tcMar>
          </w:tcPr>
          <w:p w14:paraId="3E29D916" w14:textId="7C300F10" w:rsidR="00B132B1" w:rsidRDefault="00A54DEE" w:rsidP="004A5206">
            <w:pPr>
              <w:spacing w:after="0"/>
              <w:rPr>
                <w:rFonts w:eastAsia="Times New Roman"/>
              </w:rPr>
            </w:pPr>
            <w:r>
              <w:t xml:space="preserve">Sukladno Uputama za prijavitelje, partner je osoba javnog ili privatnog prava koja koristi dio projektnih sredstava i sudjeluje u provedbi projektnih aktivnosti. </w:t>
            </w:r>
          </w:p>
        </w:tc>
      </w:tr>
      <w:tr w:rsidR="00B132B1" w14:paraId="15B6C4FA" w14:textId="77777777">
        <w:tc>
          <w:tcPr>
            <w:tcW w:w="562" w:type="dxa"/>
            <w:shd w:val="clear" w:color="auto" w:fill="auto"/>
            <w:tcMar>
              <w:left w:w="108" w:type="dxa"/>
            </w:tcMar>
          </w:tcPr>
          <w:p w14:paraId="6F483E2E" w14:textId="77777777" w:rsidR="00B132B1" w:rsidRDefault="00A54DEE">
            <w:pPr>
              <w:spacing w:after="0" w:line="240" w:lineRule="auto"/>
              <w:rPr>
                <w:rFonts w:eastAsia="Times New Roman"/>
              </w:rPr>
            </w:pPr>
            <w:r>
              <w:rPr>
                <w:rFonts w:eastAsia="Times New Roman"/>
              </w:rPr>
              <w:t>27</w:t>
            </w:r>
          </w:p>
        </w:tc>
        <w:tc>
          <w:tcPr>
            <w:tcW w:w="4252" w:type="dxa"/>
            <w:shd w:val="clear" w:color="auto" w:fill="auto"/>
            <w:tcMar>
              <w:left w:w="108" w:type="dxa"/>
            </w:tcMar>
          </w:tcPr>
          <w:p w14:paraId="418659E8" w14:textId="77777777" w:rsidR="00B132B1" w:rsidRDefault="00A54DEE">
            <w:pPr>
              <w:spacing w:after="0"/>
            </w:pPr>
            <w:r>
              <w:t>Da li je dozvoljen trošak stranog predavača/ umjetnika u svrhu ostvarenja ciljeva poziva?</w:t>
            </w:r>
          </w:p>
          <w:p w14:paraId="5A33E209" w14:textId="77777777" w:rsidR="00B132B1" w:rsidRDefault="00B132B1">
            <w:pPr>
              <w:spacing w:after="0"/>
            </w:pPr>
          </w:p>
        </w:tc>
        <w:tc>
          <w:tcPr>
            <w:tcW w:w="4253" w:type="dxa"/>
            <w:shd w:val="clear" w:color="auto" w:fill="auto"/>
            <w:tcMar>
              <w:left w:w="108" w:type="dxa"/>
            </w:tcMar>
          </w:tcPr>
          <w:p w14:paraId="13735B6C" w14:textId="77777777" w:rsidR="00B132B1" w:rsidRDefault="00A54DEE">
            <w:pPr>
              <w:pStyle w:val="FootnoteText"/>
              <w:rPr>
                <w:sz w:val="22"/>
                <w:szCs w:val="22"/>
              </w:rPr>
            </w:pPr>
            <w:r>
              <w:rPr>
                <w:sz w:val="22"/>
                <w:szCs w:val="22"/>
              </w:rPr>
              <w:t xml:space="preserve">Angažman stručnjaka iz inozemstva, primjerice putem ugovora o djelu ili ugovora o autorskom djelu, prihvatljiv je trošak ukoliko je takav angažman nužan za ostvarenje jednog ili više ciljeva projekta te ukoliko zadovoljava ostale uvjete navedene u točki 4.1.1 </w:t>
            </w:r>
            <w:r>
              <w:rPr>
                <w:i/>
                <w:sz w:val="22"/>
                <w:szCs w:val="22"/>
              </w:rPr>
              <w:t xml:space="preserve">Prihvatljivi izdaci, </w:t>
            </w:r>
            <w:r>
              <w:rPr>
                <w:sz w:val="22"/>
                <w:szCs w:val="22"/>
              </w:rPr>
              <w:t>Uputa za prijavitelje.</w:t>
            </w:r>
          </w:p>
          <w:p w14:paraId="4B870424" w14:textId="77777777" w:rsidR="00B132B1" w:rsidRDefault="00A54DEE">
            <w:pPr>
              <w:spacing w:after="0"/>
              <w:rPr>
                <w:rFonts w:eastAsia="Times New Roman"/>
              </w:rPr>
            </w:pPr>
            <w:r>
              <w:t xml:space="preserve">Napominjemo da se kriterijem 2.4. </w:t>
            </w:r>
            <w:r>
              <w:rPr>
                <w:i/>
              </w:rPr>
              <w:t>Proračun projektnog prijedloga</w:t>
            </w:r>
            <w:r>
              <w:t xml:space="preserve"> ocjenjuje opravdanost proračuna projektnog prijedloga u odnosu na projektne aktivnosti i očekivane rezultate, mjerljive ishode i ciljeve.</w:t>
            </w:r>
          </w:p>
        </w:tc>
      </w:tr>
      <w:tr w:rsidR="00B132B1" w14:paraId="52A9567E" w14:textId="77777777">
        <w:tc>
          <w:tcPr>
            <w:tcW w:w="562" w:type="dxa"/>
            <w:shd w:val="clear" w:color="auto" w:fill="auto"/>
            <w:tcMar>
              <w:left w:w="108" w:type="dxa"/>
            </w:tcMar>
          </w:tcPr>
          <w:p w14:paraId="1FAF73E1" w14:textId="77777777" w:rsidR="00B132B1" w:rsidRDefault="00A54DEE">
            <w:pPr>
              <w:spacing w:after="0" w:line="240" w:lineRule="auto"/>
              <w:rPr>
                <w:rFonts w:eastAsia="Times New Roman"/>
              </w:rPr>
            </w:pPr>
            <w:r>
              <w:rPr>
                <w:rFonts w:eastAsia="Times New Roman"/>
              </w:rPr>
              <w:t>28</w:t>
            </w:r>
          </w:p>
        </w:tc>
        <w:tc>
          <w:tcPr>
            <w:tcW w:w="4252" w:type="dxa"/>
            <w:shd w:val="clear" w:color="auto" w:fill="auto"/>
            <w:tcMar>
              <w:left w:w="108" w:type="dxa"/>
            </w:tcMar>
          </w:tcPr>
          <w:p w14:paraId="28FD3609" w14:textId="77777777" w:rsidR="00B132B1" w:rsidRDefault="00A54DEE">
            <w:pPr>
              <w:spacing w:after="240"/>
            </w:pPr>
            <w:r>
              <w:t>Da li je u svrhu ostvarenja ciljeva poziva prihvatljiv trošak putovanja u inozemstvo?</w:t>
            </w:r>
          </w:p>
          <w:p w14:paraId="150ED30F" w14:textId="77777777" w:rsidR="00B132B1" w:rsidRDefault="00B132B1">
            <w:pPr>
              <w:spacing w:after="0"/>
            </w:pPr>
          </w:p>
        </w:tc>
        <w:tc>
          <w:tcPr>
            <w:tcW w:w="4253" w:type="dxa"/>
            <w:shd w:val="clear" w:color="auto" w:fill="auto"/>
            <w:tcMar>
              <w:left w:w="108" w:type="dxa"/>
            </w:tcMar>
          </w:tcPr>
          <w:p w14:paraId="74C3AD7A" w14:textId="77777777" w:rsidR="00B132B1" w:rsidRDefault="00A54DEE">
            <w:pPr>
              <w:spacing w:after="0" w:line="240" w:lineRule="auto"/>
            </w:pPr>
            <w:r>
              <w:t xml:space="preserve">Pojedine aktivnosti, poput studijskog putovanja, moguće je organizirati izvan teritorija RH ako je to opravdano i nužno za postizanje ciljeva projekta te je u tom slučaju riječ o prihvatljivom trošku. </w:t>
            </w:r>
          </w:p>
          <w:p w14:paraId="11E32905" w14:textId="77777777" w:rsidR="00B132B1" w:rsidRDefault="00A54DEE">
            <w:pPr>
              <w:spacing w:after="0" w:line="240" w:lineRule="auto"/>
              <w:rPr>
                <w:rFonts w:eastAsia="Times New Roman"/>
              </w:rPr>
            </w:pPr>
            <w:r>
              <w:t>Molimo vidjeti i odgovor na pitanje br. 27.</w:t>
            </w:r>
          </w:p>
        </w:tc>
      </w:tr>
      <w:tr w:rsidR="00B132B1" w14:paraId="055D80B0" w14:textId="77777777">
        <w:tc>
          <w:tcPr>
            <w:tcW w:w="562" w:type="dxa"/>
            <w:shd w:val="clear" w:color="auto" w:fill="auto"/>
            <w:tcMar>
              <w:left w:w="108" w:type="dxa"/>
            </w:tcMar>
          </w:tcPr>
          <w:p w14:paraId="45680A06" w14:textId="77777777" w:rsidR="00B132B1" w:rsidRDefault="00A54DEE">
            <w:pPr>
              <w:spacing w:after="0" w:line="240" w:lineRule="auto"/>
              <w:rPr>
                <w:rFonts w:eastAsia="Times New Roman"/>
              </w:rPr>
            </w:pPr>
            <w:r>
              <w:rPr>
                <w:rFonts w:eastAsia="Times New Roman"/>
              </w:rPr>
              <w:t>29</w:t>
            </w:r>
          </w:p>
        </w:tc>
        <w:tc>
          <w:tcPr>
            <w:tcW w:w="4252" w:type="dxa"/>
            <w:shd w:val="clear" w:color="auto" w:fill="auto"/>
            <w:tcMar>
              <w:left w:w="108" w:type="dxa"/>
            </w:tcMar>
          </w:tcPr>
          <w:p w14:paraId="43555162" w14:textId="418DACB1" w:rsidR="00B132B1" w:rsidRDefault="004A5206">
            <w:pPr>
              <w:spacing w:after="0"/>
            </w:pPr>
            <w:r>
              <w:t>I</w:t>
            </w:r>
            <w:r w:rsidR="00A54DEE">
              <w:t xml:space="preserve">mamo nedoumicu vezano za tumačenje poglavlja 2.2.1. Prihvatljivi prijavitelji. Možete li pojasnit uvjet 1. biti pravna osoba javnog ili privatnog prava - umjetnička organizacija, udruga u području kulture i umjetnosti, zaklada te zadruga koja u svom </w:t>
            </w:r>
            <w:r w:rsidR="00A54DEE">
              <w:lastRenderedPageBreak/>
              <w:t>temeljnom aktu ima navedenu kulturnu, odnosno umjetničku djelatnost.</w:t>
            </w:r>
          </w:p>
          <w:p w14:paraId="3B200833" w14:textId="77777777" w:rsidR="00B132B1" w:rsidRDefault="00A54DEE">
            <w:pPr>
              <w:spacing w:after="0"/>
            </w:pPr>
            <w:r>
              <w:t>Zanima nas udruga kojoj je osnovna socijalna djelatnost, tj. okuplja osobe s invaliditetom te u temeljnom aktu - STATUTU udruge navodi se i djelatnost kulture i umjetnosti dali je ta udruga prihvatljiv prijavitelj na poziv?</w:t>
            </w:r>
          </w:p>
        </w:tc>
        <w:tc>
          <w:tcPr>
            <w:tcW w:w="4253" w:type="dxa"/>
            <w:shd w:val="clear" w:color="auto" w:fill="auto"/>
            <w:tcMar>
              <w:left w:w="108" w:type="dxa"/>
            </w:tcMar>
          </w:tcPr>
          <w:p w14:paraId="56E76012" w14:textId="77777777" w:rsidR="00B132B1" w:rsidRDefault="00A54DEE">
            <w:pPr>
              <w:spacing w:after="0" w:line="240" w:lineRule="auto"/>
              <w:rPr>
                <w:rFonts w:eastAsia="Times New Roman"/>
              </w:rPr>
            </w:pPr>
            <w:r>
              <w:rPr>
                <w:rFonts w:eastAsia="Times New Roman"/>
              </w:rPr>
              <w:lastRenderedPageBreak/>
              <w:t xml:space="preserve">Sukladno točki 2.2.1 </w:t>
            </w:r>
            <w:r>
              <w:rPr>
                <w:rFonts w:eastAsia="Times New Roman"/>
                <w:i/>
              </w:rPr>
              <w:t xml:space="preserve">Prihvatljivi prijavitelji, </w:t>
            </w:r>
            <w:r>
              <w:rPr>
                <w:rFonts w:eastAsia="Times New Roman"/>
              </w:rPr>
              <w:t>udruga koja u svom temeljnom aktu (statutu) ima navedenu kulturnu odnosno umjetničku djelatnost prihvatljiv je prijavitelj na ovaj Poziv.</w:t>
            </w:r>
          </w:p>
        </w:tc>
      </w:tr>
      <w:tr w:rsidR="00B132B1" w14:paraId="2D86F948" w14:textId="77777777">
        <w:tc>
          <w:tcPr>
            <w:tcW w:w="562" w:type="dxa"/>
            <w:shd w:val="clear" w:color="auto" w:fill="auto"/>
            <w:tcMar>
              <w:left w:w="108" w:type="dxa"/>
            </w:tcMar>
          </w:tcPr>
          <w:p w14:paraId="6F1E93DC" w14:textId="77777777" w:rsidR="00B132B1" w:rsidRDefault="00A54DEE">
            <w:pPr>
              <w:spacing w:after="0" w:line="240" w:lineRule="auto"/>
              <w:rPr>
                <w:rFonts w:eastAsia="Times New Roman"/>
              </w:rPr>
            </w:pPr>
            <w:r>
              <w:rPr>
                <w:rFonts w:eastAsia="Times New Roman"/>
              </w:rPr>
              <w:t>30</w:t>
            </w:r>
          </w:p>
        </w:tc>
        <w:tc>
          <w:tcPr>
            <w:tcW w:w="4252" w:type="dxa"/>
            <w:shd w:val="clear" w:color="auto" w:fill="auto"/>
            <w:tcMar>
              <w:left w:w="108" w:type="dxa"/>
            </w:tcMar>
          </w:tcPr>
          <w:p w14:paraId="031B5A68" w14:textId="77777777" w:rsidR="00B132B1" w:rsidRDefault="00A54DEE">
            <w:pPr>
              <w:spacing w:after="0"/>
            </w:pPr>
            <w:r>
              <w:t xml:space="preserve">Molio bih Vas odgovor vezano uz prihvatljivost prijavitelja i partnera u okviru ESF Poziva „Umjetnost i kultura 54+“. </w:t>
            </w:r>
          </w:p>
          <w:p w14:paraId="4B680872" w14:textId="77777777" w:rsidR="00B132B1" w:rsidRDefault="00B132B1">
            <w:pPr>
              <w:spacing w:after="0"/>
            </w:pPr>
          </w:p>
          <w:p w14:paraId="7118CDE3" w14:textId="77777777" w:rsidR="00B132B1" w:rsidRDefault="00A54DEE">
            <w:pPr>
              <w:spacing w:after="0"/>
            </w:pPr>
            <w:r>
              <w:t xml:space="preserve">Partner s kojim mislimo prijavljivati projektni prijedlog u statutu ima navedene slijedeće djelatnosti: </w:t>
            </w:r>
          </w:p>
          <w:p w14:paraId="5F9F7174" w14:textId="77777777" w:rsidR="00B132B1" w:rsidRDefault="00A54DEE">
            <w:pPr>
              <w:pStyle w:val="ListParagraph"/>
              <w:numPr>
                <w:ilvl w:val="0"/>
                <w:numId w:val="2"/>
              </w:numPr>
            </w:pPr>
            <w:r>
              <w:t xml:space="preserve">obavljanje djelatnosti osnovnoškolske i srednjoškolske naobrazbe odraslih, </w:t>
            </w:r>
          </w:p>
          <w:p w14:paraId="02D04FE1" w14:textId="77777777" w:rsidR="00B132B1" w:rsidRDefault="00A54DEE">
            <w:pPr>
              <w:pStyle w:val="ListParagraph"/>
              <w:numPr>
                <w:ilvl w:val="0"/>
                <w:numId w:val="2"/>
              </w:numPr>
            </w:pPr>
            <w:r>
              <w:rPr>
                <w:b/>
                <w:bCs/>
              </w:rPr>
              <w:t>djelatnosti glazbenih i srodnih škola izvan redovitoga školskog sustava</w:t>
            </w:r>
            <w:r>
              <w:t xml:space="preserve">, </w:t>
            </w:r>
          </w:p>
          <w:p w14:paraId="0C950AF6" w14:textId="77777777" w:rsidR="00B132B1" w:rsidRDefault="00A54DEE">
            <w:pPr>
              <w:pStyle w:val="ListParagraph"/>
              <w:numPr>
                <w:ilvl w:val="0"/>
                <w:numId w:val="2"/>
              </w:numPr>
            </w:pPr>
            <w:r>
              <w:rPr>
                <w:b/>
                <w:bCs/>
              </w:rPr>
              <w:t>djelatnosti javnog prikazivanja filmova</w:t>
            </w:r>
            <w:r>
              <w:t xml:space="preserve">, </w:t>
            </w:r>
          </w:p>
          <w:p w14:paraId="4CD236E4" w14:textId="77777777" w:rsidR="00B132B1" w:rsidRDefault="00A54DEE">
            <w:pPr>
              <w:pStyle w:val="ListParagraph"/>
              <w:numPr>
                <w:ilvl w:val="0"/>
                <w:numId w:val="2"/>
              </w:numPr>
            </w:pPr>
            <w:r>
              <w:rPr>
                <w:b/>
                <w:bCs/>
              </w:rPr>
              <w:t>novinsko-nakladničke djelatnosti</w:t>
            </w:r>
            <w:r>
              <w:t>,</w:t>
            </w:r>
          </w:p>
          <w:p w14:paraId="3790AA27" w14:textId="77777777" w:rsidR="00B132B1" w:rsidRDefault="00A54DEE">
            <w:pPr>
              <w:pStyle w:val="ListParagraph"/>
              <w:numPr>
                <w:ilvl w:val="0"/>
                <w:numId w:val="2"/>
              </w:numPr>
            </w:pPr>
            <w:r>
              <w:t xml:space="preserve">radijske i televizijske djelatnosti, i </w:t>
            </w:r>
          </w:p>
          <w:p w14:paraId="43DC62D9" w14:textId="77777777" w:rsidR="00B132B1" w:rsidRDefault="00A54DEE">
            <w:pPr>
              <w:pStyle w:val="ListParagraph"/>
              <w:numPr>
                <w:ilvl w:val="0"/>
                <w:numId w:val="2"/>
              </w:numPr>
            </w:pPr>
            <w:r>
              <w:t xml:space="preserve">obavljanje djelatnosti u svezi s osposobljavanjem, usavršavanjem i prekvalifikacijom mladeži i odraslih izvan sustava redovite naobrazbe. </w:t>
            </w:r>
          </w:p>
          <w:p w14:paraId="78C90003" w14:textId="77777777" w:rsidR="00B132B1" w:rsidRDefault="00B132B1">
            <w:pPr>
              <w:spacing w:after="0"/>
            </w:pPr>
          </w:p>
          <w:p w14:paraId="5212637B" w14:textId="77777777" w:rsidR="00B132B1" w:rsidRDefault="00A54DEE">
            <w:pPr>
              <w:spacing w:after="0"/>
            </w:pPr>
            <w:r>
              <w:t xml:space="preserve">Jesu li aktivnosti </w:t>
            </w:r>
            <w:r>
              <w:rPr>
                <w:b/>
                <w:bCs/>
              </w:rPr>
              <w:t>djelatnosti glazbenih i srodnih škola izvan redovitoga školskog sustava, djelatnosti javnog prikazivanja filmova i novinsko-nakladnička djelatnost</w:t>
            </w:r>
            <w:r>
              <w:t xml:space="preserve">, dovoljne da se ustanovu smatra kao ustanovom koja obavlja kulturnu, odnosno umjetničku djelatnost. U ovom slučaju radi se o pučkom otvorenom učilištu kao pravnoj osobi privatnog prava. </w:t>
            </w:r>
          </w:p>
          <w:p w14:paraId="267F5135" w14:textId="77777777" w:rsidR="00B132B1" w:rsidRDefault="00B132B1">
            <w:pPr>
              <w:tabs>
                <w:tab w:val="left" w:pos="1095"/>
              </w:tabs>
              <w:spacing w:after="0"/>
            </w:pPr>
          </w:p>
        </w:tc>
        <w:tc>
          <w:tcPr>
            <w:tcW w:w="4253" w:type="dxa"/>
            <w:shd w:val="clear" w:color="auto" w:fill="auto"/>
            <w:tcMar>
              <w:left w:w="108" w:type="dxa"/>
            </w:tcMar>
          </w:tcPr>
          <w:p w14:paraId="7D5B2AD4" w14:textId="77777777" w:rsidR="00B132B1" w:rsidRDefault="00A54DEE">
            <w:pPr>
              <w:pStyle w:val="FootnoteText"/>
              <w:rPr>
                <w:rFonts w:asciiTheme="minorHAnsi" w:eastAsia="Times New Roman" w:hAnsiTheme="minorHAnsi" w:cstheme="minorBidi"/>
                <w:sz w:val="22"/>
                <w:szCs w:val="22"/>
                <w:lang w:eastAsia="en-US"/>
              </w:rPr>
            </w:pPr>
            <w:r w:rsidRPr="004A5206">
              <w:rPr>
                <w:rFonts w:eastAsiaTheme="minorHAnsi" w:cstheme="minorBidi"/>
                <w:sz w:val="22"/>
                <w:szCs w:val="22"/>
                <w:lang w:eastAsia="en-US"/>
              </w:rPr>
              <w:t xml:space="preserve">Pučka otvorena učilišta (POU) registrirana za obavljanje navedenih djelatnosti u području kulture prihvatljivi su prijavitelj/partner u okviru ovog Poziva, sukladno točki 2.2.1. </w:t>
            </w:r>
            <w:r w:rsidRPr="004A5206">
              <w:rPr>
                <w:rFonts w:eastAsiaTheme="minorHAnsi" w:cstheme="minorBidi"/>
                <w:i/>
                <w:sz w:val="22"/>
                <w:szCs w:val="22"/>
                <w:lang w:eastAsia="en-US"/>
              </w:rPr>
              <w:t xml:space="preserve">Prihvatljivi prijavitelji </w:t>
            </w:r>
            <w:r w:rsidRPr="004A5206">
              <w:rPr>
                <w:rFonts w:eastAsiaTheme="minorHAnsi" w:cstheme="minorBidi"/>
                <w:sz w:val="22"/>
                <w:szCs w:val="22"/>
                <w:lang w:eastAsia="en-US"/>
              </w:rPr>
              <w:t>Uputa za prijavitelje.</w:t>
            </w:r>
          </w:p>
        </w:tc>
      </w:tr>
      <w:tr w:rsidR="00B132B1" w14:paraId="0F4AE2E5" w14:textId="77777777">
        <w:tc>
          <w:tcPr>
            <w:tcW w:w="562" w:type="dxa"/>
            <w:shd w:val="clear" w:color="auto" w:fill="auto"/>
            <w:tcMar>
              <w:left w:w="108" w:type="dxa"/>
            </w:tcMar>
          </w:tcPr>
          <w:p w14:paraId="2E161926" w14:textId="77777777" w:rsidR="00B132B1" w:rsidRDefault="00A54DEE">
            <w:pPr>
              <w:spacing w:after="0" w:line="240" w:lineRule="auto"/>
              <w:rPr>
                <w:rFonts w:eastAsia="Times New Roman"/>
              </w:rPr>
            </w:pPr>
            <w:r>
              <w:rPr>
                <w:rFonts w:eastAsia="Times New Roman"/>
              </w:rPr>
              <w:t>31</w:t>
            </w:r>
          </w:p>
        </w:tc>
        <w:tc>
          <w:tcPr>
            <w:tcW w:w="4252" w:type="dxa"/>
            <w:shd w:val="clear" w:color="auto" w:fill="auto"/>
            <w:tcMar>
              <w:left w:w="108" w:type="dxa"/>
            </w:tcMar>
          </w:tcPr>
          <w:p w14:paraId="20CF800D" w14:textId="77777777" w:rsidR="00B132B1" w:rsidRDefault="00A54DEE">
            <w:pPr>
              <w:spacing w:after="0"/>
              <w:rPr>
                <w:lang w:val="en-GB"/>
              </w:rPr>
            </w:pPr>
            <w:r>
              <w:rPr>
                <w:lang w:val="en-GB"/>
              </w:rPr>
              <w:t xml:space="preserve">Mogu li u </w:t>
            </w:r>
            <w:r>
              <w:t>okviru</w:t>
            </w:r>
            <w:r>
              <w:rPr>
                <w:lang w:val="en-GB"/>
              </w:rPr>
              <w:t xml:space="preserve"> natječaja </w:t>
            </w:r>
            <w:r>
              <w:t>Umjetnost</w:t>
            </w:r>
            <w:r>
              <w:rPr>
                <w:lang w:val="en-GB"/>
              </w:rPr>
              <w:t xml:space="preserve"> i kultura 54+ kao partneri na projektu biti LAG-ovi (Lokalne ak</w:t>
            </w:r>
            <w:r>
              <w:rPr>
                <w:rFonts w:ascii="Times New Roman" w:hAnsi="Times New Roman" w:cs="Times New Roman"/>
                <w:lang w:val="en-GB"/>
              </w:rPr>
              <w:t>c</w:t>
            </w:r>
            <w:r>
              <w:rPr>
                <w:lang w:val="en-GB"/>
              </w:rPr>
              <w:t>ijske grupe)?</w:t>
            </w:r>
          </w:p>
          <w:p w14:paraId="537043DE" w14:textId="77777777" w:rsidR="00B132B1" w:rsidRDefault="00B132B1">
            <w:pPr>
              <w:spacing w:after="0"/>
              <w:rPr>
                <w:lang w:val="en-GB"/>
              </w:rPr>
            </w:pPr>
          </w:p>
          <w:p w14:paraId="14E890FD" w14:textId="77777777" w:rsidR="00B132B1" w:rsidRDefault="00B132B1">
            <w:pPr>
              <w:pStyle w:val="NormalWeb"/>
              <w:rPr>
                <w:rFonts w:asciiTheme="minorHAnsi" w:eastAsia="Times New Roman" w:hAnsiTheme="minorHAnsi" w:cstheme="minorBidi"/>
                <w:sz w:val="22"/>
                <w:szCs w:val="22"/>
                <w:lang w:eastAsia="en-US"/>
              </w:rPr>
            </w:pPr>
          </w:p>
        </w:tc>
        <w:tc>
          <w:tcPr>
            <w:tcW w:w="4253" w:type="dxa"/>
            <w:shd w:val="clear" w:color="auto" w:fill="auto"/>
            <w:tcMar>
              <w:left w:w="108" w:type="dxa"/>
            </w:tcMar>
          </w:tcPr>
          <w:p w14:paraId="390EFE9F" w14:textId="77777777" w:rsidR="00B132B1" w:rsidRDefault="00A54DEE">
            <w:pPr>
              <w:pStyle w:val="FootnoteText"/>
              <w:rPr>
                <w:rFonts w:asciiTheme="minorHAnsi" w:eastAsia="Times New Roman" w:hAnsiTheme="minorHAnsi" w:cstheme="minorBidi"/>
                <w:sz w:val="22"/>
                <w:szCs w:val="22"/>
                <w:lang w:eastAsia="en-US"/>
              </w:rPr>
            </w:pPr>
            <w:r>
              <w:rPr>
                <w:rFonts w:eastAsia="Times New Roman" w:cstheme="minorBidi"/>
                <w:sz w:val="22"/>
                <w:szCs w:val="22"/>
                <w:lang w:eastAsia="en-US"/>
              </w:rPr>
              <w:t xml:space="preserve">Prema točki </w:t>
            </w:r>
            <w:r>
              <w:rPr>
                <w:rFonts w:eastAsia="Times New Roman" w:cstheme="minorBidi"/>
                <w:i/>
                <w:sz w:val="22"/>
                <w:szCs w:val="22"/>
                <w:lang w:eastAsia="en-US"/>
              </w:rPr>
              <w:t>2.2.2. Prihvatljivi partneri</w:t>
            </w:r>
            <w:r>
              <w:rPr>
                <w:rFonts w:eastAsia="Times New Roman" w:cstheme="minorBidi"/>
                <w:sz w:val="22"/>
                <w:szCs w:val="22"/>
                <w:lang w:eastAsia="en-US"/>
              </w:rPr>
              <w:t xml:space="preserve"> Uputa za prijavitelje, udruge u području kulture i umjetnosti te udruge u području socijalne djelatnosti prihvatljivi su partneri na Poziv. Budući da su lokalne akcijske grupe (LAG-ovi) po pravnoj osobnosti udruge, prihvatljivi su partneri ukoliko su registrirane za obavljanje navedenih djelatnosti.</w:t>
            </w:r>
          </w:p>
        </w:tc>
      </w:tr>
      <w:tr w:rsidR="00B132B1" w14:paraId="2EAC8A24" w14:textId="77777777">
        <w:tc>
          <w:tcPr>
            <w:tcW w:w="562" w:type="dxa"/>
            <w:shd w:val="clear" w:color="auto" w:fill="auto"/>
            <w:tcMar>
              <w:left w:w="108" w:type="dxa"/>
            </w:tcMar>
          </w:tcPr>
          <w:p w14:paraId="46EF2975" w14:textId="77777777" w:rsidR="00B132B1" w:rsidRDefault="00A54DEE">
            <w:pPr>
              <w:spacing w:after="0" w:line="240" w:lineRule="auto"/>
              <w:rPr>
                <w:rFonts w:eastAsia="Times New Roman"/>
              </w:rPr>
            </w:pPr>
            <w:r>
              <w:rPr>
                <w:rFonts w:eastAsia="Times New Roman"/>
              </w:rPr>
              <w:lastRenderedPageBreak/>
              <w:t>32</w:t>
            </w:r>
          </w:p>
        </w:tc>
        <w:tc>
          <w:tcPr>
            <w:tcW w:w="4252" w:type="dxa"/>
            <w:shd w:val="clear" w:color="auto" w:fill="auto"/>
            <w:tcMar>
              <w:left w:w="108" w:type="dxa"/>
            </w:tcMar>
          </w:tcPr>
          <w:p w14:paraId="6016452B" w14:textId="77777777" w:rsidR="00B132B1" w:rsidRDefault="00A54DEE">
            <w:pPr>
              <w:pStyle w:val="NormalWeb"/>
              <w:rPr>
                <w:rFonts w:asciiTheme="minorHAnsi" w:eastAsia="Times New Roman" w:hAnsiTheme="minorHAnsi" w:cstheme="minorBidi"/>
                <w:sz w:val="22"/>
                <w:szCs w:val="22"/>
                <w:lang w:eastAsia="en-US"/>
              </w:rPr>
            </w:pPr>
            <w:r>
              <w:rPr>
                <w:rFonts w:ascii="Calibri" w:hAnsi="Calibri" w:cs="Calibri"/>
                <w:sz w:val="22"/>
                <w:szCs w:val="22"/>
                <w:lang w:eastAsia="en-US"/>
              </w:rPr>
              <w:t>Ukoliko radimo umjetnički kamp - jesu li nabavke materijala za izradu nošnji koje rade 55+ osobe, troškovi materijala?</w:t>
            </w:r>
          </w:p>
        </w:tc>
        <w:tc>
          <w:tcPr>
            <w:tcW w:w="4253" w:type="dxa"/>
            <w:shd w:val="clear" w:color="auto" w:fill="auto"/>
            <w:tcMar>
              <w:left w:w="108" w:type="dxa"/>
            </w:tcMar>
          </w:tcPr>
          <w:p w14:paraId="51687064" w14:textId="77777777" w:rsidR="00B132B1" w:rsidRDefault="00A54DEE">
            <w:pPr>
              <w:pStyle w:val="FootnoteText"/>
              <w:rPr>
                <w:rFonts w:asciiTheme="minorHAnsi" w:eastAsia="Times New Roman" w:hAnsiTheme="minorHAnsi" w:cstheme="minorBidi"/>
                <w:sz w:val="22"/>
                <w:szCs w:val="22"/>
                <w:lang w:eastAsia="en-US"/>
              </w:rPr>
            </w:pPr>
            <w:r>
              <w:rPr>
                <w:sz w:val="22"/>
                <w:szCs w:val="22"/>
                <w:lang w:eastAsia="en-US"/>
              </w:rPr>
              <w:t xml:space="preserve">Troškovi koje navodite su troškovi radnog materijala za provedbu projektnih aktivnosti. Prema točki 4.1.1 </w:t>
            </w:r>
            <w:r>
              <w:rPr>
                <w:i/>
                <w:iCs/>
                <w:sz w:val="22"/>
                <w:szCs w:val="22"/>
                <w:lang w:eastAsia="en-US"/>
              </w:rPr>
              <w:t>Prihvatljivi izdaci</w:t>
            </w:r>
            <w:r>
              <w:rPr>
                <w:sz w:val="22"/>
                <w:szCs w:val="22"/>
                <w:lang w:eastAsia="en-US"/>
              </w:rPr>
              <w:t xml:space="preserve"> Uputa za prijavitelje, troškovi radnog materijala za provedbu projektnih aktivnosti pripadaju kategoriji ostalih izravnih troškova.</w:t>
            </w:r>
          </w:p>
        </w:tc>
      </w:tr>
      <w:tr w:rsidR="00B132B1" w14:paraId="6755BB5C" w14:textId="77777777">
        <w:tc>
          <w:tcPr>
            <w:tcW w:w="562" w:type="dxa"/>
            <w:shd w:val="clear" w:color="auto" w:fill="auto"/>
            <w:tcMar>
              <w:left w:w="108" w:type="dxa"/>
            </w:tcMar>
          </w:tcPr>
          <w:p w14:paraId="2C3C4A71" w14:textId="77777777" w:rsidR="00B132B1" w:rsidRDefault="00A54DEE">
            <w:pPr>
              <w:spacing w:after="0" w:line="240" w:lineRule="auto"/>
              <w:rPr>
                <w:rFonts w:eastAsia="Times New Roman"/>
              </w:rPr>
            </w:pPr>
            <w:r>
              <w:rPr>
                <w:rFonts w:eastAsia="Times New Roman"/>
              </w:rPr>
              <w:t>33</w:t>
            </w:r>
          </w:p>
        </w:tc>
        <w:tc>
          <w:tcPr>
            <w:tcW w:w="4252" w:type="dxa"/>
            <w:shd w:val="clear" w:color="auto" w:fill="auto"/>
            <w:tcMar>
              <w:left w:w="108" w:type="dxa"/>
            </w:tcMar>
          </w:tcPr>
          <w:p w14:paraId="20008FD8" w14:textId="77777777" w:rsidR="00B132B1" w:rsidRDefault="00A54DEE">
            <w:pPr>
              <w:pStyle w:val="NormalWeb"/>
              <w:rPr>
                <w:rFonts w:eastAsia="Times New Roman"/>
              </w:rPr>
            </w:pPr>
            <w:r>
              <w:rPr>
                <w:rFonts w:ascii="Calibri" w:hAnsi="Calibri" w:cs="Calibri"/>
                <w:sz w:val="22"/>
                <w:szCs w:val="22"/>
                <w:lang w:eastAsia="en-US"/>
              </w:rPr>
              <w:t>Možemo li kroz javnu nabavu angažirati učitelje pjevanja, sviranja i narodnih plesova?</w:t>
            </w:r>
          </w:p>
        </w:tc>
        <w:tc>
          <w:tcPr>
            <w:tcW w:w="4253" w:type="dxa"/>
            <w:shd w:val="clear" w:color="auto" w:fill="auto"/>
            <w:tcMar>
              <w:left w:w="108" w:type="dxa"/>
            </w:tcMar>
          </w:tcPr>
          <w:p w14:paraId="509B0D30" w14:textId="77777777" w:rsidR="00B132B1" w:rsidRDefault="00A54DEE">
            <w:pPr>
              <w:pStyle w:val="FootnoteText"/>
              <w:rPr>
                <w:rFonts w:asciiTheme="minorHAnsi" w:eastAsia="Times New Roman" w:hAnsiTheme="minorHAnsi" w:cstheme="minorBidi"/>
                <w:sz w:val="22"/>
                <w:szCs w:val="22"/>
                <w:lang w:eastAsia="en-US"/>
              </w:rPr>
            </w:pPr>
            <w:r>
              <w:rPr>
                <w:sz w:val="22"/>
                <w:szCs w:val="22"/>
                <w:lang w:eastAsia="en-US"/>
              </w:rPr>
              <w:t xml:space="preserve">Prilikom nabave opreme i usluga, svi korisnici bespovratnih sredstava i partneri koji su obveznici Zakona o javnoj nabavi su dužni poštivati odredbe Zakona o javnoj nabavi, dok su ostale pravne osobe dužne poštivati odredbe „Postupci javne nabave za </w:t>
            </w:r>
            <w:proofErr w:type="spellStart"/>
            <w:r>
              <w:rPr>
                <w:sz w:val="22"/>
                <w:szCs w:val="22"/>
                <w:lang w:eastAsia="en-US"/>
              </w:rPr>
              <w:t>neobveznike</w:t>
            </w:r>
            <w:proofErr w:type="spellEnd"/>
            <w:r>
              <w:rPr>
                <w:sz w:val="22"/>
                <w:szCs w:val="22"/>
                <w:lang w:eastAsia="en-US"/>
              </w:rPr>
              <w:t xml:space="preserve"> Zakona o javnoj nabavi“ (Prilog 4 natječajne dokumentacije).</w:t>
            </w:r>
          </w:p>
        </w:tc>
      </w:tr>
      <w:tr w:rsidR="00B132B1" w14:paraId="3EEE00C1" w14:textId="77777777">
        <w:tc>
          <w:tcPr>
            <w:tcW w:w="562" w:type="dxa"/>
            <w:shd w:val="clear" w:color="auto" w:fill="auto"/>
            <w:tcMar>
              <w:left w:w="108" w:type="dxa"/>
            </w:tcMar>
          </w:tcPr>
          <w:p w14:paraId="5F0198DA" w14:textId="77777777" w:rsidR="00B132B1" w:rsidRDefault="00A54DEE">
            <w:pPr>
              <w:spacing w:after="0" w:line="240" w:lineRule="auto"/>
              <w:rPr>
                <w:rFonts w:eastAsia="Times New Roman"/>
              </w:rPr>
            </w:pPr>
            <w:r>
              <w:rPr>
                <w:rFonts w:eastAsia="Times New Roman"/>
              </w:rPr>
              <w:t>34</w:t>
            </w:r>
          </w:p>
        </w:tc>
        <w:tc>
          <w:tcPr>
            <w:tcW w:w="4252" w:type="dxa"/>
            <w:shd w:val="clear" w:color="auto" w:fill="auto"/>
            <w:tcMar>
              <w:left w:w="108" w:type="dxa"/>
            </w:tcMar>
          </w:tcPr>
          <w:p w14:paraId="5B51DAA1" w14:textId="77777777" w:rsidR="00B132B1" w:rsidRDefault="00A54DEE">
            <w:pPr>
              <w:spacing w:after="0" w:line="240" w:lineRule="auto"/>
              <w:rPr>
                <w:rFonts w:eastAsia="Times New Roman"/>
              </w:rPr>
            </w:pPr>
            <w:r>
              <w:rPr>
                <w:rFonts w:cs="Calibri"/>
              </w:rPr>
              <w:t>Kao kakvu vrstu (oprema ili nešto treće) vodite nabavku instrumenata?</w:t>
            </w:r>
          </w:p>
        </w:tc>
        <w:tc>
          <w:tcPr>
            <w:tcW w:w="4253" w:type="dxa"/>
            <w:shd w:val="clear" w:color="auto" w:fill="auto"/>
            <w:tcMar>
              <w:left w:w="108" w:type="dxa"/>
            </w:tcMar>
          </w:tcPr>
          <w:p w14:paraId="6E3D40DB" w14:textId="77777777" w:rsidR="00B132B1" w:rsidRDefault="00A54DEE">
            <w:pPr>
              <w:pStyle w:val="FootnoteText"/>
              <w:rPr>
                <w:rFonts w:asciiTheme="minorHAnsi" w:eastAsia="Times New Roman" w:hAnsiTheme="minorHAnsi" w:cstheme="minorBidi"/>
                <w:sz w:val="22"/>
                <w:szCs w:val="22"/>
                <w:lang w:eastAsia="en-US"/>
              </w:rPr>
            </w:pPr>
            <w:r>
              <w:rPr>
                <w:sz w:val="22"/>
                <w:szCs w:val="22"/>
                <w:lang w:eastAsia="en-US"/>
              </w:rPr>
              <w:t xml:space="preserve">Troškovi nabave instrumenata koji će služiti za provedbu participativnih kulturnih i umjetničkih aktivnosti pripadaju ostalim izravnim troškovima. Prihvatljivi su sukladno točki točci 4.1.1 </w:t>
            </w:r>
            <w:r>
              <w:rPr>
                <w:i/>
                <w:iCs/>
                <w:sz w:val="22"/>
                <w:szCs w:val="22"/>
                <w:lang w:eastAsia="en-US"/>
              </w:rPr>
              <w:t>Prihvatljivi izdaci</w:t>
            </w:r>
            <w:r>
              <w:rPr>
                <w:sz w:val="22"/>
                <w:szCs w:val="22"/>
                <w:lang w:eastAsia="en-US"/>
              </w:rPr>
              <w:t xml:space="preserve"> Uputa za prijavitelje.</w:t>
            </w:r>
          </w:p>
        </w:tc>
      </w:tr>
    </w:tbl>
    <w:p w14:paraId="4B9FB4DE" w14:textId="77777777" w:rsidR="00B132B1" w:rsidRDefault="00B132B1"/>
    <w:sectPr w:rsidR="00B132B1" w:rsidSect="00B132B1">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Noto Sans CJK SC Regular">
    <w:panose1 w:val="00000000000000000000"/>
    <w:charset w:val="00"/>
    <w:family w:val="roman"/>
    <w:notTrueType/>
    <w:pitch w:val="default"/>
  </w:font>
  <w:font w:name="FreeSans">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C4C18"/>
    <w:multiLevelType w:val="multilevel"/>
    <w:tmpl w:val="0CE88B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7014FD0"/>
    <w:multiLevelType w:val="multilevel"/>
    <w:tmpl w:val="1256E246"/>
    <w:lvl w:ilvl="0">
      <w:start w:val="1"/>
      <w:numFmt w:val="bullet"/>
      <w:lvlText w:val="-"/>
      <w:lvlJc w:val="left"/>
      <w:pPr>
        <w:ind w:left="360" w:hanging="360"/>
      </w:pPr>
      <w:rPr>
        <w:rFonts w:ascii="Trebuchet MS" w:hAnsi="Trebuchet M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68FA1D73"/>
    <w:multiLevelType w:val="multilevel"/>
    <w:tmpl w:val="D62A96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B1"/>
    <w:rsid w:val="001C3316"/>
    <w:rsid w:val="004A5206"/>
    <w:rsid w:val="004F51A9"/>
    <w:rsid w:val="00620178"/>
    <w:rsid w:val="00984C7D"/>
    <w:rsid w:val="009D0F42"/>
    <w:rsid w:val="00A54DEE"/>
    <w:rsid w:val="00B132B1"/>
    <w:rsid w:val="00D2652A"/>
    <w:rsid w:val="00DE57A9"/>
    <w:rsid w:val="00E26162"/>
    <w:rsid w:val="00E427C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78F8"/>
  <w15:docId w15:val="{97058E1C-F383-4B7B-8A9E-1B3A4EDC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2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7E1EE5"/>
    <w:rPr>
      <w:rFonts w:ascii="Calibri" w:hAnsi="Calibri"/>
      <w:szCs w:val="21"/>
    </w:rPr>
  </w:style>
  <w:style w:type="character" w:customStyle="1" w:styleId="Internetskapoveznica">
    <w:name w:val="Internetska poveznica"/>
    <w:basedOn w:val="DefaultParagraphFont"/>
    <w:uiPriority w:val="99"/>
    <w:unhideWhenUsed/>
    <w:rsid w:val="00363C43"/>
    <w:rPr>
      <w:color w:val="0000FF"/>
      <w:u w:val="single"/>
    </w:rPr>
  </w:style>
  <w:style w:type="character" w:styleId="CommentReference">
    <w:name w:val="annotation reference"/>
    <w:basedOn w:val="DefaultParagraphFont"/>
    <w:uiPriority w:val="99"/>
    <w:semiHidden/>
    <w:unhideWhenUsed/>
    <w:qFormat/>
    <w:rsid w:val="005959A8"/>
    <w:rPr>
      <w:sz w:val="16"/>
      <w:szCs w:val="16"/>
    </w:rPr>
  </w:style>
  <w:style w:type="character" w:customStyle="1" w:styleId="CommentTextChar">
    <w:name w:val="Comment Text Char"/>
    <w:basedOn w:val="DefaultParagraphFont"/>
    <w:link w:val="CommentText"/>
    <w:uiPriority w:val="99"/>
    <w:qFormat/>
    <w:rsid w:val="005959A8"/>
    <w:rPr>
      <w:sz w:val="20"/>
      <w:szCs w:val="20"/>
    </w:rPr>
  </w:style>
  <w:style w:type="character" w:customStyle="1" w:styleId="CommentSubjectChar">
    <w:name w:val="Comment Subject Char"/>
    <w:basedOn w:val="CommentTextChar"/>
    <w:link w:val="CommentSubject"/>
    <w:uiPriority w:val="99"/>
    <w:semiHidden/>
    <w:qFormat/>
    <w:rsid w:val="005959A8"/>
    <w:rPr>
      <w:b/>
      <w:bCs/>
      <w:sz w:val="20"/>
      <w:szCs w:val="20"/>
    </w:rPr>
  </w:style>
  <w:style w:type="character" w:customStyle="1" w:styleId="BalloonTextChar">
    <w:name w:val="Balloon Text Char"/>
    <w:basedOn w:val="DefaultParagraphFont"/>
    <w:link w:val="BalloonText"/>
    <w:uiPriority w:val="99"/>
    <w:semiHidden/>
    <w:qFormat/>
    <w:rsid w:val="005959A8"/>
    <w:rPr>
      <w:rFonts w:ascii="Tahoma" w:hAnsi="Tahoma" w:cs="Tahoma"/>
      <w:sz w:val="16"/>
      <w:szCs w:val="16"/>
    </w:rPr>
  </w:style>
  <w:style w:type="character" w:customStyle="1" w:styleId="hps">
    <w:name w:val="hps"/>
    <w:basedOn w:val="DefaultParagraphFont"/>
    <w:uiPriority w:val="99"/>
    <w:qFormat/>
    <w:rsid w:val="00C11E60"/>
    <w:rPr>
      <w:rFonts w:cs="Times New Roman"/>
    </w:rPr>
  </w:style>
  <w:style w:type="character" w:customStyle="1" w:styleId="longtext">
    <w:name w:val="long_text"/>
    <w:basedOn w:val="DefaultParagraphFont"/>
    <w:uiPriority w:val="99"/>
    <w:qFormat/>
    <w:rsid w:val="00C11E60"/>
    <w:rPr>
      <w:rFonts w:cs="Times New Roman"/>
    </w:rPr>
  </w:style>
  <w:style w:type="character" w:customStyle="1" w:styleId="Istaknuto">
    <w:name w:val="Istaknuto"/>
    <w:basedOn w:val="DefaultParagraphFont"/>
    <w:uiPriority w:val="20"/>
    <w:qFormat/>
    <w:rsid w:val="002D44B3"/>
    <w:rPr>
      <w:b/>
      <w:bCs/>
      <w:i w:val="0"/>
      <w:iCs w:val="0"/>
    </w:rPr>
  </w:style>
  <w:style w:type="character" w:customStyle="1" w:styleId="st1">
    <w:name w:val="st1"/>
    <w:basedOn w:val="DefaultParagraphFont"/>
    <w:qFormat/>
    <w:rsid w:val="002D44B3"/>
  </w:style>
  <w:style w:type="character" w:customStyle="1" w:styleId="HTMLPreformattedChar">
    <w:name w:val="HTML Preformatted Char"/>
    <w:basedOn w:val="DefaultParagraphFont"/>
    <w:link w:val="HTMLPreformatted"/>
    <w:uiPriority w:val="99"/>
    <w:qFormat/>
    <w:rsid w:val="006F4347"/>
    <w:rPr>
      <w:rFonts w:ascii="Courier New" w:hAnsi="Courier New" w:cs="Courier New"/>
      <w:sz w:val="20"/>
      <w:szCs w:val="20"/>
      <w:lang w:eastAsia="hr-HR"/>
    </w:rPr>
  </w:style>
  <w:style w:type="character" w:customStyle="1" w:styleId="FootnoteTextChar">
    <w:name w:val="Footnote Text Char"/>
    <w:basedOn w:val="DefaultParagraphFont"/>
    <w:link w:val="FootnoteText"/>
    <w:qFormat/>
    <w:rsid w:val="006F4347"/>
    <w:rPr>
      <w:rFonts w:ascii="Calibri" w:eastAsia="Droid Sans Fallback" w:hAnsi="Calibri" w:cs="Calibri"/>
      <w:sz w:val="20"/>
      <w:szCs w:val="20"/>
      <w:lang w:eastAsia="zh-CN"/>
    </w:rPr>
  </w:style>
  <w:style w:type="character" w:customStyle="1" w:styleId="apple-converted-space">
    <w:name w:val="apple-converted-space"/>
    <w:basedOn w:val="DefaultParagraphFont"/>
    <w:qFormat/>
    <w:rsid w:val="00A6770F"/>
  </w:style>
  <w:style w:type="character" w:customStyle="1" w:styleId="gmail-msofootnotereference">
    <w:name w:val="gmail-msofootnotereference"/>
    <w:basedOn w:val="DefaultParagraphFont"/>
    <w:qFormat/>
    <w:rsid w:val="003E6954"/>
  </w:style>
  <w:style w:type="character" w:styleId="Strong">
    <w:name w:val="Strong"/>
    <w:basedOn w:val="DefaultParagraphFont"/>
    <w:uiPriority w:val="22"/>
    <w:qFormat/>
    <w:rsid w:val="000C3A5E"/>
    <w:rPr>
      <w:b/>
      <w:bCs/>
    </w:rPr>
  </w:style>
  <w:style w:type="character" w:customStyle="1" w:styleId="ListLabel1">
    <w:name w:val="ListLabel 1"/>
    <w:qFormat/>
    <w:rsid w:val="00B132B1"/>
    <w:rPr>
      <w:sz w:val="20"/>
    </w:rPr>
  </w:style>
  <w:style w:type="character" w:customStyle="1" w:styleId="ListLabel2">
    <w:name w:val="ListLabel 2"/>
    <w:qFormat/>
    <w:rsid w:val="00B132B1"/>
    <w:rPr>
      <w:sz w:val="20"/>
    </w:rPr>
  </w:style>
  <w:style w:type="character" w:customStyle="1" w:styleId="ListLabel3">
    <w:name w:val="ListLabel 3"/>
    <w:qFormat/>
    <w:rsid w:val="00B132B1"/>
    <w:rPr>
      <w:sz w:val="20"/>
    </w:rPr>
  </w:style>
  <w:style w:type="character" w:customStyle="1" w:styleId="ListLabel4">
    <w:name w:val="ListLabel 4"/>
    <w:qFormat/>
    <w:rsid w:val="00B132B1"/>
    <w:rPr>
      <w:sz w:val="20"/>
    </w:rPr>
  </w:style>
  <w:style w:type="character" w:customStyle="1" w:styleId="ListLabel5">
    <w:name w:val="ListLabel 5"/>
    <w:qFormat/>
    <w:rsid w:val="00B132B1"/>
    <w:rPr>
      <w:sz w:val="20"/>
    </w:rPr>
  </w:style>
  <w:style w:type="character" w:customStyle="1" w:styleId="ListLabel6">
    <w:name w:val="ListLabel 6"/>
    <w:qFormat/>
    <w:rsid w:val="00B132B1"/>
    <w:rPr>
      <w:sz w:val="20"/>
    </w:rPr>
  </w:style>
  <w:style w:type="character" w:customStyle="1" w:styleId="ListLabel7">
    <w:name w:val="ListLabel 7"/>
    <w:qFormat/>
    <w:rsid w:val="00B132B1"/>
    <w:rPr>
      <w:sz w:val="20"/>
    </w:rPr>
  </w:style>
  <w:style w:type="character" w:customStyle="1" w:styleId="ListLabel8">
    <w:name w:val="ListLabel 8"/>
    <w:qFormat/>
    <w:rsid w:val="00B132B1"/>
    <w:rPr>
      <w:sz w:val="20"/>
    </w:rPr>
  </w:style>
  <w:style w:type="character" w:customStyle="1" w:styleId="ListLabel9">
    <w:name w:val="ListLabel 9"/>
    <w:qFormat/>
    <w:rsid w:val="00B132B1"/>
    <w:rPr>
      <w:sz w:val="20"/>
    </w:rPr>
  </w:style>
  <w:style w:type="character" w:customStyle="1" w:styleId="ListLabel10">
    <w:name w:val="ListLabel 10"/>
    <w:qFormat/>
    <w:rsid w:val="00B132B1"/>
    <w:rPr>
      <w:rFonts w:eastAsia="Calibri" w:cs="Times New Roman"/>
    </w:rPr>
  </w:style>
  <w:style w:type="character" w:customStyle="1" w:styleId="ListLabel11">
    <w:name w:val="ListLabel 11"/>
    <w:qFormat/>
    <w:rsid w:val="00B132B1"/>
    <w:rPr>
      <w:rFonts w:cs="Courier New"/>
    </w:rPr>
  </w:style>
  <w:style w:type="character" w:customStyle="1" w:styleId="ListLabel12">
    <w:name w:val="ListLabel 12"/>
    <w:qFormat/>
    <w:rsid w:val="00B132B1"/>
    <w:rPr>
      <w:rFonts w:cs="Courier New"/>
    </w:rPr>
  </w:style>
  <w:style w:type="character" w:customStyle="1" w:styleId="ListLabel13">
    <w:name w:val="ListLabel 13"/>
    <w:qFormat/>
    <w:rsid w:val="00B132B1"/>
    <w:rPr>
      <w:rFonts w:cs="Courier New"/>
    </w:rPr>
  </w:style>
  <w:style w:type="character" w:customStyle="1" w:styleId="ListLabel14">
    <w:name w:val="ListLabel 14"/>
    <w:qFormat/>
    <w:rsid w:val="00B132B1"/>
    <w:rPr>
      <w:rFonts w:cs="Courier New"/>
    </w:rPr>
  </w:style>
  <w:style w:type="character" w:customStyle="1" w:styleId="ListLabel15">
    <w:name w:val="ListLabel 15"/>
    <w:qFormat/>
    <w:rsid w:val="00B132B1"/>
    <w:rPr>
      <w:rFonts w:cs="Courier New"/>
    </w:rPr>
  </w:style>
  <w:style w:type="character" w:customStyle="1" w:styleId="ListLabel16">
    <w:name w:val="ListLabel 16"/>
    <w:qFormat/>
    <w:rsid w:val="00B132B1"/>
    <w:rPr>
      <w:rFonts w:cs="Courier New"/>
    </w:rPr>
  </w:style>
  <w:style w:type="paragraph" w:customStyle="1" w:styleId="Stilnaslova">
    <w:name w:val="Stil naslova"/>
    <w:basedOn w:val="Normal"/>
    <w:next w:val="BodyText"/>
    <w:qFormat/>
    <w:rsid w:val="00B132B1"/>
    <w:pPr>
      <w:keepNext/>
      <w:spacing w:before="240" w:after="120"/>
    </w:pPr>
    <w:rPr>
      <w:rFonts w:ascii="Arial" w:eastAsia="Noto Sans CJK SC Regular" w:hAnsi="Arial" w:cs="FreeSans"/>
      <w:szCs w:val="28"/>
    </w:rPr>
  </w:style>
  <w:style w:type="paragraph" w:styleId="BodyText">
    <w:name w:val="Body Text"/>
    <w:basedOn w:val="Normal"/>
    <w:rsid w:val="00B132B1"/>
    <w:pPr>
      <w:spacing w:after="140" w:line="288" w:lineRule="auto"/>
    </w:pPr>
  </w:style>
  <w:style w:type="paragraph" w:styleId="List">
    <w:name w:val="List"/>
    <w:basedOn w:val="BodyText"/>
    <w:rsid w:val="00B132B1"/>
    <w:rPr>
      <w:rFonts w:ascii="Arial" w:hAnsi="Arial" w:cs="FreeSans"/>
    </w:rPr>
  </w:style>
  <w:style w:type="paragraph" w:styleId="Caption">
    <w:name w:val="caption"/>
    <w:basedOn w:val="Normal"/>
    <w:qFormat/>
    <w:rsid w:val="00B132B1"/>
    <w:pPr>
      <w:suppressLineNumbers/>
      <w:spacing w:before="120" w:after="120"/>
    </w:pPr>
    <w:rPr>
      <w:rFonts w:ascii="Arial" w:hAnsi="Arial" w:cs="FreeSans"/>
      <w:i/>
      <w:iCs/>
      <w:szCs w:val="24"/>
    </w:rPr>
  </w:style>
  <w:style w:type="paragraph" w:customStyle="1" w:styleId="Indeks">
    <w:name w:val="Indeks"/>
    <w:basedOn w:val="Normal"/>
    <w:qFormat/>
    <w:rsid w:val="00B132B1"/>
    <w:pPr>
      <w:suppressLineNumbers/>
    </w:pPr>
    <w:rPr>
      <w:rFonts w:ascii="Arial" w:hAnsi="Arial" w:cs="FreeSans"/>
    </w:rPr>
  </w:style>
  <w:style w:type="paragraph" w:styleId="PlainText">
    <w:name w:val="Plain Text"/>
    <w:basedOn w:val="Normal"/>
    <w:link w:val="PlainTextChar"/>
    <w:uiPriority w:val="99"/>
    <w:unhideWhenUsed/>
    <w:qFormat/>
    <w:rsid w:val="007E1EE5"/>
    <w:pPr>
      <w:spacing w:after="0" w:line="240" w:lineRule="auto"/>
    </w:pPr>
    <w:rPr>
      <w:rFonts w:ascii="Calibri" w:hAnsi="Calibri"/>
      <w:szCs w:val="21"/>
    </w:rPr>
  </w:style>
  <w:style w:type="paragraph" w:styleId="CommentText">
    <w:name w:val="annotation text"/>
    <w:basedOn w:val="Normal"/>
    <w:link w:val="CommentTextChar"/>
    <w:uiPriority w:val="99"/>
    <w:unhideWhenUsed/>
    <w:qFormat/>
    <w:rsid w:val="005959A8"/>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959A8"/>
    <w:rPr>
      <w:b/>
      <w:bCs/>
    </w:rPr>
  </w:style>
  <w:style w:type="paragraph" w:styleId="BalloonText">
    <w:name w:val="Balloon Text"/>
    <w:basedOn w:val="Normal"/>
    <w:link w:val="BalloonTextChar"/>
    <w:uiPriority w:val="99"/>
    <w:semiHidden/>
    <w:unhideWhenUsed/>
    <w:qFormat/>
    <w:rsid w:val="005959A8"/>
    <w:pPr>
      <w:spacing w:after="0" w:line="240" w:lineRule="auto"/>
    </w:pPr>
    <w:rPr>
      <w:rFonts w:ascii="Tahoma" w:hAnsi="Tahoma" w:cs="Tahoma"/>
      <w:sz w:val="16"/>
      <w:szCs w:val="16"/>
    </w:rPr>
  </w:style>
  <w:style w:type="paragraph" w:styleId="ListParagraph">
    <w:name w:val="List Paragraph"/>
    <w:basedOn w:val="Normal"/>
    <w:uiPriority w:val="34"/>
    <w:qFormat/>
    <w:rsid w:val="00FA14BE"/>
    <w:pPr>
      <w:spacing w:after="0" w:line="240" w:lineRule="auto"/>
      <w:ind w:left="720"/>
    </w:pPr>
    <w:rPr>
      <w:rFonts w:ascii="Calibri" w:hAnsi="Calibri" w:cs="Times New Roman"/>
    </w:rPr>
  </w:style>
  <w:style w:type="paragraph" w:styleId="HTMLPreformatted">
    <w:name w:val="HTML Preformatted"/>
    <w:basedOn w:val="Normal"/>
    <w:link w:val="HTMLPreformattedChar"/>
    <w:uiPriority w:val="99"/>
    <w:unhideWhenUsed/>
    <w:qFormat/>
    <w:rsid w:val="006F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paragraph" w:styleId="FootnoteText">
    <w:name w:val="footnote text"/>
    <w:basedOn w:val="Normal"/>
    <w:link w:val="FootnoteTextChar"/>
    <w:qFormat/>
    <w:rsid w:val="006F4347"/>
    <w:pPr>
      <w:suppressAutoHyphens/>
      <w:spacing w:after="0" w:line="240" w:lineRule="auto"/>
    </w:pPr>
    <w:rPr>
      <w:rFonts w:ascii="Calibri" w:eastAsia="Droid Sans Fallback" w:hAnsi="Calibri" w:cs="Calibri"/>
      <w:sz w:val="20"/>
      <w:szCs w:val="20"/>
      <w:lang w:eastAsia="zh-CN"/>
    </w:rPr>
  </w:style>
  <w:style w:type="paragraph" w:styleId="NormalWeb">
    <w:name w:val="Normal (Web)"/>
    <w:basedOn w:val="Normal"/>
    <w:uiPriority w:val="99"/>
    <w:unhideWhenUsed/>
    <w:qFormat/>
    <w:rsid w:val="006F4347"/>
    <w:pPr>
      <w:spacing w:after="0" w:line="240" w:lineRule="auto"/>
    </w:pPr>
    <w:rPr>
      <w:rFonts w:ascii="Times New Roman" w:hAnsi="Times New Roman" w:cs="Times New Roman"/>
      <w:sz w:val="24"/>
      <w:szCs w:val="24"/>
      <w:lang w:eastAsia="hr-HR"/>
    </w:rPr>
  </w:style>
  <w:style w:type="paragraph" w:customStyle="1" w:styleId="gmail-msocommenttext">
    <w:name w:val="gmail-msocommenttext"/>
    <w:basedOn w:val="Normal"/>
    <w:qFormat/>
    <w:rsid w:val="00583906"/>
    <w:pPr>
      <w:spacing w:beforeAutospacing="1" w:afterAutospacing="1" w:line="240" w:lineRule="auto"/>
    </w:pPr>
    <w:rPr>
      <w:rFonts w:ascii="Times New Roman" w:hAnsi="Times New Roman" w:cs="Times New Roman"/>
      <w:sz w:val="24"/>
      <w:szCs w:val="24"/>
      <w:lang w:eastAsia="hr-HR"/>
    </w:rPr>
  </w:style>
  <w:style w:type="table" w:styleId="TableGrid">
    <w:name w:val="Table Grid"/>
    <w:basedOn w:val="TableNormal"/>
    <w:uiPriority w:val="59"/>
    <w:rsid w:val="00164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704A5-9B06-413F-84AC-EB1C7D63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3087</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Ludvig</dc:creator>
  <dc:description/>
  <cp:lastModifiedBy>Maja Perucci</cp:lastModifiedBy>
  <cp:revision>4</cp:revision>
  <dcterms:created xsi:type="dcterms:W3CDTF">2017-06-26T13:01:00Z</dcterms:created>
  <dcterms:modified xsi:type="dcterms:W3CDTF">2017-06-28T07:22:00Z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