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C6D" w:rsidRDefault="00886C6D" w:rsidP="008B0CCB">
      <w:pPr>
        <w:tabs>
          <w:tab w:val="left" w:pos="9241"/>
        </w:tabs>
        <w:spacing w:after="0" w:line="240" w:lineRule="auto"/>
        <w:rPr>
          <w:rFonts w:ascii="Times New Roman" w:hAnsi="Times New Roman" w:cs="Times New Roman"/>
          <w:b/>
          <w:sz w:val="32"/>
          <w:szCs w:val="32"/>
        </w:rPr>
      </w:pPr>
    </w:p>
    <w:p w:rsidR="005652DE" w:rsidRDefault="005652DE" w:rsidP="008B0CCB">
      <w:pPr>
        <w:tabs>
          <w:tab w:val="left" w:pos="9241"/>
        </w:tabs>
        <w:spacing w:after="0" w:line="240" w:lineRule="auto"/>
        <w:rPr>
          <w:rFonts w:ascii="Times New Roman" w:hAnsi="Times New Roman" w:cs="Times New Roman"/>
          <w:b/>
          <w:sz w:val="32"/>
          <w:szCs w:val="32"/>
        </w:rPr>
      </w:pPr>
    </w:p>
    <w:p w:rsidR="005652DE" w:rsidRDefault="005652DE" w:rsidP="008B0CCB">
      <w:pPr>
        <w:tabs>
          <w:tab w:val="left" w:pos="9241"/>
        </w:tabs>
        <w:spacing w:after="0" w:line="240" w:lineRule="auto"/>
        <w:rPr>
          <w:rFonts w:ascii="Times New Roman" w:hAnsi="Times New Roman" w:cs="Times New Roman"/>
          <w:b/>
          <w:sz w:val="32"/>
          <w:szCs w:val="32"/>
        </w:rPr>
      </w:pPr>
    </w:p>
    <w:p w:rsidR="005652DE" w:rsidRDefault="005652DE" w:rsidP="008B0CCB">
      <w:pPr>
        <w:tabs>
          <w:tab w:val="left" w:pos="9241"/>
        </w:tabs>
        <w:spacing w:after="0" w:line="240" w:lineRule="auto"/>
        <w:rPr>
          <w:rFonts w:ascii="Times New Roman" w:hAnsi="Times New Roman" w:cs="Times New Roman"/>
          <w:b/>
          <w:sz w:val="32"/>
          <w:szCs w:val="32"/>
        </w:rPr>
      </w:pPr>
    </w:p>
    <w:p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rsidR="00A600DE" w:rsidRPr="00826E16" w:rsidRDefault="00F92C2C" w:rsidP="00B60EAE">
      <w:pPr>
        <w:spacing w:after="0" w:line="240" w:lineRule="auto"/>
        <w:jc w:val="center"/>
        <w:rPr>
          <w:rFonts w:ascii="Times New Roman" w:hAnsi="Times New Roman" w:cs="Times New Roman"/>
          <w:b/>
          <w:sz w:val="32"/>
          <w:szCs w:val="32"/>
        </w:rPr>
      </w:pPr>
      <w:hyperlink r:id="rId11"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rsidR="00C93C99" w:rsidRPr="00826E16" w:rsidRDefault="00C93C99" w:rsidP="00B60EAE">
      <w:pPr>
        <w:spacing w:after="0" w:line="240" w:lineRule="auto"/>
        <w:jc w:val="center"/>
        <w:rPr>
          <w:rFonts w:ascii="Times New Roman" w:hAnsi="Times New Roman" w:cs="Times New Roman"/>
          <w:b/>
          <w:sz w:val="32"/>
          <w:szCs w:val="32"/>
        </w:rPr>
      </w:pPr>
    </w:p>
    <w:p w:rsidR="00461F02" w:rsidRPr="00826E16" w:rsidRDefault="00461F02" w:rsidP="00461F02">
      <w:pPr>
        <w:spacing w:after="0" w:line="240" w:lineRule="auto"/>
        <w:jc w:val="center"/>
        <w:rPr>
          <w:rStyle w:val="Bodytext285pt"/>
          <w:rFonts w:eastAsiaTheme="minorHAnsi"/>
          <w:b/>
          <w:sz w:val="18"/>
          <w:szCs w:val="18"/>
          <w:lang w:val="hr-HR"/>
        </w:rPr>
      </w:pPr>
    </w:p>
    <w:p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81D33" w:rsidRPr="00D81D33">
        <w:rPr>
          <w:rStyle w:val="Bodytext285pt"/>
          <w:rFonts w:eastAsiaTheme="minorHAnsi"/>
          <w:sz w:val="18"/>
          <w:szCs w:val="18"/>
          <w:lang w:val="hr-HR"/>
        </w:rPr>
        <w:t>Europski fond za regionalni razvoj</w:t>
      </w:r>
      <w:r w:rsidR="00781612" w:rsidRPr="00D81D33">
        <w:rPr>
          <w:rStyle w:val="Bodytext285pt"/>
          <w:rFonts w:eastAsiaTheme="minorHAnsi"/>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NADLE</w:t>
      </w:r>
      <w:r w:rsidR="00D81D33">
        <w:rPr>
          <w:rFonts w:ascii="Times New Roman" w:hAnsi="Times New Roman" w:cs="Times New Roman"/>
          <w:b/>
          <w:sz w:val="18"/>
          <w:szCs w:val="18"/>
        </w:rPr>
        <w:t>Ž</w:t>
      </w:r>
      <w:r w:rsidR="007A0C51" w:rsidRPr="00826E16">
        <w:rPr>
          <w:rFonts w:ascii="Times New Roman" w:hAnsi="Times New Roman" w:cs="Times New Roman"/>
          <w:b/>
          <w:sz w:val="18"/>
          <w:szCs w:val="18"/>
        </w:rPr>
        <w:t xml:space="preserve">NO TIJELO: </w:t>
      </w:r>
      <w:r w:rsidR="00D63DF4" w:rsidRPr="00D63DF4">
        <w:rPr>
          <w:rFonts w:ascii="Times New Roman" w:hAnsi="Times New Roman" w:cs="Times New Roman"/>
          <w:sz w:val="18"/>
          <w:szCs w:val="18"/>
        </w:rPr>
        <w:t>Ministarstvo regionalnoga razvoja i fondova Europske unije</w:t>
      </w:r>
    </w:p>
    <w:p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81D33" w:rsidRPr="00D81D33">
        <w:rPr>
          <w:rFonts w:ascii="Times New Roman" w:hAnsi="Times New Roman" w:cs="Times New Roman"/>
          <w:sz w:val="18"/>
          <w:szCs w:val="18"/>
        </w:rPr>
        <w:t>Prioritetna os 8: Socijalno uključivanje i zdravlje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t xml:space="preserve">ROK ZA PODNOŠENJE PP: </w:t>
      </w:r>
      <w:r w:rsidR="008B0CCB" w:rsidRPr="008B0CCB">
        <w:rPr>
          <w:rFonts w:ascii="Times New Roman" w:hAnsi="Times New Roman" w:cs="Times New Roman"/>
          <w:sz w:val="18"/>
          <w:szCs w:val="18"/>
          <w:highlight w:val="yellow"/>
        </w:rPr>
        <w:t>28</w:t>
      </w:r>
      <w:r w:rsidR="00D63DF4" w:rsidRPr="008B0CCB">
        <w:rPr>
          <w:rFonts w:ascii="Times New Roman" w:hAnsi="Times New Roman" w:cs="Times New Roman"/>
          <w:sz w:val="18"/>
          <w:szCs w:val="18"/>
          <w:highlight w:val="yellow"/>
        </w:rPr>
        <w:t xml:space="preserve">. </w:t>
      </w:r>
      <w:r w:rsidR="008B0CCB" w:rsidRPr="008B0CCB">
        <w:rPr>
          <w:rFonts w:ascii="Times New Roman" w:hAnsi="Times New Roman" w:cs="Times New Roman"/>
          <w:sz w:val="18"/>
          <w:szCs w:val="18"/>
          <w:highlight w:val="yellow"/>
        </w:rPr>
        <w:t>veljače</w:t>
      </w:r>
      <w:r w:rsidR="00D63DF4" w:rsidRPr="008B0CCB">
        <w:rPr>
          <w:rFonts w:ascii="Times New Roman" w:hAnsi="Times New Roman" w:cs="Times New Roman"/>
          <w:sz w:val="18"/>
          <w:szCs w:val="18"/>
          <w:highlight w:val="yellow"/>
        </w:rPr>
        <w:t xml:space="preserve"> 201</w:t>
      </w:r>
      <w:r w:rsidR="008B0CCB" w:rsidRPr="008B0CCB">
        <w:rPr>
          <w:rFonts w:ascii="Times New Roman" w:hAnsi="Times New Roman" w:cs="Times New Roman"/>
          <w:sz w:val="18"/>
          <w:szCs w:val="18"/>
          <w:highlight w:val="yellow"/>
        </w:rPr>
        <w:t>8</w:t>
      </w:r>
      <w:r w:rsidR="00D63DF4" w:rsidRPr="008B0CCB">
        <w:rPr>
          <w:rFonts w:ascii="Times New Roman" w:hAnsi="Times New Roman" w:cs="Times New Roman"/>
          <w:sz w:val="18"/>
          <w:szCs w:val="18"/>
          <w:highlight w:val="yellow"/>
        </w:rPr>
        <w:t>. godine</w:t>
      </w:r>
    </w:p>
    <w:p w:rsidR="00461F02" w:rsidRPr="00826E16" w:rsidRDefault="00B60EAE" w:rsidP="00A21872">
      <w:pPr>
        <w:spacing w:after="0" w:line="240" w:lineRule="auto"/>
        <w:ind w:left="7785" w:hanging="7785"/>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D63DF4" w:rsidRPr="00D63DF4">
        <w:rPr>
          <w:rFonts w:ascii="Times New Roman" w:hAnsi="Times New Roman" w:cs="Times New Roman"/>
          <w:sz w:val="18"/>
          <w:szCs w:val="18"/>
        </w:rPr>
        <w:t>9a3.3</w:t>
      </w:r>
      <w:r w:rsidR="00461F02" w:rsidRPr="00D63DF4">
        <w:rPr>
          <w:rFonts w:ascii="Times New Roman" w:hAnsi="Times New Roman" w:cs="Times New Roman"/>
          <w:sz w:val="18"/>
          <w:szCs w:val="18"/>
        </w:rPr>
        <w:tab/>
      </w:r>
      <w:r w:rsidR="00D63DF4">
        <w:rPr>
          <w:rFonts w:ascii="Times New Roman" w:hAnsi="Times New Roman" w:cs="Times New Roman"/>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(UzP)</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A21872" w:rsidRPr="00A21872">
        <w:rPr>
          <w:rFonts w:ascii="Times New Roman" w:hAnsi="Times New Roman" w:cs="Times New Roman"/>
          <w:sz w:val="18"/>
          <w:szCs w:val="18"/>
        </w:rPr>
        <w:t xml:space="preserve">5 radnih dana </w:t>
      </w:r>
    </w:p>
    <w:p w:rsidR="00B60EAE" w:rsidRPr="00826E16" w:rsidRDefault="00B60EAE" w:rsidP="00B60EAE">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D63DF4" w:rsidRPr="00D63DF4">
        <w:rPr>
          <w:rFonts w:ascii="Times New Roman" w:hAnsi="Times New Roman" w:cs="Times New Roman"/>
          <w:sz w:val="18"/>
          <w:szCs w:val="18"/>
        </w:rPr>
        <w:t>Unaprjeđivanje infrastrukture centara za socijalnu skrb kao podrška procesu deinstitucionalizacije – faza 1</w:t>
      </w:r>
      <w:r w:rsidR="00461F02" w:rsidRPr="00D63DF4">
        <w:rPr>
          <w:rFonts w:ascii="Times New Roman" w:hAnsi="Times New Roman" w:cs="Times New Roman"/>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r w:rsidR="00D63DF4">
        <w:rPr>
          <w:rFonts w:ascii="Times New Roman" w:hAnsi="Times New Roman" w:cs="Times New Roman"/>
          <w:b/>
          <w:sz w:val="18"/>
          <w:szCs w:val="18"/>
        </w:rPr>
        <w:tab/>
      </w:r>
    </w:p>
    <w:p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D63DF4" w:rsidRPr="00D63DF4">
        <w:rPr>
          <w:rFonts w:ascii="Times New Roman" w:hAnsi="Times New Roman" w:cs="Times New Roman"/>
          <w:sz w:val="18"/>
          <w:szCs w:val="18"/>
        </w:rPr>
        <w:t>08.1.3.03</w:t>
      </w:r>
    </w:p>
    <w:p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D63DF4">
        <w:rPr>
          <w:rFonts w:ascii="Times New Roman" w:hAnsi="Times New Roman" w:cs="Times New Roman"/>
          <w:sz w:val="18"/>
          <w:szCs w:val="18"/>
        </w:rPr>
        <w:t>Otvoren</w:t>
      </w:r>
    </w:p>
    <w:p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26E16">
        <w:rPr>
          <w:rFonts w:ascii="Times New Roman" w:hAnsi="Times New Roman" w:cs="Times New Roman"/>
          <w:sz w:val="18"/>
          <w:szCs w:val="18"/>
        </w:rPr>
        <w:t xml:space="preserve"> </w:t>
      </w:r>
      <w:r w:rsidR="005652DE">
        <w:rPr>
          <w:rFonts w:ascii="Times New Roman" w:hAnsi="Times New Roman" w:cs="Times New Roman"/>
          <w:sz w:val="18"/>
          <w:szCs w:val="18"/>
        </w:rPr>
        <w:t>Trajni</w:t>
      </w:r>
    </w:p>
    <w:p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rsidR="00F14137" w:rsidRPr="00826E16" w:rsidRDefault="0022540C" w:rsidP="002632C2">
      <w:pPr>
        <w:spacing w:after="0" w:line="240" w:lineRule="auto"/>
        <w:jc w:val="both"/>
        <w:rPr>
          <w:rFonts w:ascii="Times New Roman" w:eastAsia="Times New Roman" w:hAnsi="Times New Roman" w:cs="Times New Roman"/>
          <w:color w:val="000000" w:themeColor="text1"/>
          <w:sz w:val="18"/>
          <w:szCs w:val="18"/>
        </w:rPr>
      </w:pPr>
      <w:r w:rsidRPr="00826E16">
        <w:rPr>
          <w:rFonts w:ascii="Times New Roman" w:eastAsia="Times New Roman" w:hAnsi="Times New Roman" w:cs="Times New Roman"/>
          <w:color w:val="000000" w:themeColor="text1"/>
          <w:sz w:val="18"/>
          <w:szCs w:val="18"/>
        </w:rPr>
        <w:t>U skladu s</w:t>
      </w:r>
      <w:r w:rsidR="00893A7E" w:rsidRPr="00826E16">
        <w:rPr>
          <w:rFonts w:ascii="Times New Roman" w:eastAsia="Times New Roman" w:hAnsi="Times New Roman" w:cs="Times New Roman"/>
          <w:color w:val="000000" w:themeColor="text1"/>
          <w:sz w:val="18"/>
          <w:szCs w:val="18"/>
        </w:rPr>
        <w:t>a</w:t>
      </w:r>
      <w:r w:rsidRPr="00826E16">
        <w:rPr>
          <w:rFonts w:ascii="Times New Roman" w:eastAsia="Times New Roman" w:hAnsi="Times New Roman" w:cs="Times New Roman"/>
          <w:color w:val="000000" w:themeColor="text1"/>
          <w:sz w:val="18"/>
          <w:szCs w:val="18"/>
        </w:rPr>
        <w:t xml:space="preserve"> </w:t>
      </w:r>
      <w:r w:rsidR="00893A7E" w:rsidRPr="00826E16">
        <w:rPr>
          <w:rFonts w:ascii="Times New Roman" w:eastAsia="Times New Roman" w:hAnsi="Times New Roman" w:cs="Times New Roman"/>
          <w:color w:val="000000" w:themeColor="text1"/>
          <w:sz w:val="18"/>
          <w:szCs w:val="18"/>
        </w:rPr>
        <w:t>Z</w:t>
      </w:r>
      <w:r w:rsidR="001F23F6" w:rsidRPr="00826E16">
        <w:rPr>
          <w:rFonts w:ascii="Times New Roman" w:eastAsia="Times New Roman" w:hAnsi="Times New Roman" w:cs="Times New Roman"/>
          <w:color w:val="000000" w:themeColor="text1"/>
          <w:sz w:val="18"/>
          <w:szCs w:val="18"/>
        </w:rPr>
        <w:t>ajedničkim nacionalnim pravilima (Z</w:t>
      </w:r>
      <w:r w:rsidR="00893A7E" w:rsidRPr="00826E16">
        <w:rPr>
          <w:rFonts w:ascii="Times New Roman" w:eastAsia="Times New Roman" w:hAnsi="Times New Roman" w:cs="Times New Roman"/>
          <w:color w:val="000000" w:themeColor="text1"/>
          <w:sz w:val="18"/>
          <w:szCs w:val="18"/>
        </w:rPr>
        <w:t>NP</w:t>
      </w:r>
      <w:r w:rsidR="001F23F6" w:rsidRPr="00826E16">
        <w:rPr>
          <w:rFonts w:ascii="Times New Roman" w:eastAsia="Times New Roman" w:hAnsi="Times New Roman" w:cs="Times New Roman"/>
          <w:color w:val="000000" w:themeColor="text1"/>
          <w:sz w:val="18"/>
          <w:szCs w:val="18"/>
        </w:rPr>
        <w:t>)</w:t>
      </w:r>
      <w:r w:rsidR="00893A7E" w:rsidRPr="00826E16">
        <w:rPr>
          <w:rFonts w:ascii="Times New Roman" w:eastAsia="Times New Roman" w:hAnsi="Times New Roman" w:cs="Times New Roman"/>
          <w:color w:val="000000" w:themeColor="text1"/>
          <w:sz w:val="18"/>
          <w:szCs w:val="18"/>
        </w:rPr>
        <w:t xml:space="preserve">, </w:t>
      </w:r>
      <w:r w:rsidRPr="00826E16">
        <w:rPr>
          <w:rFonts w:ascii="Times New Roman" w:eastAsia="Times New Roman" w:hAnsi="Times New Roman" w:cs="Times New Roman"/>
          <w:color w:val="000000" w:themeColor="text1"/>
          <w:sz w:val="18"/>
          <w:szCs w:val="18"/>
        </w:rPr>
        <w:t>nadležno tijelo dužno je odgovarati na pitanja potencijalnih prijavitelja</w:t>
      </w:r>
      <w:r w:rsidR="00893A7E" w:rsidRPr="00826E16">
        <w:rPr>
          <w:rFonts w:ascii="Times New Roman" w:eastAsia="Times New Roman" w:hAnsi="Times New Roman" w:cs="Times New Roman"/>
          <w:color w:val="000000" w:themeColor="text1"/>
          <w:sz w:val="18"/>
          <w:szCs w:val="18"/>
        </w:rPr>
        <w:t xml:space="preserve"> </w:t>
      </w:r>
      <w:r w:rsidR="0069614B" w:rsidRPr="00826E16">
        <w:rPr>
          <w:rFonts w:ascii="Times New Roman" w:eastAsia="Times New Roman" w:hAnsi="Times New Roman" w:cs="Times New Roman"/>
          <w:color w:val="000000" w:themeColor="text1"/>
          <w:sz w:val="18"/>
          <w:szCs w:val="18"/>
        </w:rPr>
        <w:t xml:space="preserve">do </w:t>
      </w:r>
      <w:r w:rsidR="00893A7E" w:rsidRPr="00826E16">
        <w:rPr>
          <w:rFonts w:ascii="Times New Roman" w:eastAsia="Times New Roman" w:hAnsi="Times New Roman" w:cs="Times New Roman"/>
          <w:color w:val="000000" w:themeColor="text1"/>
          <w:sz w:val="18"/>
          <w:szCs w:val="18"/>
        </w:rPr>
        <w:t>rok</w:t>
      </w:r>
      <w:r w:rsidR="0069614B" w:rsidRPr="00826E16">
        <w:rPr>
          <w:rFonts w:ascii="Times New Roman" w:eastAsia="Times New Roman" w:hAnsi="Times New Roman" w:cs="Times New Roman"/>
          <w:color w:val="000000" w:themeColor="text1"/>
          <w:sz w:val="18"/>
          <w:szCs w:val="18"/>
        </w:rPr>
        <w:t>a</w:t>
      </w:r>
      <w:r w:rsidR="00893A7E" w:rsidRPr="00826E16">
        <w:rPr>
          <w:rFonts w:ascii="Times New Roman" w:eastAsia="Times New Roman" w:hAnsi="Times New Roman" w:cs="Times New Roman"/>
          <w:color w:val="000000" w:themeColor="text1"/>
          <w:sz w:val="18"/>
          <w:szCs w:val="18"/>
        </w:rPr>
        <w:t xml:space="preserve"> navedeno</w:t>
      </w:r>
      <w:r w:rsidR="0069614B" w:rsidRPr="00826E16">
        <w:rPr>
          <w:rFonts w:ascii="Times New Roman" w:eastAsia="Times New Roman" w:hAnsi="Times New Roman" w:cs="Times New Roman"/>
          <w:color w:val="000000" w:themeColor="text1"/>
          <w:sz w:val="18"/>
          <w:szCs w:val="18"/>
        </w:rPr>
        <w:t>g</w:t>
      </w:r>
      <w:r w:rsidR="00893A7E" w:rsidRPr="00826E16">
        <w:rPr>
          <w:rFonts w:ascii="Times New Roman" w:eastAsia="Times New Roman" w:hAnsi="Times New Roman" w:cs="Times New Roman"/>
          <w:color w:val="000000" w:themeColor="text1"/>
          <w:sz w:val="18"/>
          <w:szCs w:val="18"/>
        </w:rPr>
        <w:t xml:space="preserve"> u tablici</w:t>
      </w:r>
      <w:r w:rsidR="008B696A" w:rsidRPr="00826E16">
        <w:rPr>
          <w:rFonts w:ascii="Times New Roman" w:eastAsia="Times New Roman" w:hAnsi="Times New Roman" w:cs="Times New Roman"/>
          <w:color w:val="000000" w:themeColor="text1"/>
          <w:sz w:val="18"/>
          <w:szCs w:val="18"/>
        </w:rPr>
        <w:t>,</w:t>
      </w:r>
      <w:r w:rsidR="00F20EFA" w:rsidRPr="00826E16">
        <w:rPr>
          <w:rFonts w:ascii="Times New Roman" w:eastAsia="Times New Roman" w:hAnsi="Times New Roman" w:cs="Times New Roman"/>
          <w:color w:val="000000" w:themeColor="text1"/>
          <w:sz w:val="18"/>
          <w:szCs w:val="18"/>
        </w:rPr>
        <w:t xml:space="preserve"> </w:t>
      </w:r>
      <w:r w:rsidR="00C93C99" w:rsidRPr="00826E16">
        <w:rPr>
          <w:rFonts w:ascii="Times New Roman" w:eastAsia="Times New Roman" w:hAnsi="Times New Roman" w:cs="Times New Roman"/>
          <w:color w:val="000000" w:themeColor="text1"/>
          <w:sz w:val="18"/>
          <w:szCs w:val="18"/>
        </w:rPr>
        <w:t>o</w:t>
      </w:r>
      <w:r w:rsidR="00F14137" w:rsidRPr="00826E16">
        <w:rPr>
          <w:rFonts w:ascii="Times New Roman" w:eastAsia="Times New Roman" w:hAnsi="Times New Roman" w:cs="Times New Roman"/>
          <w:color w:val="000000" w:themeColor="text1"/>
          <w:sz w:val="18"/>
          <w:szCs w:val="18"/>
        </w:rPr>
        <w:t xml:space="preserve">sim kada rokovi definirani </w:t>
      </w:r>
      <w:r w:rsidR="001F23F6" w:rsidRPr="00826E16">
        <w:rPr>
          <w:rFonts w:ascii="Times New Roman" w:eastAsia="Times New Roman" w:hAnsi="Times New Roman" w:cs="Times New Roman"/>
          <w:color w:val="000000" w:themeColor="text1"/>
          <w:sz w:val="18"/>
          <w:szCs w:val="18"/>
        </w:rPr>
        <w:t>Uputama za prijavitelje (</w:t>
      </w:r>
      <w:r w:rsidR="00F14137" w:rsidRPr="00826E16">
        <w:rPr>
          <w:rFonts w:ascii="Times New Roman" w:eastAsia="Times New Roman" w:hAnsi="Times New Roman" w:cs="Times New Roman"/>
          <w:color w:val="000000" w:themeColor="text1"/>
          <w:sz w:val="18"/>
          <w:szCs w:val="18"/>
        </w:rPr>
        <w:t>UzP</w:t>
      </w:r>
      <w:r w:rsidR="001F23F6" w:rsidRPr="00826E16">
        <w:rPr>
          <w:rFonts w:ascii="Times New Roman" w:eastAsia="Times New Roman" w:hAnsi="Times New Roman" w:cs="Times New Roman"/>
          <w:color w:val="000000" w:themeColor="text1"/>
          <w:sz w:val="18"/>
          <w:szCs w:val="18"/>
        </w:rPr>
        <w:t>)</w:t>
      </w:r>
      <w:r w:rsidR="00F14137" w:rsidRPr="00826E16">
        <w:rPr>
          <w:rFonts w:ascii="Times New Roman" w:eastAsia="Times New Roman" w:hAnsi="Times New Roman" w:cs="Times New Roman"/>
          <w:color w:val="000000" w:themeColor="text1"/>
          <w:sz w:val="18"/>
          <w:szCs w:val="18"/>
        </w:rPr>
        <w:t xml:space="preserve"> </w:t>
      </w:r>
      <w:r w:rsidR="008B696A" w:rsidRPr="00826E16">
        <w:rPr>
          <w:rFonts w:ascii="Times New Roman" w:eastAsia="Times New Roman" w:hAnsi="Times New Roman" w:cs="Times New Roman"/>
          <w:color w:val="000000" w:themeColor="text1"/>
          <w:sz w:val="18"/>
          <w:szCs w:val="18"/>
        </w:rPr>
        <w:t xml:space="preserve">uvjetuju davanje odgovora u kraćem vremenskom razdoblju </w:t>
      </w:r>
      <w:r w:rsidR="00F14137" w:rsidRPr="00826E16">
        <w:rPr>
          <w:rFonts w:ascii="Times New Roman" w:eastAsia="Times New Roman" w:hAnsi="Times New Roman" w:cs="Times New Roman"/>
          <w:color w:val="000000" w:themeColor="text1"/>
          <w:sz w:val="18"/>
          <w:szCs w:val="18"/>
        </w:rPr>
        <w:t xml:space="preserve">(npr. </w:t>
      </w:r>
      <w:r w:rsidR="002632C2" w:rsidRPr="00826E16">
        <w:rPr>
          <w:rFonts w:ascii="Times New Roman" w:eastAsia="Times New Roman" w:hAnsi="Times New Roman" w:cs="Times New Roman"/>
          <w:color w:val="000000" w:themeColor="text1"/>
          <w:sz w:val="18"/>
          <w:szCs w:val="18"/>
        </w:rPr>
        <w:t xml:space="preserve">UzP navodi </w:t>
      </w:r>
      <w:r w:rsidR="00F14137" w:rsidRPr="00826E16">
        <w:rPr>
          <w:rFonts w:ascii="Times New Roman" w:eastAsia="Times New Roman" w:hAnsi="Times New Roman" w:cs="Times New Roman"/>
          <w:color w:val="000000" w:themeColor="text1"/>
          <w:sz w:val="18"/>
          <w:szCs w:val="18"/>
        </w:rPr>
        <w:t xml:space="preserve">rok </w:t>
      </w:r>
      <w:r w:rsidR="002632C2" w:rsidRPr="00826E16">
        <w:rPr>
          <w:rFonts w:ascii="Times New Roman" w:eastAsia="Times New Roman" w:hAnsi="Times New Roman" w:cs="Times New Roman"/>
          <w:color w:val="000000" w:themeColor="text1"/>
          <w:sz w:val="18"/>
          <w:szCs w:val="18"/>
        </w:rPr>
        <w:t xml:space="preserve">za objavu odgovora 7 </w:t>
      </w:r>
      <w:r w:rsidR="008B696A" w:rsidRPr="00826E16">
        <w:rPr>
          <w:rFonts w:ascii="Times New Roman" w:eastAsia="Times New Roman" w:hAnsi="Times New Roman" w:cs="Times New Roman"/>
          <w:color w:val="000000" w:themeColor="text1"/>
          <w:sz w:val="18"/>
          <w:szCs w:val="18"/>
        </w:rPr>
        <w:t>kalendarskih dana (</w:t>
      </w:r>
      <w:r w:rsidR="002632C2" w:rsidRPr="00826E16">
        <w:rPr>
          <w:rFonts w:ascii="Times New Roman" w:eastAsia="Times New Roman" w:hAnsi="Times New Roman" w:cs="Times New Roman"/>
          <w:color w:val="000000" w:themeColor="text1"/>
          <w:sz w:val="18"/>
          <w:szCs w:val="18"/>
        </w:rPr>
        <w:t>KD</w:t>
      </w:r>
      <w:r w:rsidR="008B696A" w:rsidRPr="00826E16">
        <w:rPr>
          <w:rFonts w:ascii="Times New Roman" w:eastAsia="Times New Roman" w:hAnsi="Times New Roman" w:cs="Times New Roman"/>
          <w:color w:val="000000" w:themeColor="text1"/>
          <w:sz w:val="18"/>
          <w:szCs w:val="18"/>
        </w:rPr>
        <w:t>)</w:t>
      </w:r>
      <w:r w:rsidR="002632C2" w:rsidRPr="00826E16">
        <w:rPr>
          <w:rFonts w:ascii="Times New Roman" w:eastAsia="Times New Roman" w:hAnsi="Times New Roman" w:cs="Times New Roman"/>
          <w:color w:val="000000" w:themeColor="text1"/>
          <w:sz w:val="18"/>
          <w:szCs w:val="18"/>
        </w:rPr>
        <w:t xml:space="preserve"> od postavljenog pitanja </w:t>
      </w:r>
      <w:r w:rsidR="00F14137" w:rsidRPr="00826E16">
        <w:rPr>
          <w:rFonts w:ascii="Times New Roman" w:eastAsia="Times New Roman" w:hAnsi="Times New Roman" w:cs="Times New Roman"/>
          <w:color w:val="000000" w:themeColor="text1"/>
          <w:sz w:val="18"/>
          <w:szCs w:val="18"/>
        </w:rPr>
        <w:t xml:space="preserve">iako </w:t>
      </w:r>
      <w:r w:rsidR="002632C2" w:rsidRPr="00826E16">
        <w:rPr>
          <w:rFonts w:ascii="Times New Roman" w:eastAsia="Times New Roman" w:hAnsi="Times New Roman" w:cs="Times New Roman"/>
          <w:color w:val="000000" w:themeColor="text1"/>
          <w:sz w:val="18"/>
          <w:szCs w:val="18"/>
        </w:rPr>
        <w:t xml:space="preserve">ZNP predviđa duži </w:t>
      </w:r>
      <w:r w:rsidR="00F14137" w:rsidRPr="00826E16">
        <w:rPr>
          <w:rFonts w:ascii="Times New Roman" w:eastAsia="Times New Roman" w:hAnsi="Times New Roman" w:cs="Times New Roman"/>
          <w:color w:val="000000" w:themeColor="text1"/>
          <w:sz w:val="18"/>
          <w:szCs w:val="18"/>
        </w:rPr>
        <w:t>rok u kojem se odgovara na postavljena</w:t>
      </w:r>
      <w:r w:rsidR="001F23F6" w:rsidRPr="00826E16">
        <w:rPr>
          <w:rFonts w:ascii="Times New Roman" w:eastAsia="Times New Roman" w:hAnsi="Times New Roman" w:cs="Times New Roman"/>
          <w:color w:val="000000" w:themeColor="text1"/>
          <w:sz w:val="18"/>
          <w:szCs w:val="18"/>
        </w:rPr>
        <w:t xml:space="preserve"> pitanja</w:t>
      </w:r>
      <w:r w:rsidR="00F14137" w:rsidRPr="00826E16">
        <w:rPr>
          <w:rFonts w:ascii="Times New Roman" w:eastAsia="Times New Roman" w:hAnsi="Times New Roman" w:cs="Times New Roman"/>
          <w:color w:val="000000" w:themeColor="text1"/>
          <w:sz w:val="18"/>
          <w:szCs w:val="18"/>
        </w:rPr>
        <w:t>)</w:t>
      </w:r>
      <w:r w:rsidR="00C93C99" w:rsidRPr="00826E16">
        <w:rPr>
          <w:rFonts w:ascii="Times New Roman" w:eastAsia="Times New Roman" w:hAnsi="Times New Roman" w:cs="Times New Roman"/>
          <w:color w:val="000000" w:themeColor="text1"/>
          <w:sz w:val="18"/>
          <w:szCs w:val="18"/>
        </w:rPr>
        <w:t xml:space="preserve">, </w:t>
      </w:r>
      <w:r w:rsidR="00F14137" w:rsidRPr="00826E16">
        <w:rPr>
          <w:rFonts w:ascii="Times New Roman" w:eastAsia="Times New Roman" w:hAnsi="Times New Roman" w:cs="Times New Roman"/>
          <w:color w:val="000000" w:themeColor="text1"/>
          <w:sz w:val="18"/>
          <w:szCs w:val="18"/>
        </w:rPr>
        <w:t>tada prioritet ima rok iz UzP-a.</w:t>
      </w:r>
    </w:p>
    <w:p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prijavitelja/partnera, projekta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može zamijeniti niti prejudicirati ishod pojedinih faza postupka dodjele kako su opisane u U</w:t>
      </w:r>
      <w:r w:rsidR="00F20EFA" w:rsidRPr="00826E16">
        <w:rPr>
          <w:rFonts w:ascii="Times New Roman" w:eastAsia="Times New Roman" w:hAnsi="Times New Roman" w:cs="Times New Roman"/>
          <w:sz w:val="18"/>
          <w:szCs w:val="18"/>
        </w:rPr>
        <w:t>zP-u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 xml:space="preserve">Slijedom navedenog, nadležno tijelo nije u mogućnosti odgovarati na pitanja koja zahtijevaju ocjenu prihvatljivosti konkretnog projekta,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artnera,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TableGrid"/>
        <w:tblW w:w="14033" w:type="dxa"/>
        <w:tblInd w:w="137" w:type="dxa"/>
        <w:tblLayout w:type="fixed"/>
        <w:tblLook w:val="04A0" w:firstRow="1" w:lastRow="0" w:firstColumn="1" w:lastColumn="0" w:noHBand="0" w:noVBand="1"/>
      </w:tblPr>
      <w:tblGrid>
        <w:gridCol w:w="992"/>
        <w:gridCol w:w="6095"/>
        <w:gridCol w:w="6946"/>
      </w:tblGrid>
      <w:tr w:rsidR="001421EB" w:rsidRPr="00EC7F45" w:rsidTr="00945657">
        <w:trPr>
          <w:trHeight w:val="433"/>
        </w:trPr>
        <w:tc>
          <w:tcPr>
            <w:tcW w:w="992" w:type="dxa"/>
            <w:shd w:val="clear" w:color="auto" w:fill="538135" w:themeFill="accent6" w:themeFillShade="BF"/>
          </w:tcPr>
          <w:p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p>
        </w:tc>
        <w:tc>
          <w:tcPr>
            <w:tcW w:w="6946" w:type="dxa"/>
            <w:shd w:val="clear" w:color="auto" w:fill="538135" w:themeFill="accent6" w:themeFillShade="BF"/>
          </w:tcPr>
          <w:p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7B0B10">
              <w:rPr>
                <w:b/>
                <w:color w:val="FFFFFF" w:themeColor="background1"/>
                <w:sz w:val="22"/>
                <w:szCs w:val="22"/>
                <w:lang w:val="hr-HR"/>
              </w:rPr>
              <w:t xml:space="preserve"> </w:t>
            </w:r>
            <w:r w:rsidR="007B0B10" w:rsidRPr="007B0B10">
              <w:rPr>
                <w:b/>
                <w:sz w:val="22"/>
                <w:szCs w:val="22"/>
                <w:lang w:val="hr-HR"/>
              </w:rPr>
              <w:t>29. srpnja 2016.</w:t>
            </w:r>
          </w:p>
        </w:tc>
      </w:tr>
      <w:tr w:rsidR="007B0B10" w:rsidRPr="007B0B10" w:rsidTr="00945657">
        <w:trPr>
          <w:trHeight w:val="343"/>
        </w:trPr>
        <w:tc>
          <w:tcPr>
            <w:tcW w:w="992" w:type="dxa"/>
            <w:vAlign w:val="center"/>
          </w:tcPr>
          <w:p w:rsidR="007B0B10" w:rsidRPr="007B0B10" w:rsidRDefault="007B0B10" w:rsidP="007B0B10">
            <w:pPr>
              <w:pStyle w:val="ListParagraph"/>
              <w:numPr>
                <w:ilvl w:val="0"/>
                <w:numId w:val="4"/>
              </w:numPr>
              <w:tabs>
                <w:tab w:val="left" w:pos="176"/>
              </w:tabs>
              <w:ind w:hanging="549"/>
              <w:jc w:val="right"/>
              <w:rPr>
                <w:b/>
                <w:sz w:val="22"/>
                <w:szCs w:val="22"/>
                <w:lang w:val="hr-HR"/>
              </w:rPr>
            </w:pPr>
          </w:p>
        </w:tc>
        <w:tc>
          <w:tcPr>
            <w:tcW w:w="6095" w:type="dxa"/>
          </w:tcPr>
          <w:p w:rsidR="007B0B10" w:rsidRPr="007B0B10" w:rsidRDefault="007B0B10" w:rsidP="007B0B10">
            <w:pPr>
              <w:jc w:val="both"/>
              <w:rPr>
                <w:sz w:val="22"/>
                <w:szCs w:val="22"/>
                <w:lang w:val="hr-HR"/>
              </w:rPr>
            </w:pPr>
            <w:r w:rsidRPr="007B0B10">
              <w:rPr>
                <w:sz w:val="22"/>
                <w:szCs w:val="22"/>
                <w:lang w:val="hr-HR" w:eastAsia="hr-HR"/>
              </w:rPr>
              <w:t xml:space="preserve">Da li zgrada u okviru ex. vojarne, a koja će vjerojatno biti dodijeljena na korištenje MSPM, odnosno centru za socijalnu skrb Sinj, mora imati vlastitu zemljišno knjižnu oznaku (čes.zgr.)? Naime, cijeli prostor vojarne sa građevinama ima katastarsku oznaku 725/1 K.O. Sinj tako da zgrada koja nas interesira nema posebnu katastarsku oznaku a smatram da bi to mogao biti (ili ne?) problem u natječajnom postupku. Ukoliko je problem onda bi trebalo ići na parcelaciju nekretnine 725/1 i dodjelu katastarskog broja za zgradu od interesa tako da je ona identificirana kao zasebna nekretnina (radi izrade idejnog projekta, građevinske dozvole, ugovora o korištenju zgrade i sl.). </w:t>
            </w:r>
          </w:p>
        </w:tc>
        <w:tc>
          <w:tcPr>
            <w:tcW w:w="6946" w:type="dxa"/>
          </w:tcPr>
          <w:p w:rsidR="007B0B10" w:rsidRPr="007B0B10" w:rsidRDefault="007B0B10" w:rsidP="007B0B10">
            <w:pPr>
              <w:jc w:val="both"/>
              <w:rPr>
                <w:sz w:val="22"/>
                <w:szCs w:val="22"/>
                <w:lang w:val="hr-HR"/>
              </w:rPr>
            </w:pPr>
            <w:r w:rsidRPr="007B0B10">
              <w:rPr>
                <w:sz w:val="22"/>
                <w:szCs w:val="22"/>
                <w:lang w:val="hr-HR"/>
              </w:rPr>
              <w:t>U točci 2.7 Uputa za prijavitelje, uvlaka 2) stoji da se odgovarajući valjani akt na temelju kojeg se može pristupiti rušenju i/ili građenju, građevinska dozvola, preslika, dostavlja tek uz zahtjev za nadoknadu sredstava kojim se potražuju sredstva vezana za prvi izdatak izgradnje. Također, u slučaju da prijavitelj nije ujedno i vlasnik zemljišta i/ili nekretnine koje su predmet projektnih aktivnosti, prijavitelj uz zahtjev za nadoknadu sredstava kojim se potražuju sredstva vezana za prvi izdatak izgradnje mora dostaviti Ugovor o pravu na građenje ili ugovor o pravu na korištenje prostora.</w:t>
            </w:r>
          </w:p>
          <w:p w:rsidR="007B0B10" w:rsidRPr="007B0B10" w:rsidRDefault="007B0B10" w:rsidP="007B0B10">
            <w:pPr>
              <w:rPr>
                <w:sz w:val="22"/>
                <w:szCs w:val="22"/>
                <w:lang w:val="hr-HR"/>
              </w:rPr>
            </w:pPr>
          </w:p>
          <w:p w:rsidR="007B0B10" w:rsidRPr="007B0B10" w:rsidRDefault="007B0B10" w:rsidP="007B0B10">
            <w:pPr>
              <w:jc w:val="both"/>
              <w:rPr>
                <w:sz w:val="22"/>
                <w:szCs w:val="22"/>
                <w:lang w:val="hr-HR"/>
              </w:rPr>
            </w:pPr>
            <w:r w:rsidRPr="007B0B10">
              <w:rPr>
                <w:sz w:val="22"/>
                <w:szCs w:val="22"/>
                <w:lang w:val="hr-HR"/>
              </w:rPr>
              <w:t xml:space="preserve">Navedene odredbe upućuju na činjenicu da se nakon potpisa ugovora, prilikom prvog potraživanja sredstava za izdatke izgradnje mora dokazati vlasništvo ili pravo na građenje. Imajući na umu da se prilikom ishođenja </w:t>
            </w:r>
            <w:r w:rsidRPr="007B0B10">
              <w:rPr>
                <w:sz w:val="22"/>
                <w:szCs w:val="22"/>
                <w:lang w:val="hr-HR"/>
              </w:rPr>
              <w:lastRenderedPageBreak/>
              <w:t>akta temeljem kojeg se može pristupiti građenju mora dokazati pravni interes u sklopu kojeg se utvrđuje je li investitor vlasnik ili nositelj prava građenja na građevnoj čestici ili građevini na kojoj se namjerava graditi, posjedovanje primjenjivog akta temeljem kojeg se može pristupiti građenju podrazumijeva vlasništvo/pravo na građenje/korištenje.</w:t>
            </w:r>
          </w:p>
          <w:p w:rsidR="007B0B10" w:rsidRPr="007B0B10" w:rsidRDefault="007B0B10" w:rsidP="007B0B10">
            <w:pPr>
              <w:rPr>
                <w:sz w:val="22"/>
                <w:szCs w:val="22"/>
                <w:lang w:val="hr-HR"/>
              </w:rPr>
            </w:pPr>
          </w:p>
          <w:p w:rsidR="007B0B10" w:rsidRPr="007B0B10" w:rsidRDefault="007B0B10" w:rsidP="007B0B10">
            <w:pPr>
              <w:jc w:val="both"/>
              <w:rPr>
                <w:sz w:val="22"/>
                <w:szCs w:val="22"/>
                <w:lang w:val="hr-HR"/>
              </w:rPr>
            </w:pPr>
            <w:r w:rsidRPr="007B0B10">
              <w:rPr>
                <w:sz w:val="22"/>
                <w:szCs w:val="22"/>
                <w:lang w:val="hr-HR"/>
              </w:rPr>
              <w:t>U konačnici, vezano uz postavljeno pitanje, prijavitelji su tek nakon potpisa ugovora o dodjeli bespovratnih sredstava obvezni dokazati da posjeduju akt temeljem kojeg mogu pristupiti građenju i da posjeduju ugovor o pravu na građenje ili ugovor o pravu na korištenje prostora, odnosno u Postupku odabira za predmetni Poziv se ne utvrđuje vlasništvo.</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29. srpnja 2016.</w:t>
            </w:r>
          </w:p>
        </w:tc>
      </w:tr>
      <w:tr w:rsidR="007B0B10" w:rsidRPr="00EC7F45" w:rsidTr="00945657">
        <w:trPr>
          <w:trHeight w:val="343"/>
        </w:trPr>
        <w:tc>
          <w:tcPr>
            <w:tcW w:w="992" w:type="dxa"/>
            <w:vAlign w:val="center"/>
          </w:tcPr>
          <w:p w:rsidR="007B0B10" w:rsidRPr="005652DE" w:rsidRDefault="007B0B10" w:rsidP="007B0B10">
            <w:pPr>
              <w:pStyle w:val="ListParagraph"/>
              <w:numPr>
                <w:ilvl w:val="0"/>
                <w:numId w:val="4"/>
              </w:numPr>
              <w:tabs>
                <w:tab w:val="left" w:pos="176"/>
              </w:tabs>
              <w:ind w:hanging="549"/>
              <w:jc w:val="right"/>
              <w:rPr>
                <w:b/>
                <w:lang w:val="it-IT"/>
              </w:rPr>
            </w:pPr>
          </w:p>
        </w:tc>
        <w:tc>
          <w:tcPr>
            <w:tcW w:w="6095" w:type="dxa"/>
          </w:tcPr>
          <w:p w:rsidR="007B0B10" w:rsidRPr="005652DE" w:rsidRDefault="007B0B10" w:rsidP="007B0B10">
            <w:pPr>
              <w:tabs>
                <w:tab w:val="left" w:pos="3772"/>
              </w:tabs>
              <w:jc w:val="both"/>
              <w:rPr>
                <w:sz w:val="22"/>
                <w:szCs w:val="22"/>
                <w:lang w:val="hr-HR"/>
              </w:rPr>
            </w:pPr>
            <w:r w:rsidRPr="007B0B10">
              <w:rPr>
                <w:sz w:val="22"/>
                <w:szCs w:val="22"/>
                <w:lang w:val="hr-HR" w:eastAsia="hr-HR"/>
              </w:rPr>
              <w:t>Ako je potrebna parcelacija da li su ti troškovi (suda, geometra, odvjetnika i sl.) prihvatljivi? U uputama za prijavitelje kao neprihvatljivi troškovi su navedeni i troškovi „kazne, financijske globe i troškovi sudskog spora“.</w:t>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U točci 2.9 Uputa za prijavitelje, pod naslovom </w:t>
            </w:r>
            <w:r w:rsidRPr="007B0B10">
              <w:rPr>
                <w:i/>
                <w:iCs/>
                <w:sz w:val="22"/>
                <w:szCs w:val="22"/>
                <w:lang w:val="hr-HR"/>
              </w:rPr>
              <w:t>TROŠKOVI AKTIVNOSTI</w:t>
            </w:r>
            <w:r w:rsidRPr="007B0B10">
              <w:rPr>
                <w:sz w:val="22"/>
                <w:szCs w:val="22"/>
                <w:lang w:val="hr-HR"/>
              </w:rPr>
              <w:t>, uvlaka 9) stoji da u prihvatljive troškove spadaju i troškovi pripreme projektne i tehničke dokumentacije (</w:t>
            </w:r>
            <w:r w:rsidRPr="007B0B10">
              <w:rPr>
                <w:sz w:val="22"/>
                <w:szCs w:val="22"/>
                <w:u w:val="single"/>
                <w:lang w:val="hr-HR"/>
              </w:rPr>
              <w:t>kompletne projektne dokumentacije potrebne za ishođenje dozvole</w:t>
            </w:r>
            <w:r w:rsidRPr="007B0B10">
              <w:rPr>
                <w:sz w:val="22"/>
                <w:szCs w:val="22"/>
                <w:lang w:val="hr-HR"/>
              </w:rPr>
              <w:t xml:space="preserve"> ili za radove na održavanju i za provedbu postupka javne nabave, glavni i izvedbeni projekt s troškovnicima i tehničkim specifikacijama).</w:t>
            </w:r>
          </w:p>
          <w:p w:rsidR="007B0B10" w:rsidRPr="005652DE" w:rsidRDefault="007B0B10" w:rsidP="007B0B10">
            <w:pPr>
              <w:jc w:val="both"/>
              <w:rPr>
                <w:sz w:val="22"/>
                <w:szCs w:val="22"/>
                <w:lang w:val="hr-HR"/>
              </w:rPr>
            </w:pPr>
            <w:r w:rsidRPr="007B0B10">
              <w:rPr>
                <w:sz w:val="22"/>
                <w:szCs w:val="22"/>
                <w:lang w:val="hr-HR"/>
              </w:rPr>
              <w:t>Ukoliko troškovi parcelacije podrazumijevaju izradu dokumentacije (npr. elaborat geometra i sl.) mogu se smatrati troškovima izrade dokumentacije pod uvjetom da zadovoljavaju sve odredbe točke 2.9. Uputa za prijavitelje. Usluge odvjetnika, troškovi suda, kako ste već i primijetili, nisu prihvatljivi troškovi.</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29. srpnja 2016.</w:t>
            </w:r>
          </w:p>
        </w:tc>
      </w:tr>
      <w:tr w:rsidR="007B0B10" w:rsidRPr="00EC7F45" w:rsidTr="00945657">
        <w:trPr>
          <w:trHeight w:val="343"/>
        </w:trPr>
        <w:tc>
          <w:tcPr>
            <w:tcW w:w="992" w:type="dxa"/>
            <w:vAlign w:val="center"/>
          </w:tcPr>
          <w:p w:rsidR="007B0B10" w:rsidRPr="005652DE" w:rsidRDefault="007B0B10" w:rsidP="007B0B10">
            <w:pPr>
              <w:pStyle w:val="ListParagraph"/>
              <w:numPr>
                <w:ilvl w:val="0"/>
                <w:numId w:val="4"/>
              </w:numPr>
              <w:tabs>
                <w:tab w:val="left" w:pos="176"/>
              </w:tabs>
              <w:ind w:hanging="549"/>
              <w:jc w:val="right"/>
              <w:rPr>
                <w:b/>
                <w:lang w:val="it-IT"/>
              </w:rPr>
            </w:pPr>
          </w:p>
        </w:tc>
        <w:tc>
          <w:tcPr>
            <w:tcW w:w="6095" w:type="dxa"/>
          </w:tcPr>
          <w:p w:rsidR="007B0B10" w:rsidRPr="005652DE" w:rsidRDefault="007B0B10" w:rsidP="007B0B10">
            <w:pPr>
              <w:jc w:val="both"/>
              <w:rPr>
                <w:sz w:val="22"/>
                <w:szCs w:val="22"/>
                <w:lang w:val="it-IT"/>
              </w:rPr>
            </w:pPr>
            <w:r w:rsidRPr="007B0B10">
              <w:rPr>
                <w:sz w:val="22"/>
                <w:szCs w:val="22"/>
                <w:lang w:val="hr-HR" w:eastAsia="hr-HR"/>
              </w:rPr>
              <w:t>Da li pojam „upravljanje projektom“ obuhvaća samo savjetodavne usluge ili i stvarno izvršenje tih usluga?</w:t>
            </w:r>
          </w:p>
        </w:tc>
        <w:tc>
          <w:tcPr>
            <w:tcW w:w="6946" w:type="dxa"/>
          </w:tcPr>
          <w:p w:rsidR="007B0B10" w:rsidRPr="005652DE" w:rsidRDefault="007B0B10" w:rsidP="007B0B10">
            <w:pPr>
              <w:jc w:val="both"/>
              <w:rPr>
                <w:sz w:val="22"/>
                <w:szCs w:val="22"/>
                <w:lang w:val="it-IT"/>
              </w:rPr>
            </w:pPr>
            <w:r w:rsidRPr="007B0B10">
              <w:rPr>
                <w:sz w:val="22"/>
                <w:szCs w:val="22"/>
                <w:lang w:val="hr-HR"/>
              </w:rPr>
              <w:t>Upravljanje projektom podrazumijeva cjelokupnu koordiniranu izvedbu svih postupaka ciklusa provedbe projekata.</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29. srpnja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7B0B10" w:rsidRDefault="007B0B10" w:rsidP="007B0B10">
            <w:pPr>
              <w:jc w:val="both"/>
              <w:rPr>
                <w:sz w:val="22"/>
                <w:szCs w:val="22"/>
              </w:rPr>
            </w:pPr>
            <w:r w:rsidRPr="007B0B10">
              <w:rPr>
                <w:sz w:val="22"/>
                <w:szCs w:val="22"/>
                <w:lang w:val="hr-HR" w:eastAsia="hr-HR"/>
              </w:rPr>
              <w:t xml:space="preserve">Da li možemo angažirati neku tvrtku za cjelokupnu izradu projekta? Ako da, u kojem postupku (javna nabava ili…)? </w:t>
            </w:r>
          </w:p>
        </w:tc>
        <w:tc>
          <w:tcPr>
            <w:tcW w:w="6946" w:type="dxa"/>
          </w:tcPr>
          <w:p w:rsidR="007B0B10" w:rsidRPr="007B0B10" w:rsidRDefault="007B0B10" w:rsidP="007B0B10">
            <w:pPr>
              <w:jc w:val="both"/>
              <w:rPr>
                <w:sz w:val="22"/>
                <w:szCs w:val="22"/>
                <w:lang w:val="hr-HR"/>
              </w:rPr>
            </w:pPr>
            <w:r w:rsidRPr="007B0B10">
              <w:rPr>
                <w:sz w:val="22"/>
                <w:szCs w:val="22"/>
                <w:lang w:val="hr-HR"/>
              </w:rPr>
              <w:t>Upute za prijavitelje u točci 2.9.1. navode da su prihvatljivi sljedeći troškovi:</w:t>
            </w:r>
          </w:p>
          <w:p w:rsidR="007B0B10" w:rsidRPr="007B0B10" w:rsidRDefault="007B0B10" w:rsidP="007B0B10">
            <w:pPr>
              <w:jc w:val="both"/>
              <w:rPr>
                <w:sz w:val="22"/>
                <w:szCs w:val="22"/>
                <w:lang w:val="hr-HR"/>
              </w:rPr>
            </w:pPr>
            <w:r w:rsidRPr="007B0B10">
              <w:rPr>
                <w:sz w:val="22"/>
                <w:szCs w:val="22"/>
                <w:lang w:val="hr-HR"/>
              </w:rPr>
              <w:t>Troškovi pripreme projektne i tehničke dokumentacije (kompletne projektne dokumentacije potrebne za ishođenje dozvole ili za radove na održavanju i za provedbu postupka javne nabave, glavni i izvedbeni projekt s troškovnicima i tehničkim specifikacijama).</w:t>
            </w:r>
          </w:p>
          <w:p w:rsidR="007B0B10" w:rsidRPr="007B0B10" w:rsidRDefault="007B0B10" w:rsidP="007B0B10">
            <w:pPr>
              <w:jc w:val="both"/>
              <w:rPr>
                <w:sz w:val="22"/>
                <w:szCs w:val="22"/>
                <w:lang w:val="hr-HR"/>
              </w:rPr>
            </w:pPr>
          </w:p>
          <w:p w:rsidR="007B0B10" w:rsidRPr="005652DE" w:rsidRDefault="007B0B10" w:rsidP="007B0B10">
            <w:pPr>
              <w:jc w:val="both"/>
              <w:rPr>
                <w:sz w:val="22"/>
                <w:szCs w:val="22"/>
                <w:lang w:val="hr-HR"/>
              </w:rPr>
            </w:pPr>
            <w:r w:rsidRPr="007B0B10">
              <w:rPr>
                <w:sz w:val="22"/>
                <w:szCs w:val="22"/>
                <w:lang w:val="hr-HR"/>
              </w:rPr>
              <w:lastRenderedPageBreak/>
              <w:t>Što se tiče postupaka nabave potrebno je obratiti pažnju na: „Kod podnošenja projektnih prijedloga i tijekom provedbe projekata, korisnici se moraju pridržavati postupka javne nabave za subjekte koji su obveznici Zakona o javnoj nabavi (NN 90/11, 83/13, 143/13, 13/14).“ Svi postupci nabave provedeni u okviru prijavljenog projekta, a prije datuma stupanja na snagu ugovora o dodjeli bespovratnih sredstava također moraju biti provedeni u skladu sa Zakonom o javnoj nabavi kako bi se mogli smatrati prihvatljivima.</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29. srpnja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5652DE" w:rsidRDefault="007B0B10" w:rsidP="007B0B10">
            <w:pPr>
              <w:jc w:val="both"/>
              <w:rPr>
                <w:sz w:val="22"/>
                <w:szCs w:val="22"/>
                <w:lang w:val="it-IT"/>
              </w:rPr>
            </w:pPr>
            <w:r w:rsidRPr="007B0B10">
              <w:rPr>
                <w:sz w:val="22"/>
                <w:szCs w:val="22"/>
                <w:lang w:val="hr-HR" w:eastAsia="hr-HR"/>
              </w:rPr>
              <w:t>Da li pripremu projektne dokumentacije i tehničke dokumentacije treba provoditi putem javne nabave i ako da tko provodi javnu nabavu – Ministarstvo socijalne politike i mladih ili Centar za socijalnu skrb?</w:t>
            </w:r>
          </w:p>
        </w:tc>
        <w:tc>
          <w:tcPr>
            <w:tcW w:w="6946" w:type="dxa"/>
          </w:tcPr>
          <w:p w:rsidR="007B0B10" w:rsidRPr="007B0B10" w:rsidRDefault="007B0B10" w:rsidP="007B0B10">
            <w:pPr>
              <w:jc w:val="both"/>
              <w:rPr>
                <w:sz w:val="22"/>
                <w:szCs w:val="22"/>
                <w:lang w:val="hr-HR"/>
              </w:rPr>
            </w:pPr>
            <w:r w:rsidRPr="007B0B10">
              <w:rPr>
                <w:sz w:val="22"/>
                <w:szCs w:val="22"/>
                <w:lang w:val="hr-HR"/>
              </w:rPr>
              <w:t>Kod podnošenja projektnih prijedloga i tijekom provedbe projekata, korisnici se moraju pridržavati postupka javne nabave za subjekte koji su obveznici Zakona o javnoj nabavi (NN 90/11, 83/13, 143/13, 13/14). Svi postupci nabave provedeni u okviru prijavljenog projekta, a prije datuma stupanja na snagu ugovora o dodjeli bespovratnih sredstava također moraju biti provedeni u skladu sa Zakonom o javnoj nabavi kako bi se mogli smatrati prihvatljivima.</w:t>
            </w:r>
          </w:p>
          <w:p w:rsidR="007B0B10" w:rsidRPr="005652DE" w:rsidRDefault="007B0B10" w:rsidP="007B0B10">
            <w:pPr>
              <w:jc w:val="both"/>
              <w:rPr>
                <w:sz w:val="22"/>
                <w:szCs w:val="22"/>
                <w:lang w:val="hr-HR"/>
              </w:rPr>
            </w:pPr>
            <w:r w:rsidRPr="007B0B10">
              <w:rPr>
                <w:sz w:val="22"/>
                <w:szCs w:val="22"/>
                <w:lang w:val="hr-HR"/>
              </w:rPr>
              <w:t xml:space="preserve">Nabavu provodi prijavitelj, odnosno korisnik bespovratnih sredstava. </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29. srpnja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5652DE" w:rsidRDefault="007B0B10" w:rsidP="007B0B10">
            <w:pPr>
              <w:jc w:val="both"/>
              <w:rPr>
                <w:sz w:val="22"/>
                <w:szCs w:val="22"/>
                <w:lang w:val="it-IT"/>
              </w:rPr>
            </w:pPr>
            <w:r w:rsidRPr="007B0B10">
              <w:rPr>
                <w:sz w:val="22"/>
                <w:szCs w:val="22"/>
                <w:lang w:val="hr-HR" w:eastAsia="hr-HR"/>
              </w:rPr>
              <w:t>Tko od djelatnika Centra mora biti uključen u projekt, u kojem svojstvu i da li se i njima/njoj/njemu priznaju troškovi?</w:t>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Sukladno Uputama za prijavitelje, točci 2.5: “Prijavitelj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 </w:t>
            </w:r>
          </w:p>
          <w:p w:rsidR="007B0B10" w:rsidRPr="005652DE" w:rsidRDefault="007B0B10" w:rsidP="007B0B10">
            <w:pPr>
              <w:jc w:val="both"/>
              <w:rPr>
                <w:sz w:val="22"/>
                <w:szCs w:val="22"/>
                <w:lang w:val="hr-HR"/>
              </w:rPr>
            </w:pPr>
            <w:r w:rsidRPr="007B0B10">
              <w:rPr>
                <w:sz w:val="22"/>
                <w:szCs w:val="22"/>
                <w:lang w:val="hr-HR"/>
              </w:rPr>
              <w:t>Troškovi osoblja kao dio troškova provedbe projekta su prihvatljivi pod uvjetom da zadovoljavaju sve odredbe o prihvatljivosti troškova.</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29. srpnja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5652DE" w:rsidRDefault="007B0B10" w:rsidP="007B0B10">
            <w:pPr>
              <w:jc w:val="both"/>
              <w:rPr>
                <w:sz w:val="22"/>
                <w:szCs w:val="22"/>
                <w:lang w:val="it-IT"/>
              </w:rPr>
            </w:pPr>
            <w:r w:rsidRPr="007B0B10">
              <w:rPr>
                <w:sz w:val="22"/>
                <w:szCs w:val="22"/>
                <w:lang w:val="hr-HR" w:eastAsia="hr-HR"/>
              </w:rPr>
              <w:t>Da li će i kada biti organizirana savjetovanja, radionice ili sl. u vezi s ovim projektom?</w:t>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Radionica za prihvatljive prijavitelje bit će organizirana neposredno prije najranijeg mogućeg datuma dostave projektnih prijedloga, odnosno prije 1. rujna 2016. Obavijest o točnom vremenu i mjestu održavanja radionice bit će objavljena na </w:t>
            </w:r>
            <w:hyperlink r:id="rId12" w:history="1">
              <w:r w:rsidRPr="007B0B10">
                <w:rPr>
                  <w:rStyle w:val="Hyperlink"/>
                  <w:sz w:val="22"/>
                  <w:szCs w:val="22"/>
                  <w:lang w:val="hr-HR"/>
                </w:rPr>
                <w:t>www.strukturnifondovi.hr</w:t>
              </w:r>
            </w:hyperlink>
            <w:r w:rsidRPr="007B0B10">
              <w:rPr>
                <w:sz w:val="22"/>
                <w:szCs w:val="22"/>
                <w:lang w:val="hr-HR"/>
              </w:rPr>
              <w:t xml:space="preserve"> uz tekst o Pozivu. Indikativni datum (za sada) održavanja radionice je 31. kolovoz 2016., u Zagrebu, u Češkom domu, na adresi Šubićeva 20, s početkom u 10:00 sati.</w:t>
            </w:r>
          </w:p>
          <w:p w:rsidR="007B0B10" w:rsidRPr="005652DE" w:rsidRDefault="007B0B10" w:rsidP="007B0B10">
            <w:pPr>
              <w:jc w:val="both"/>
              <w:rPr>
                <w:sz w:val="22"/>
                <w:szCs w:val="22"/>
                <w:lang w:val="it-IT"/>
              </w:rPr>
            </w:pPr>
            <w:r w:rsidRPr="007B0B10">
              <w:rPr>
                <w:sz w:val="22"/>
                <w:szCs w:val="22"/>
                <w:lang w:val="hr-HR"/>
              </w:rPr>
              <w:lastRenderedPageBreak/>
              <w:t>Nakon potpisa ugovora o dodjeli bespovratnih sredstava SAFU će organizirati radionice o provedbi projekta za korisnike.</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2</w:t>
            </w:r>
            <w:r>
              <w:rPr>
                <w:b/>
                <w:sz w:val="22"/>
                <w:szCs w:val="22"/>
                <w:lang w:val="hr-HR"/>
              </w:rPr>
              <w:t>4</w:t>
            </w:r>
            <w:r w:rsidRPr="007B0B10">
              <w:rPr>
                <w:b/>
                <w:sz w:val="22"/>
                <w:szCs w:val="22"/>
                <w:lang w:val="hr-HR"/>
              </w:rPr>
              <w:t xml:space="preserve">. </w:t>
            </w:r>
            <w:r>
              <w:rPr>
                <w:b/>
                <w:sz w:val="22"/>
                <w:szCs w:val="22"/>
                <w:lang w:val="hr-HR"/>
              </w:rPr>
              <w:t>kolovoza</w:t>
            </w:r>
            <w:r w:rsidRPr="007B0B10">
              <w:rPr>
                <w:b/>
                <w:sz w:val="22"/>
                <w:szCs w:val="22"/>
                <w:lang w:val="hr-HR"/>
              </w:rPr>
              <w:t xml:space="preserve">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7B0B10" w:rsidRDefault="007B0B10" w:rsidP="007B0B10">
            <w:pPr>
              <w:rPr>
                <w:sz w:val="22"/>
                <w:szCs w:val="22"/>
                <w:lang w:val="hr-HR"/>
              </w:rPr>
            </w:pPr>
            <w:r w:rsidRPr="007B0B10">
              <w:rPr>
                <w:sz w:val="22"/>
                <w:szCs w:val="22"/>
                <w:lang w:val="hr-HR"/>
              </w:rPr>
              <w:t>a) Postoji li dobno ograničenje ciljne skupine ili u nju spa</w:t>
            </w:r>
            <w:r>
              <w:rPr>
                <w:sz w:val="22"/>
                <w:szCs w:val="22"/>
                <w:lang w:val="hr-HR"/>
              </w:rPr>
              <w:t>daju i djeca i mladi i odrasli?</w:t>
            </w:r>
            <w:r w:rsidRPr="007B0B10">
              <w:rPr>
                <w:sz w:val="22"/>
                <w:szCs w:val="22"/>
                <w:lang w:val="hr-HR"/>
              </w:rPr>
              <w:br/>
            </w:r>
          </w:p>
          <w:p w:rsidR="007B0B10" w:rsidRPr="005652DE" w:rsidRDefault="007B0B10" w:rsidP="007B0B10">
            <w:pPr>
              <w:rPr>
                <w:sz w:val="22"/>
                <w:szCs w:val="22"/>
                <w:lang w:val="hr-HR"/>
              </w:rPr>
            </w:pPr>
            <w:r w:rsidRPr="007B0B10">
              <w:rPr>
                <w:sz w:val="22"/>
                <w:szCs w:val="22"/>
                <w:lang w:val="hr-HR"/>
              </w:rPr>
              <w:t>b) Postoji li uvjet u vidu broja korisnika na koji bi projekt utjecao (pr. zbrajaju li se brojevi svih korisnika usluga centra ili isključivo korisnika koji su u ustanovama?</w:t>
            </w:r>
            <w:r w:rsidRPr="007B0B10">
              <w:rPr>
                <w:sz w:val="22"/>
                <w:szCs w:val="22"/>
                <w:lang w:val="hr-HR"/>
              </w:rPr>
              <w:br/>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Kako je uloga centara za socijalnu skrb u procesu deinstitucionalizacije usko povezana s deinstitucionalizacijom domova za socijalnu skrb/centara za pružanje usluga u zajednici, i to domova za djecu bez odgovarajuće roditeljske skrbi, domova za djecu i mlade s problemima u ponašanju, domove za osobe s intelektualnim oštećenjima i domove za osobe s mentalnim oštećenjima (djecu s teškoćama u razvoju i odrasle osobe s invaliditetom), ovo su ujedno i ciljne skupine na koje se proces deinstitucionalizacije odnosi.  </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 xml:space="preserve">Nastavno, prilikom vašeg iskaza doprinosa procesu deinstitucionalizacije, inkluzije ranjivih skupina te širenju mreže socijalnih usluga iz institucije u zajednicu, a u skladu s ciljevima i aktivnostima </w:t>
            </w:r>
            <w:r w:rsidRPr="007B0B10">
              <w:rPr>
                <w:i/>
                <w:sz w:val="22"/>
                <w:szCs w:val="22"/>
                <w:lang w:val="hr-HR"/>
              </w:rPr>
              <w:t>Operativnog plana deinstitucionalizacije i transformacije domova socijalne skrbi i drugih pravnih osoba koje obavljaju djelatnost socijalne skrbi u Republici Hrvatskoj 2014. – 2016.</w:t>
            </w:r>
            <w:r w:rsidRPr="007B0B10">
              <w:rPr>
                <w:sz w:val="22"/>
                <w:szCs w:val="22"/>
                <w:lang w:val="hr-HR"/>
              </w:rPr>
              <w:t>, iskazuju se podaci o procijenjenom povećanju broja povrataka ili upućivanja u izvaninstitucijske oblike smještaja,  kao i broj osoba koje će biti upućene u različite oblike skrbi u zajednici koje pružaju organizacije civilnog društva i drugi pružatelji socijalnih usluga. Navedeno se dakle odnosi na osobe koje se nalaze na smještaju u instituciji te će temeljem rješenja CZSS biti izmještene iz institucije, kao i na osobe koje će u svrhu prevencije institucionalizacije temeljem rješenja CZSS biti upućene u različite oblike izvaninstitucijske skrbi. Ne postoji ograničenje vezano uz broj korisnika, već je važno da pripadaju ranije navedenim ciljnim skupinama.</w:t>
            </w:r>
          </w:p>
          <w:p w:rsidR="007B0B10" w:rsidRPr="007B0B10" w:rsidRDefault="007B0B10" w:rsidP="007B0B10">
            <w:pPr>
              <w:jc w:val="both"/>
              <w:rPr>
                <w:sz w:val="22"/>
                <w:szCs w:val="22"/>
                <w:lang w:val="hr-HR"/>
              </w:rPr>
            </w:pPr>
          </w:p>
          <w:p w:rsidR="007B0B10" w:rsidRPr="005652DE" w:rsidRDefault="007B0B10" w:rsidP="007B0B10">
            <w:pPr>
              <w:jc w:val="both"/>
              <w:rPr>
                <w:sz w:val="22"/>
                <w:szCs w:val="22"/>
                <w:lang w:val="hr-HR"/>
              </w:rPr>
            </w:pPr>
            <w:r w:rsidRPr="007B0B10">
              <w:rPr>
                <w:sz w:val="22"/>
                <w:szCs w:val="22"/>
                <w:lang w:val="hr-HR"/>
              </w:rPr>
              <w:t>Ukoliko projekt uključuje infrastrukturu koja se samo dijelom koristi za navedene skupine, projekt se i dalje može smatrati prihvatljivim, ali se troškovi mogu priznati samo za onaj dio infrastrukture koji je namijenjen procesima deinstitucionalizacije i sprječavanju institucionalizacije navedenih skupina, a što mora biti jasno razgraničeno, a sredstva za neprihvatljive troškove osigurana.“</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 xml:space="preserve">29. </w:t>
            </w:r>
            <w:r>
              <w:rPr>
                <w:b/>
                <w:sz w:val="22"/>
                <w:szCs w:val="22"/>
                <w:lang w:val="hr-HR"/>
              </w:rPr>
              <w:t>kolovoza</w:t>
            </w:r>
            <w:r w:rsidRPr="007B0B10">
              <w:rPr>
                <w:b/>
                <w:sz w:val="22"/>
                <w:szCs w:val="22"/>
                <w:lang w:val="hr-HR"/>
              </w:rPr>
              <w:t xml:space="preserve">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5652DE" w:rsidRDefault="007B0B10" w:rsidP="007B0B10">
            <w:pPr>
              <w:jc w:val="both"/>
              <w:rPr>
                <w:sz w:val="22"/>
                <w:szCs w:val="22"/>
                <w:lang w:val="hr-HR"/>
              </w:rPr>
            </w:pPr>
            <w:r w:rsidRPr="007B0B10">
              <w:rPr>
                <w:sz w:val="22"/>
                <w:szCs w:val="22"/>
                <w:lang w:val="hr-HR"/>
              </w:rPr>
              <w:t>Na koji način ćemo unositi u MIS-u troškove nastale prije potpisivanja ugovora jer nas MIS traži da unesemo odmah i trajanje projekta a to je 36 mjeseci te program sam izračuna kraj projekta. To bi značilo da ako unesemo trošak nastao u 2015 g. tada  projekt završava u 2018 g., međutim  to nije  točno jer projekt završava tek nakon 36 mjeseci od potpisivanja ugovora.</w:t>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Trajanje provedbe projekta u MIS se unosi na način da je početak provedbe projekta mjesec u kojemu je nastala prva nepovratna obveza kojom se naručuju dobra ili usluge (primjerice ugovor, račun i sl.), uzevši u obzir da provedba projekta može započeti najranije od 1. siječnja 2014. godine, a završiti najkasnije 36 mjeseci od potpisivanja ugovora o dodjeli bespovratnih sredstava. </w:t>
            </w:r>
          </w:p>
          <w:p w:rsidR="007B0B10" w:rsidRPr="007B0B10" w:rsidRDefault="007B0B10" w:rsidP="007B0B10">
            <w:pPr>
              <w:jc w:val="both"/>
              <w:rPr>
                <w:sz w:val="22"/>
                <w:szCs w:val="22"/>
                <w:lang w:val="hr-HR"/>
              </w:rPr>
            </w:pPr>
            <w:r w:rsidRPr="007B0B10">
              <w:rPr>
                <w:sz w:val="22"/>
                <w:szCs w:val="22"/>
                <w:lang w:val="hr-HR"/>
              </w:rPr>
              <w:t xml:space="preserve">Prema tome, ukoliko je projekt počeo prije samog potpisivanja ugovora, razdoblje provedbe projekta obuhvaća i razdoblje prije potpisa ugovora (xy mjeseci) i razdoblje nakon potpisa ugovora (maksimalno 36 mjeseci). U tom slučaju, u grafičkom prikazu bit će prikazano da projekt traje xy + max. 36 mjeseci i svi troškovi nastali u tom razdoblju smatraju se prihvatljivima.  </w:t>
            </w:r>
          </w:p>
          <w:p w:rsidR="007B0B10" w:rsidRPr="007B0B10" w:rsidRDefault="007B0B10" w:rsidP="007B0B10">
            <w:pPr>
              <w:jc w:val="both"/>
              <w:rPr>
                <w:sz w:val="22"/>
                <w:szCs w:val="22"/>
                <w:lang w:val="hr-HR"/>
              </w:rPr>
            </w:pPr>
            <w:r w:rsidRPr="007B0B10">
              <w:rPr>
                <w:sz w:val="22"/>
                <w:szCs w:val="22"/>
                <w:lang w:val="hr-HR"/>
              </w:rPr>
              <w:t> </w:t>
            </w:r>
          </w:p>
          <w:p w:rsidR="007B0B10" w:rsidRPr="007B0B10" w:rsidRDefault="007B0B10" w:rsidP="007B0B10">
            <w:pPr>
              <w:jc w:val="both"/>
              <w:rPr>
                <w:sz w:val="22"/>
                <w:szCs w:val="22"/>
                <w:lang w:val="hr-HR"/>
              </w:rPr>
            </w:pPr>
            <w:r w:rsidRPr="007B0B10">
              <w:rPr>
                <w:sz w:val="22"/>
                <w:szCs w:val="22"/>
                <w:lang w:val="hr-HR"/>
              </w:rPr>
              <w:t xml:space="preserve">Sve gore navedeno jasno je navedeno i u Uputama za prijavitelje: </w:t>
            </w:r>
          </w:p>
          <w:p w:rsidR="007B0B10" w:rsidRPr="007B0B10" w:rsidRDefault="007B0B10" w:rsidP="007B0B10">
            <w:pPr>
              <w:jc w:val="both"/>
              <w:rPr>
                <w:sz w:val="22"/>
                <w:szCs w:val="22"/>
                <w:lang w:val="hr-HR"/>
              </w:rPr>
            </w:pPr>
            <w:r w:rsidRPr="007B0B10">
              <w:rPr>
                <w:sz w:val="22"/>
                <w:szCs w:val="22"/>
                <w:lang w:val="hr-HR"/>
              </w:rPr>
              <w:t xml:space="preserve">„Početak provedbe projekta odnosi se na početak obavljanja aktivnosti projekta, odnosno označava prvu preuzetu obvezu kojom se naručuju dobra ili usluge ili druga obveza na temelju koje je ulaganje nepovratno, ovisno o tome što je od navedenog nastupilo prije, a najranije od 1. siječnja 2014. godine </w:t>
            </w:r>
          </w:p>
          <w:p w:rsidR="007B0B10" w:rsidRPr="007B0B10" w:rsidRDefault="007B0B10" w:rsidP="007B0B10">
            <w:pPr>
              <w:jc w:val="both"/>
              <w:rPr>
                <w:sz w:val="22"/>
                <w:szCs w:val="22"/>
                <w:lang w:val="hr-HR"/>
              </w:rPr>
            </w:pPr>
            <w:r w:rsidRPr="007B0B10">
              <w:rPr>
                <w:sz w:val="22"/>
                <w:szCs w:val="22"/>
                <w:lang w:val="hr-HR"/>
              </w:rPr>
              <w:t>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rsidR="007B0B10" w:rsidRPr="005652DE" w:rsidRDefault="007B0B10" w:rsidP="007B0B10">
            <w:pPr>
              <w:jc w:val="both"/>
              <w:rPr>
                <w:sz w:val="22"/>
                <w:szCs w:val="22"/>
                <w:lang w:val="hr-HR"/>
              </w:rPr>
            </w:pPr>
            <w:r w:rsidRPr="007B0B10">
              <w:rPr>
                <w:sz w:val="22"/>
                <w:szCs w:val="22"/>
                <w:lang w:val="hr-HR"/>
              </w:rPr>
              <w:t>Razdoblje prihvatljivosti izdataka uključuje razdoblje provedbe projekta i najviše 6 mjeseci od završetka razdoblja provedbe projekta. Izdatak od strane Korisnika mora nastati u razdoblju provedbe projekta, izuzev izdataka vezanih uz reviziju projekta, plaća te trošak PDV-a za koji korisnik nema pravo ostvariti odbitak koji mogu nastati i nakon razdoblja provedbe, te biti plaćen do isteka razdoblja prihvatljivosti izdataka, odnosno do odobrenja Završnog izvještaja, ovisno koji događaj prije nastane.</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1. rujna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5652DE" w:rsidRDefault="007B0B10" w:rsidP="007B0B10">
            <w:pPr>
              <w:jc w:val="both"/>
              <w:rPr>
                <w:sz w:val="22"/>
                <w:szCs w:val="22"/>
                <w:lang w:val="it-IT"/>
              </w:rPr>
            </w:pPr>
            <w:r w:rsidRPr="007B0B10">
              <w:rPr>
                <w:sz w:val="22"/>
                <w:szCs w:val="22"/>
                <w:lang w:val="hr-HR"/>
              </w:rPr>
              <w:t>Treba li Centar za kupnju nekretnine tražiti odobrenje / suglasnost Ministarstva socijalne politike i mladih ili nekog drugog javnog tijela?</w:t>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Za kupnju nekretnine centri za socijalnu skrb trebaju ishoditi odobrenje / suglasnost Ministarstva socijalne politike i mladih. </w:t>
            </w:r>
          </w:p>
          <w:p w:rsidR="007B0B10" w:rsidRPr="005652DE" w:rsidRDefault="007B0B10" w:rsidP="007B0B10">
            <w:pPr>
              <w:jc w:val="both"/>
              <w:rPr>
                <w:sz w:val="22"/>
                <w:szCs w:val="22"/>
                <w:lang w:val="hr-HR"/>
              </w:rPr>
            </w:pPr>
            <w:r w:rsidRPr="007B0B10">
              <w:rPr>
                <w:sz w:val="22"/>
                <w:szCs w:val="22"/>
                <w:lang w:val="hr-HR"/>
              </w:rPr>
              <w:t>Osim toga, nakon što Ministarstvo kupnju nekretnine ocijeni opravdanom, Ministarstvo šalje zahtjev Državnom uredu za upravljanje državnom imovinom u ime centra za socijalnu skrb. Tek nakon suglasnosti / odobrenja od obje institucije korisnici mogu provoditi proceduru kupnje / nabave nekretnine.</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1. rujna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5652DE" w:rsidRDefault="007B0B10" w:rsidP="007B0B10">
            <w:pPr>
              <w:jc w:val="both"/>
              <w:rPr>
                <w:sz w:val="22"/>
                <w:szCs w:val="22"/>
                <w:lang w:val="it-IT"/>
              </w:rPr>
            </w:pPr>
            <w:r w:rsidRPr="007B0B10">
              <w:rPr>
                <w:sz w:val="22"/>
                <w:szCs w:val="22"/>
                <w:lang w:val="hr-HR"/>
              </w:rPr>
              <w:t xml:space="preserve">Kako odrediti cijenu koštanja rekonstrukcije kada ne postoji troškovnik jer tehnička dokumentacija nije izrađena i ponovo kako platiti arhitekta tek po dobivanju sredstava? </w:t>
            </w:r>
          </w:p>
        </w:tc>
        <w:tc>
          <w:tcPr>
            <w:tcW w:w="6946" w:type="dxa"/>
          </w:tcPr>
          <w:p w:rsidR="007B0B10" w:rsidRPr="007B0B10" w:rsidRDefault="007B0B10" w:rsidP="007B0B10">
            <w:pPr>
              <w:jc w:val="both"/>
              <w:rPr>
                <w:sz w:val="22"/>
                <w:szCs w:val="22"/>
                <w:lang w:val="hr-HR"/>
              </w:rPr>
            </w:pPr>
            <w:r w:rsidRPr="007B0B10">
              <w:rPr>
                <w:sz w:val="22"/>
                <w:szCs w:val="22"/>
                <w:lang w:val="hr-HR"/>
              </w:rPr>
              <w:t>Prilikom planiranja projektnih troškova prijavitelji se mogu ravnati ponudama za izvedbu radova, ponudama za kupnju ili nabavu opreme, cjenicima, pri tome je bitno naglasiti, sukladno Uputama, točci 2.9. “Proračun projekta mora biti realan i učinkovit tj. izdaci moraju biti dostatni za postizanje očekivanih učinaka/rezultata, a cijene trebaju odgovarati tržišnim cijenama.”</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 xml:space="preserve">Ukoliko prijavitelj potpiše ugovor o dodjeli bespovratnih sredstava, isplata prihvatljivih izdataka iz bespovratnih sredstava korisniku će biti izvršena u skladu s ugovorom o dodjeli bespovratnih sredstava, metodom nadoknade ili metodom plaćanja ili kombinacijom obje metode. </w:t>
            </w:r>
          </w:p>
          <w:p w:rsidR="007B0B10" w:rsidRPr="007B0B10" w:rsidRDefault="007B0B10" w:rsidP="007B0B10">
            <w:pPr>
              <w:jc w:val="both"/>
              <w:rPr>
                <w:sz w:val="22"/>
                <w:szCs w:val="22"/>
              </w:rPr>
            </w:pPr>
            <w:r w:rsidRPr="007B0B10">
              <w:rPr>
                <w:sz w:val="22"/>
                <w:szCs w:val="22"/>
                <w:lang w:val="hr-HR"/>
              </w:rPr>
              <w:t xml:space="preserve">Ukoliko postoji potreba za plaćanje projektnih troškova prije potpisa ugovora, treba uzeti u obzir da razdoblje prihvatljivosti troškova započinje od 1. siječnja 2014. godine. Nakon potpisivanja ugovora ta se sredstva mogu potraživati putem gore spomenutih metoda nadoknade sredstava. Prijavitelj preuzima rizik moguće neprihvatljivosti troškova nastalih u razdoblju između 1. siječnja 2014. godine i datuma stupanja na snagu ugovora o dodjeli bespovratnih sredstava radi nesukladnosti sa zahtjevima navedenima pod točkom 2.9. Uputa. </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7B0B10">
              <w:rPr>
                <w:b/>
                <w:sz w:val="22"/>
                <w:szCs w:val="22"/>
                <w:lang w:val="hr-HR"/>
              </w:rPr>
              <w:t>4. rujna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7B0B10" w:rsidRDefault="007B0B10" w:rsidP="007B0B10">
            <w:pPr>
              <w:jc w:val="both"/>
              <w:rPr>
                <w:color w:val="000000"/>
                <w:sz w:val="22"/>
                <w:szCs w:val="22"/>
                <w:lang w:val="hr-HR"/>
              </w:rPr>
            </w:pPr>
            <w:r w:rsidRPr="007B0B10">
              <w:rPr>
                <w:color w:val="000000"/>
                <w:sz w:val="22"/>
                <w:szCs w:val="22"/>
                <w:lang w:val="hr-HR"/>
              </w:rPr>
              <w:t xml:space="preserve">Molimo Vas za povratnu informaciju te uvjete mogućeg predujma koji bi uključivao predfinanciranje pripreme projektne dokumentacije i prijave na natječaj, postupak provedbe javne nabave, ishodovanje potvrda te angažiranje stručnjaka. </w:t>
            </w:r>
          </w:p>
          <w:p w:rsidR="007B0B10" w:rsidRPr="007B0B10" w:rsidRDefault="007B0B10" w:rsidP="007B0B10">
            <w:pPr>
              <w:jc w:val="both"/>
              <w:rPr>
                <w:color w:val="000000"/>
                <w:sz w:val="22"/>
                <w:szCs w:val="22"/>
                <w:lang w:val="hr-HR"/>
              </w:rPr>
            </w:pPr>
          </w:p>
          <w:p w:rsidR="007B0B10" w:rsidRPr="005652DE" w:rsidRDefault="007B0B10" w:rsidP="007B0B10">
            <w:pPr>
              <w:jc w:val="both"/>
              <w:rPr>
                <w:sz w:val="22"/>
                <w:szCs w:val="22"/>
                <w:lang w:val="hr-HR"/>
              </w:rPr>
            </w:pPr>
            <w:r w:rsidRPr="007B0B10">
              <w:rPr>
                <w:color w:val="000000"/>
                <w:sz w:val="22"/>
                <w:szCs w:val="22"/>
                <w:lang w:val="hr-HR"/>
              </w:rPr>
              <w:lastRenderedPageBreak/>
              <w:t>Također, molimo Vas za kontakte s kim bi kontinuirano mogli komunicirati u vezi financiranja projekta.</w:t>
            </w:r>
          </w:p>
        </w:tc>
        <w:tc>
          <w:tcPr>
            <w:tcW w:w="6946" w:type="dxa"/>
          </w:tcPr>
          <w:p w:rsidR="007B0B10" w:rsidRPr="007B0B10" w:rsidRDefault="007B0B10" w:rsidP="007B0B10">
            <w:pPr>
              <w:jc w:val="both"/>
              <w:rPr>
                <w:sz w:val="22"/>
                <w:szCs w:val="22"/>
                <w:lang w:val="hr-HR"/>
              </w:rPr>
            </w:pPr>
            <w:r w:rsidRPr="007B0B10">
              <w:rPr>
                <w:sz w:val="22"/>
                <w:szCs w:val="22"/>
                <w:lang w:val="hr-HR"/>
              </w:rPr>
              <w:lastRenderedPageBreak/>
              <w:t xml:space="preserve">S obzirom da korisnici proračuna nemaju pravo na predujam nakon potpisa ugovora, u Pozivu su navedene dvije metode plaćanja te će isplata prihvatljivih izdataka iz bespovratnih sredstava korisniku biti izvršena u skladu s ugovorom o dodjeli bespovratnih sredstava: metodom nadoknade ili metodom plaćanja ili kombinacijom obje metode. Metoda nadoknade podrazumijeva povrat sredstava temeljem plaćenih računa, dok se metoda </w:t>
            </w:r>
            <w:r w:rsidRPr="007B0B10">
              <w:rPr>
                <w:sz w:val="22"/>
                <w:szCs w:val="22"/>
                <w:lang w:val="hr-HR"/>
              </w:rPr>
              <w:lastRenderedPageBreak/>
              <w:t>plaćanja vrši podnošenjem neplaćenih računa u Središnju agenciju za financiranje i ugovaranje na pregled te ukoliko su troškovi prihvatljivi, oni se izravno plaćaju iz sredstava projekta. Dosadašnja praksa bila je metoda nadoknade, u SAFU (Središnju agenciju za financiranje programa i projekata EU) se podnosi zahtjev za nadoknadu sredstava, nakon provjere dokumentacije u skladu s pravilima javne nabave, dolazi do odobrenja troška i povrata sredstava.</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Tijekom procedure prijave projekata postoje stroga pravila nabave koja sve prijavitelje tretiraju jednako, stoga se sva pitanja šalju putem elektroničke pošte, a odgovori se objavljuju na internetskoj stranici www.strukturnifondovi.hr.</w:t>
            </w:r>
          </w:p>
          <w:p w:rsidR="007B0B10" w:rsidRPr="005652DE" w:rsidRDefault="007B0B10" w:rsidP="007B0B10">
            <w:pPr>
              <w:jc w:val="both"/>
              <w:rPr>
                <w:sz w:val="22"/>
                <w:szCs w:val="22"/>
                <w:lang w:val="hr-HR"/>
              </w:rPr>
            </w:pPr>
            <w:r w:rsidRPr="007B0B10">
              <w:rPr>
                <w:sz w:val="22"/>
                <w:szCs w:val="22"/>
                <w:lang w:val="hr-HR"/>
              </w:rPr>
              <w:t>Tek nakon eventualnog potpisa ugovora o dodjeli bespovratnih sredstava, svakom korisniku bit će na raspolaganju voditelj projekta u SAFU za sva financijska pitanja, osim toga bit će organizirane provedbene radionice za korisnike.</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11</w:t>
            </w:r>
            <w:r w:rsidRPr="007B0B10">
              <w:rPr>
                <w:b/>
                <w:sz w:val="22"/>
                <w:szCs w:val="22"/>
                <w:lang w:val="hr-HR"/>
              </w:rPr>
              <w:t xml:space="preserve">. </w:t>
            </w:r>
            <w:r>
              <w:rPr>
                <w:b/>
                <w:sz w:val="22"/>
                <w:szCs w:val="22"/>
                <w:lang w:val="hr-HR"/>
              </w:rPr>
              <w:t>listopada</w:t>
            </w:r>
            <w:r w:rsidRPr="007B0B10">
              <w:rPr>
                <w:b/>
                <w:sz w:val="22"/>
                <w:szCs w:val="22"/>
                <w:lang w:val="hr-HR"/>
              </w:rPr>
              <w:t xml:space="preserve">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7B0B10" w:rsidRDefault="007B0B10" w:rsidP="007B0B10">
            <w:pPr>
              <w:jc w:val="both"/>
              <w:rPr>
                <w:color w:val="000000"/>
                <w:sz w:val="22"/>
                <w:szCs w:val="22"/>
                <w:lang w:val="hr-HR"/>
              </w:rPr>
            </w:pPr>
            <w:r w:rsidRPr="007B0B10">
              <w:rPr>
                <w:color w:val="000000"/>
                <w:sz w:val="22"/>
                <w:szCs w:val="22"/>
                <w:lang w:val="hr-HR"/>
              </w:rPr>
              <w:t xml:space="preserve">Što ako je nekretnina koju namjeravamo kupiti u svrhu pružanja izvaninstitucionalnih usluga, procijenjena na iznos veći od 10% od ukupnog iznosa vrijednosti projekta? </w:t>
            </w:r>
          </w:p>
          <w:p w:rsidR="007B0B10" w:rsidRPr="005652DE" w:rsidRDefault="007B0B10" w:rsidP="007B0B10">
            <w:pPr>
              <w:jc w:val="both"/>
              <w:rPr>
                <w:sz w:val="22"/>
                <w:szCs w:val="22"/>
                <w:lang w:val="hr-HR"/>
              </w:rPr>
            </w:pPr>
            <w:r w:rsidRPr="007B0B10">
              <w:rPr>
                <w:color w:val="000000"/>
                <w:sz w:val="22"/>
                <w:szCs w:val="22"/>
                <w:lang w:val="hr-HR"/>
              </w:rPr>
              <w:t>S obzirom na dugotrajno istraživanje tržišta, ta nekretnina je jedina opcija za kupovinu i realizaciju projekta.</w:t>
            </w:r>
          </w:p>
        </w:tc>
        <w:tc>
          <w:tcPr>
            <w:tcW w:w="6946" w:type="dxa"/>
          </w:tcPr>
          <w:p w:rsidR="007B0B10" w:rsidRPr="007B0B10" w:rsidRDefault="007B0B10" w:rsidP="007B0B10">
            <w:pPr>
              <w:jc w:val="both"/>
              <w:rPr>
                <w:sz w:val="22"/>
                <w:szCs w:val="22"/>
                <w:lang w:val="hr-HR"/>
              </w:rPr>
            </w:pPr>
            <w:r w:rsidRPr="007B0B10">
              <w:rPr>
                <w:sz w:val="22"/>
                <w:szCs w:val="22"/>
                <w:lang w:val="hr-HR"/>
              </w:rPr>
              <w:t>U uputama za prijavitelje navedeno je:</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 xml:space="preserve">Točka 1.4.1. “Prijavitelj (korisnik) je također dužan iz vlastitih sredstva ili vanjskim financiranjem (npr. kreditom), osigurati financiranje ukupnih neprihvatljivih izdataka projekta.” </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Točka 2.9.1. „Troškovi kupovine nekretnine za pružanje izvaninstitucionalnih usluga do najviše 10% od ukupnog iznosa prihvatljivih troškova projekta. U slučaju da troškovi kupovine nekretnine prelaze dozvoljeni limit od 10% prihvatljivih troškova, iznos bespovratnih sredstava za taj trošak iz ovog Poziva dodijelit će se sukladno propisanom limitu;“</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 xml:space="preserve">To znači da će, u slučaju potpisa ugovora o dodjeli bespovratnih sredstava, korisniku biti isplaćeno 10% od ukupnog iznosa prihvatljivih troškova projekta za trošak kupovine nekretnine, a ostali dio korisnik mora osigurati iz drugih izvora. </w:t>
            </w:r>
          </w:p>
          <w:p w:rsidR="007B0B10" w:rsidRPr="007B0B10" w:rsidRDefault="007B0B10" w:rsidP="007B0B10">
            <w:pPr>
              <w:jc w:val="both"/>
              <w:rPr>
                <w:sz w:val="22"/>
                <w:szCs w:val="22"/>
                <w:lang w:val="hr-HR"/>
              </w:rPr>
            </w:pPr>
          </w:p>
          <w:p w:rsidR="007B0B10" w:rsidRPr="005652DE" w:rsidRDefault="007B0B10" w:rsidP="007B0B10">
            <w:pPr>
              <w:jc w:val="both"/>
              <w:rPr>
                <w:sz w:val="22"/>
                <w:szCs w:val="22"/>
                <w:lang w:val="hr-HR"/>
              </w:rPr>
            </w:pPr>
            <w:r w:rsidRPr="007B0B10">
              <w:rPr>
                <w:sz w:val="22"/>
                <w:szCs w:val="22"/>
                <w:lang w:val="hr-HR"/>
              </w:rPr>
              <w:lastRenderedPageBreak/>
              <w:t>Gore navedeno je u skladu s Pravilnikom o prihvatljivosti izdataka (NN 143/14).</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12</w:t>
            </w:r>
            <w:r w:rsidRPr="007B0B10">
              <w:rPr>
                <w:b/>
                <w:sz w:val="22"/>
                <w:szCs w:val="22"/>
                <w:lang w:val="hr-HR"/>
              </w:rPr>
              <w:t xml:space="preserve">. </w:t>
            </w:r>
            <w:r>
              <w:rPr>
                <w:b/>
                <w:sz w:val="22"/>
                <w:szCs w:val="22"/>
                <w:lang w:val="hr-HR"/>
              </w:rPr>
              <w:t>listopada</w:t>
            </w:r>
            <w:r w:rsidRPr="007B0B10">
              <w:rPr>
                <w:b/>
                <w:sz w:val="22"/>
                <w:szCs w:val="22"/>
                <w:lang w:val="hr-HR"/>
              </w:rPr>
              <w:t xml:space="preserve"> 2016.</w:t>
            </w:r>
          </w:p>
        </w:tc>
      </w:tr>
      <w:tr w:rsidR="007B0B10" w:rsidRPr="00EC7F45" w:rsidTr="00945657">
        <w:trPr>
          <w:trHeight w:val="272"/>
        </w:trPr>
        <w:tc>
          <w:tcPr>
            <w:tcW w:w="992" w:type="dxa"/>
            <w:vAlign w:val="center"/>
          </w:tcPr>
          <w:p w:rsidR="007B0B10" w:rsidRPr="005652DE" w:rsidRDefault="007B0B10" w:rsidP="007B0B10">
            <w:pPr>
              <w:pStyle w:val="ListParagraph"/>
              <w:numPr>
                <w:ilvl w:val="0"/>
                <w:numId w:val="4"/>
              </w:numPr>
              <w:ind w:hanging="549"/>
              <w:jc w:val="right"/>
              <w:rPr>
                <w:b/>
                <w:lang w:val="it-IT"/>
              </w:rPr>
            </w:pPr>
          </w:p>
        </w:tc>
        <w:tc>
          <w:tcPr>
            <w:tcW w:w="6095" w:type="dxa"/>
          </w:tcPr>
          <w:p w:rsidR="007B0B10" w:rsidRPr="007B0B10" w:rsidRDefault="007B0B10" w:rsidP="007B0B10">
            <w:pPr>
              <w:jc w:val="both"/>
              <w:rPr>
                <w:color w:val="000000"/>
                <w:sz w:val="22"/>
                <w:szCs w:val="22"/>
                <w:lang w:val="hr-HR"/>
              </w:rPr>
            </w:pPr>
            <w:r w:rsidRPr="007B0B10">
              <w:rPr>
                <w:color w:val="000000"/>
                <w:sz w:val="22"/>
                <w:szCs w:val="22"/>
                <w:lang w:val="hr-HR"/>
              </w:rPr>
              <w:t>a) U namjeri da uskoro predamo projektni prijedlog obavili smo potrebne predradnje (angažirali konzultante za pripremu projektne dokumentacije, neovisnog klasificiranog stručnjaka za procjenu nekretnine, inženjera za izradu troškovnika, …), za te određene usluge potrebno je da platimo, kako u proračunu nemamo predviđene takve vrste troškova to nije moguće, kako možemo podmiriti te troškove?</w:t>
            </w:r>
          </w:p>
          <w:p w:rsidR="007B0B10" w:rsidRPr="007B0B10" w:rsidRDefault="007B0B10" w:rsidP="007B0B10">
            <w:pPr>
              <w:jc w:val="both"/>
              <w:rPr>
                <w:color w:val="000000"/>
                <w:sz w:val="22"/>
                <w:szCs w:val="22"/>
                <w:lang w:val="hr-HR"/>
              </w:rPr>
            </w:pPr>
          </w:p>
          <w:p w:rsidR="007B0B10" w:rsidRPr="005652DE" w:rsidRDefault="007B0B10" w:rsidP="007B0B10">
            <w:pPr>
              <w:jc w:val="both"/>
              <w:rPr>
                <w:sz w:val="22"/>
                <w:szCs w:val="22"/>
                <w:lang w:val="it-IT"/>
              </w:rPr>
            </w:pPr>
            <w:r w:rsidRPr="007B0B10">
              <w:rPr>
                <w:color w:val="000000"/>
                <w:sz w:val="22"/>
                <w:szCs w:val="22"/>
                <w:lang w:val="hr-HR"/>
              </w:rPr>
              <w:t>b) U slučaju da nam projekt ne bude odobren, da li za te troškove možemo tražiti povrat sredstava?</w:t>
            </w:r>
          </w:p>
        </w:tc>
        <w:tc>
          <w:tcPr>
            <w:tcW w:w="6946" w:type="dxa"/>
          </w:tcPr>
          <w:p w:rsidR="007B0B10" w:rsidRPr="007B0B10" w:rsidRDefault="007B0B10" w:rsidP="007B0B10">
            <w:pPr>
              <w:jc w:val="both"/>
              <w:rPr>
                <w:sz w:val="22"/>
                <w:szCs w:val="22"/>
                <w:lang w:val="hr-HR"/>
              </w:rPr>
            </w:pPr>
            <w:r w:rsidRPr="007B0B10">
              <w:rPr>
                <w:sz w:val="22"/>
                <w:szCs w:val="22"/>
                <w:lang w:val="hr-HR"/>
              </w:rPr>
              <w:t xml:space="preserve">a) Preduvjet za pokriće troškova iz bespovratnih sredstava EFRR (ukoliko su prihvatljivi) je potpis ugovora o dodjeli bespovratnih sredstava jer je (kako je definirano u Uputama za prijavitelje, točci 6.1.) razdoblje financiranja – razdoblje unutar kojeg se mogu izvršavati financijske transakcije vezane uz izvršenje ugovora. Razdoblje financiranja projekta </w:t>
            </w:r>
            <w:r w:rsidRPr="007B0B10">
              <w:rPr>
                <w:sz w:val="22"/>
                <w:szCs w:val="22"/>
                <w:u w:val="single"/>
                <w:lang w:val="hr-HR"/>
              </w:rPr>
              <w:t>započinje stupanjem ugovora na snagu</w:t>
            </w:r>
            <w:r w:rsidRPr="007B0B10">
              <w:rPr>
                <w:sz w:val="22"/>
                <w:szCs w:val="22"/>
                <w:lang w:val="hr-HR"/>
              </w:rPr>
              <w:t xml:space="preserve"> i traje najdulje 18 mjeseci od datuma završetka razdoblja provedbe projekta, i u svakom slučaju do isteka općeg razdoblja prihvatljivosti OPKK iz kojeg se projekt financira, ovisno koje razdoblje je kraće. </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Za razliku od razdoblja financiranja koje je uvjetovano potpisom ugovora – razdoblje provedbe projekta 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rsidR="007B0B10" w:rsidRPr="007B0B10" w:rsidRDefault="007B0B10" w:rsidP="007B0B10">
            <w:pPr>
              <w:jc w:val="both"/>
              <w:rPr>
                <w:sz w:val="22"/>
                <w:szCs w:val="22"/>
                <w:lang w:val="hr-HR"/>
              </w:rPr>
            </w:pPr>
          </w:p>
          <w:p w:rsidR="007B0B10" w:rsidRPr="007B0B10" w:rsidRDefault="007B0B10" w:rsidP="007B0B10">
            <w:pPr>
              <w:jc w:val="both"/>
              <w:rPr>
                <w:sz w:val="22"/>
                <w:szCs w:val="22"/>
                <w:lang w:val="hr-HR"/>
              </w:rPr>
            </w:pPr>
            <w:r w:rsidRPr="007B0B10">
              <w:rPr>
                <w:sz w:val="22"/>
                <w:szCs w:val="22"/>
                <w:lang w:val="hr-HR"/>
              </w:rPr>
              <w:t>U vezi pitanja kako prijavitelj podmiruje troškove nastale prije potpisa ugovora ponavljamo pitanje i vezani odgovor s informativne radionice:</w:t>
            </w:r>
          </w:p>
          <w:p w:rsidR="007B0B10" w:rsidRPr="007B0B10" w:rsidRDefault="007B0B10" w:rsidP="007B0B10">
            <w:pPr>
              <w:rPr>
                <w:sz w:val="22"/>
                <w:szCs w:val="22"/>
                <w:lang w:val="hr-HR"/>
              </w:rPr>
            </w:pPr>
          </w:p>
          <w:p w:rsidR="007B0B10" w:rsidRPr="007B0B10" w:rsidRDefault="007B0B10" w:rsidP="007B0B10">
            <w:pPr>
              <w:jc w:val="both"/>
              <w:rPr>
                <w:sz w:val="22"/>
                <w:szCs w:val="22"/>
                <w:lang w:val="hr-HR"/>
              </w:rPr>
            </w:pPr>
            <w:r w:rsidRPr="007B0B10">
              <w:rPr>
                <w:b/>
                <w:sz w:val="22"/>
                <w:szCs w:val="22"/>
                <w:lang w:val="hr-HR"/>
              </w:rPr>
              <w:t>Pitanje:</w:t>
            </w:r>
            <w:r w:rsidRPr="007B0B10">
              <w:rPr>
                <w:sz w:val="22"/>
                <w:szCs w:val="22"/>
                <w:lang w:val="hr-HR"/>
              </w:rPr>
              <w:t xml:space="preserve"> Na koji način prihvatljivi prijavitelji osiguravaju sredstva za pripremu tehničke dokumentacije potrebne za prijavu projekta?</w:t>
            </w:r>
          </w:p>
          <w:p w:rsidR="007B0B10" w:rsidRPr="007B0B10" w:rsidRDefault="007B0B10" w:rsidP="007B0B10">
            <w:pPr>
              <w:jc w:val="both"/>
              <w:rPr>
                <w:b/>
                <w:sz w:val="22"/>
                <w:szCs w:val="22"/>
                <w:lang w:val="hr-HR"/>
              </w:rPr>
            </w:pPr>
          </w:p>
          <w:p w:rsidR="007B0B10" w:rsidRPr="007B0B10" w:rsidRDefault="007B0B10" w:rsidP="007B0B10">
            <w:pPr>
              <w:jc w:val="both"/>
              <w:rPr>
                <w:sz w:val="22"/>
                <w:szCs w:val="22"/>
                <w:lang w:val="hr-HR"/>
              </w:rPr>
            </w:pPr>
            <w:r w:rsidRPr="007B0B10">
              <w:rPr>
                <w:b/>
                <w:sz w:val="22"/>
                <w:szCs w:val="22"/>
                <w:lang w:val="hr-HR"/>
              </w:rPr>
              <w:t>Odgovor:</w:t>
            </w:r>
            <w:r w:rsidRPr="007B0B10">
              <w:rPr>
                <w:sz w:val="22"/>
                <w:szCs w:val="22"/>
                <w:lang w:val="hr-HR"/>
              </w:rPr>
              <w:t xml:space="preserve"> Prilikom prijave projekta prijavitelji ne moraju dostaviti tehničku dokumentaciju. Troškove tehničke dokumentacije korisnici potražuju prilikom dostave zahtjeva za nadoknadom sredstava koji je vezan za aktivnosti izgradnje, dogradnje, obnove ili prilagodbe infrastrukture. Prilikom prijave projekta potrebno je izraditi proračun projekta u kojemu su navedeni troškovi tehničke dokumentacije. Nakon početka provedbe projekta, korisnici odabiru metodu nadoknade sredstava ili metodu plaćanja kojima plaćaju troškove potrebne tehničke dokumentacije. Napominjemo </w:t>
            </w:r>
            <w:r w:rsidRPr="007B0B10">
              <w:rPr>
                <w:sz w:val="22"/>
                <w:szCs w:val="22"/>
                <w:lang w:val="hr-HR"/>
              </w:rPr>
              <w:lastRenderedPageBreak/>
              <w:t>kako su troškovi već izrađene dokumentacije također prihvatljivi ukoliko su nastali tijekom provedbe projekta.</w:t>
            </w:r>
          </w:p>
          <w:p w:rsidR="007B0B10" w:rsidRPr="007B0B10" w:rsidRDefault="007B0B10" w:rsidP="007B0B10">
            <w:pPr>
              <w:jc w:val="both"/>
              <w:rPr>
                <w:sz w:val="22"/>
                <w:szCs w:val="22"/>
                <w:lang w:val="hr-HR"/>
              </w:rPr>
            </w:pPr>
          </w:p>
          <w:p w:rsidR="007B0B10" w:rsidRPr="007B0B10" w:rsidRDefault="007B0B10" w:rsidP="007B0B10">
            <w:pPr>
              <w:jc w:val="both"/>
              <w:rPr>
                <w:sz w:val="22"/>
                <w:szCs w:val="22"/>
              </w:rPr>
            </w:pPr>
            <w:r w:rsidRPr="007B0B10">
              <w:rPr>
                <w:sz w:val="22"/>
                <w:szCs w:val="22"/>
                <w:lang w:val="hr-HR"/>
              </w:rPr>
              <w:t>b) Ne. Preduvjet za pokriće troškova iz bespovratnih sredstava EFRR je potpis ugovora o dodjeli bespovratnih sredstava. Sam potpis ugovora nije garancija da će troškovi biti prihvatljivi. Da bi i tada bili prihvatljivi trebaju biti u skladu sa svim odredbama točke 2.9. Uputa za prijavitelje te u skladu s ugovorom o dodjeli bespovratnih sredstava. Stoga je u Uputama za prijavitelje, točci 2.9.1. navedeno: „Prijavitelj preuzima rizik moguće neprihvatljivosti troškova nastalih u razdoblju između 1. siječnja 2014. godine i datuma stupanja na snagu ugovora o dodjeli bespovratnih sredstava radi nesukladnosti sa zahtjevima navedenima pod točkom 2.9. Uputa. Prijavitelj je dužan dostaviti proračun svih troškova potrebnih za realizaciju projekta, uključujući prihvatljive i neprihvatljive troškove. Prihvatljivi i neprihvatljivi troškovi čine ukupnu vrijednost projekta.“</w:t>
            </w:r>
          </w:p>
        </w:tc>
      </w:tr>
      <w:tr w:rsidR="007B0B10" w:rsidRPr="00EC7F45" w:rsidTr="00945657">
        <w:trPr>
          <w:trHeight w:val="433"/>
        </w:trPr>
        <w:tc>
          <w:tcPr>
            <w:tcW w:w="992" w:type="dxa"/>
            <w:shd w:val="clear" w:color="auto" w:fill="538135" w:themeFill="accent6" w:themeFillShade="BF"/>
          </w:tcPr>
          <w:p w:rsidR="007B0B10" w:rsidRPr="00EC7F45" w:rsidRDefault="007B0B10" w:rsidP="007B0B1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7B0B10" w:rsidRPr="00EC7F45" w:rsidRDefault="007B0B10" w:rsidP="007B0B10">
            <w:pPr>
              <w:rPr>
                <w:b/>
                <w:sz w:val="22"/>
                <w:szCs w:val="22"/>
                <w:lang w:val="hr-HR"/>
              </w:rPr>
            </w:pPr>
            <w:r w:rsidRPr="00EC7F45">
              <w:rPr>
                <w:b/>
                <w:color w:val="FFFFFF" w:themeColor="background1"/>
                <w:sz w:val="22"/>
                <w:szCs w:val="22"/>
                <w:lang w:val="hr-HR"/>
              </w:rPr>
              <w:t>DATUM ODGOVORA NA PITANJE:</w:t>
            </w:r>
            <w:r w:rsidR="000743BE">
              <w:rPr>
                <w:b/>
                <w:color w:val="FFFFFF" w:themeColor="background1"/>
                <w:sz w:val="22"/>
                <w:szCs w:val="22"/>
                <w:lang w:val="hr-HR"/>
              </w:rPr>
              <w:t xml:space="preserve"> </w:t>
            </w:r>
            <w:r w:rsidR="000743BE" w:rsidRPr="000743BE">
              <w:rPr>
                <w:b/>
                <w:sz w:val="22"/>
                <w:szCs w:val="22"/>
                <w:lang w:val="hr-HR"/>
              </w:rPr>
              <w:t>19. listopada 2016.</w:t>
            </w:r>
          </w:p>
        </w:tc>
      </w:tr>
      <w:tr w:rsidR="000743BE" w:rsidRPr="00EC7F45" w:rsidTr="00945657">
        <w:trPr>
          <w:trHeight w:val="272"/>
        </w:trPr>
        <w:tc>
          <w:tcPr>
            <w:tcW w:w="992" w:type="dxa"/>
            <w:vAlign w:val="center"/>
          </w:tcPr>
          <w:p w:rsidR="000743BE" w:rsidRPr="005652DE" w:rsidRDefault="000743BE" w:rsidP="000743BE">
            <w:pPr>
              <w:pStyle w:val="ListParagraph"/>
              <w:numPr>
                <w:ilvl w:val="0"/>
                <w:numId w:val="4"/>
              </w:numPr>
              <w:ind w:hanging="549"/>
              <w:jc w:val="right"/>
              <w:rPr>
                <w:b/>
                <w:lang w:val="it-IT"/>
              </w:rPr>
            </w:pPr>
          </w:p>
        </w:tc>
        <w:tc>
          <w:tcPr>
            <w:tcW w:w="6095" w:type="dxa"/>
          </w:tcPr>
          <w:p w:rsidR="000743BE" w:rsidRPr="005652DE" w:rsidRDefault="000743BE" w:rsidP="000743BE">
            <w:pPr>
              <w:jc w:val="both"/>
              <w:rPr>
                <w:sz w:val="22"/>
                <w:szCs w:val="22"/>
                <w:lang w:val="it-IT"/>
              </w:rPr>
            </w:pPr>
            <w:r w:rsidRPr="000743BE">
              <w:rPr>
                <w:sz w:val="22"/>
                <w:szCs w:val="22"/>
                <w:lang w:val="hr-HR"/>
              </w:rPr>
              <w:t>Da li se neka nabavka vozila općenito može smatrati opremanjem infrastrukturnih jedinica bez ikakvih drugih ulaganja?</w:t>
            </w:r>
          </w:p>
        </w:tc>
        <w:tc>
          <w:tcPr>
            <w:tcW w:w="6946" w:type="dxa"/>
          </w:tcPr>
          <w:p w:rsidR="000743BE" w:rsidRPr="000743BE" w:rsidRDefault="000743BE" w:rsidP="000743BE">
            <w:pPr>
              <w:jc w:val="both"/>
              <w:rPr>
                <w:sz w:val="22"/>
                <w:szCs w:val="22"/>
                <w:lang w:val="hr-HR"/>
              </w:rPr>
            </w:pPr>
            <w:r w:rsidRPr="000743BE">
              <w:rPr>
                <w:sz w:val="22"/>
                <w:szCs w:val="22"/>
                <w:lang w:val="hr-HR"/>
              </w:rPr>
              <w:t>Nabavka vozila kao jedina projektna aktivnost ne može se smatrati prihvatljivim projektom za financiranje u okviru ovog Poziva.</w:t>
            </w:r>
          </w:p>
          <w:p w:rsidR="000743BE" w:rsidRPr="000743BE" w:rsidRDefault="000743BE" w:rsidP="000743BE">
            <w:pPr>
              <w:jc w:val="both"/>
              <w:rPr>
                <w:sz w:val="22"/>
                <w:szCs w:val="22"/>
                <w:lang w:val="hr-HR"/>
              </w:rPr>
            </w:pPr>
          </w:p>
          <w:p w:rsidR="000743BE" w:rsidRPr="000743BE" w:rsidRDefault="000743BE" w:rsidP="000743BE">
            <w:pPr>
              <w:jc w:val="both"/>
              <w:rPr>
                <w:sz w:val="22"/>
                <w:szCs w:val="22"/>
                <w:lang w:val="hr-HR"/>
              </w:rPr>
            </w:pPr>
            <w:r w:rsidRPr="000743BE">
              <w:rPr>
                <w:sz w:val="22"/>
                <w:szCs w:val="22"/>
                <w:lang w:val="hr-HR"/>
              </w:rPr>
              <w:t xml:space="preserve">Sukladno Uputama za prijavitelje, svrha Poziva je podrška procesu deinstitucionalizacije u Republici Hrvatskoj putem investiranja u infrastrukturu i opremljenost prostora centara za socijalnu skrb. </w:t>
            </w:r>
          </w:p>
          <w:p w:rsidR="000743BE" w:rsidRPr="000743BE" w:rsidRDefault="000743BE" w:rsidP="000743BE">
            <w:pPr>
              <w:jc w:val="both"/>
              <w:rPr>
                <w:sz w:val="22"/>
                <w:szCs w:val="22"/>
                <w:lang w:val="hr-HR"/>
              </w:rPr>
            </w:pPr>
          </w:p>
          <w:p w:rsidR="000743BE" w:rsidRPr="000743BE" w:rsidRDefault="000743BE" w:rsidP="000743BE">
            <w:pPr>
              <w:jc w:val="both"/>
              <w:rPr>
                <w:sz w:val="22"/>
                <w:szCs w:val="22"/>
                <w:lang w:val="hr-HR"/>
              </w:rPr>
            </w:pPr>
            <w:r w:rsidRPr="000743BE">
              <w:rPr>
                <w:sz w:val="22"/>
                <w:szCs w:val="22"/>
                <w:lang w:val="hr-HR"/>
              </w:rPr>
              <w:t>Temeljem svrhe projekta ustanovljena je cjelokupna projektna logika, pa tako i pokazatelj Poziva koji se odnosi na broj izgrađenih / rekonstruiranih infrastrukturnih jedinica.</w:t>
            </w:r>
          </w:p>
          <w:p w:rsidR="000743BE" w:rsidRPr="000743BE" w:rsidRDefault="000743BE" w:rsidP="000743BE">
            <w:pPr>
              <w:jc w:val="both"/>
              <w:rPr>
                <w:sz w:val="22"/>
                <w:szCs w:val="22"/>
                <w:lang w:val="hr-HR"/>
              </w:rPr>
            </w:pPr>
            <w:r w:rsidRPr="000743BE">
              <w:rPr>
                <w:sz w:val="22"/>
                <w:szCs w:val="22"/>
                <w:lang w:val="hr-HR"/>
              </w:rPr>
              <w:t>Upravo stoga je u točci 2.6. Uputa za prijavitelje Prihvatljivost projekta i aktivnosti navedeno:</w:t>
            </w:r>
          </w:p>
          <w:p w:rsidR="000743BE" w:rsidRPr="000743BE" w:rsidRDefault="000743BE" w:rsidP="000743BE">
            <w:pPr>
              <w:jc w:val="both"/>
              <w:rPr>
                <w:sz w:val="22"/>
                <w:szCs w:val="22"/>
                <w:lang w:val="hr-HR" w:eastAsia="zh-CN"/>
              </w:rPr>
            </w:pPr>
            <w:r w:rsidRPr="000743BE">
              <w:rPr>
                <w:sz w:val="22"/>
                <w:szCs w:val="22"/>
                <w:lang w:val="hr-HR"/>
              </w:rPr>
              <w:t>„Kako bi bio prihvatljiv, projekt mora udovoljavati sljedećim kriterijima prihvatljivosti:</w:t>
            </w:r>
          </w:p>
          <w:p w:rsidR="000743BE" w:rsidRPr="005652DE" w:rsidRDefault="000743BE" w:rsidP="000743BE">
            <w:pPr>
              <w:pStyle w:val="ListParagraph"/>
              <w:numPr>
                <w:ilvl w:val="0"/>
                <w:numId w:val="21"/>
              </w:numPr>
              <w:jc w:val="both"/>
              <w:rPr>
                <w:sz w:val="22"/>
                <w:szCs w:val="22"/>
                <w:lang w:val="it-IT"/>
              </w:rPr>
            </w:pPr>
            <w:r w:rsidRPr="000743BE">
              <w:rPr>
                <w:sz w:val="22"/>
                <w:szCs w:val="22"/>
                <w:lang w:val="hr-HR"/>
              </w:rPr>
              <w:t>Svrha projekta je u skladu sa svrhom ovog poziva (točka 1.3. Uputa), što se utvrđuje provjerom dostavljenog obrasca A;</w:t>
            </w:r>
          </w:p>
          <w:p w:rsidR="000743BE" w:rsidRPr="005652DE" w:rsidRDefault="000743BE" w:rsidP="000743BE">
            <w:pPr>
              <w:pStyle w:val="ListParagraph"/>
              <w:numPr>
                <w:ilvl w:val="0"/>
                <w:numId w:val="21"/>
              </w:numPr>
              <w:jc w:val="both"/>
              <w:rPr>
                <w:sz w:val="22"/>
                <w:szCs w:val="22"/>
                <w:lang w:val="hr-HR"/>
              </w:rPr>
            </w:pPr>
            <w:r w:rsidRPr="000743BE">
              <w:rPr>
                <w:sz w:val="22"/>
                <w:szCs w:val="22"/>
                <w:lang w:val="hr-HR"/>
              </w:rPr>
              <w:lastRenderedPageBreak/>
              <w:t>Projekt doprinosi ostvarenju pokazatelja Poziva (točka 1.3. Uputa), a pokazatelji na razini projekta su u skladu s pokazateljima na razini ovog Poziva, što se utvrđuje provjerom dostavljenog obrasca A;“</w:t>
            </w:r>
          </w:p>
        </w:tc>
      </w:tr>
      <w:tr w:rsidR="000743BE" w:rsidRPr="00EC7F45" w:rsidTr="00945657">
        <w:trPr>
          <w:trHeight w:val="433"/>
        </w:trPr>
        <w:tc>
          <w:tcPr>
            <w:tcW w:w="992" w:type="dxa"/>
            <w:shd w:val="clear" w:color="auto" w:fill="538135" w:themeFill="accent6" w:themeFillShade="BF"/>
          </w:tcPr>
          <w:p w:rsidR="000743BE" w:rsidRPr="00EC7F45" w:rsidRDefault="000743BE" w:rsidP="000743BE">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0743BE" w:rsidRPr="00EC7F45" w:rsidRDefault="000743BE" w:rsidP="000743BE">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0743BE" w:rsidRPr="00EC7F45" w:rsidRDefault="000743BE" w:rsidP="000743BE">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28</w:t>
            </w:r>
            <w:r w:rsidRPr="000743BE">
              <w:rPr>
                <w:b/>
                <w:sz w:val="22"/>
                <w:szCs w:val="22"/>
                <w:lang w:val="hr-HR"/>
              </w:rPr>
              <w:t>. listopada 2016.</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lang w:val="hr-HR"/>
              </w:rPr>
            </w:pPr>
            <w:r w:rsidRPr="0056088C">
              <w:rPr>
                <w:sz w:val="22"/>
                <w:szCs w:val="22"/>
                <w:lang w:val="hr-HR"/>
              </w:rPr>
              <w:t>Projektom planiramo nabavu vozila i prijenosnih računala koji su nam potrebni za rad na terenu za potrebe procesa deinstitucionalizacije  i sprečavanje institucionalizacije. Da li se ova ulaganja smatraju dovoljnim za zadovoljenje pokazatelja, odnosno da li ih možemo prikazati kao opremljenu jednu infrastrukturnu jedinicu, odnosno naš Centar?</w:t>
            </w:r>
          </w:p>
          <w:p w:rsidR="0056088C" w:rsidRPr="005652DE" w:rsidRDefault="0056088C" w:rsidP="0056088C">
            <w:pPr>
              <w:jc w:val="both"/>
              <w:rPr>
                <w:sz w:val="22"/>
                <w:szCs w:val="22"/>
                <w:lang w:val="hr-HR"/>
              </w:rPr>
            </w:pPr>
          </w:p>
        </w:tc>
        <w:tc>
          <w:tcPr>
            <w:tcW w:w="6946" w:type="dxa"/>
          </w:tcPr>
          <w:p w:rsidR="0056088C" w:rsidRPr="0056088C" w:rsidRDefault="0056088C" w:rsidP="0056088C">
            <w:pPr>
              <w:jc w:val="both"/>
              <w:rPr>
                <w:sz w:val="22"/>
                <w:szCs w:val="22"/>
                <w:lang w:val="hr-HR"/>
              </w:rPr>
            </w:pPr>
            <w:r w:rsidRPr="0056088C">
              <w:rPr>
                <w:sz w:val="22"/>
                <w:szCs w:val="22"/>
                <w:lang w:val="hr-HR"/>
              </w:rPr>
              <w:t>Nabava vozila i prijenosnika kao jedina projektna aktivnost nije u skladu s predmetom ovog Poziva kojim se planiraju aktivnosti koje će se provoditi u Centrima za socijalnu skrb u Republici Hrvatskoj kako bi se riješio problem neadekvatne infrastrukture za rad s korisnicima centara i kako bi centri maksimalizirali učinkovitost svoje uloge u procesu inkluzije korisnika: tj. stvoriti dostupne, adekvatne i opremljene prostore.</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Sukladno uputama za prijavitelje opremljena infrastrukturna jedinica definirana je kako slijedi:</w:t>
            </w:r>
          </w:p>
          <w:p w:rsidR="0056088C" w:rsidRPr="005652DE" w:rsidRDefault="0056088C" w:rsidP="0056088C">
            <w:pPr>
              <w:jc w:val="both"/>
              <w:rPr>
                <w:sz w:val="22"/>
                <w:szCs w:val="22"/>
                <w:lang w:val="hr-HR"/>
              </w:rPr>
            </w:pPr>
            <w:r w:rsidRPr="0056088C">
              <w:rPr>
                <w:sz w:val="22"/>
                <w:szCs w:val="22"/>
                <w:lang w:val="hr-HR"/>
              </w:rPr>
              <w:t xml:space="preserve">“Infrastrukturna jedinica u ovom slučaju ne predstavlja nužno jednu građevinu u kojoj je smješten dom socijalne skrbi, već može predstavljati </w:t>
            </w:r>
            <w:r w:rsidRPr="0056088C">
              <w:rPr>
                <w:sz w:val="22"/>
                <w:szCs w:val="22"/>
                <w:u w:val="single"/>
                <w:lang w:val="hr-HR"/>
              </w:rPr>
              <w:t>specifičnu jedinicu unutar ili izvan građevine koja je sastavni dio doma za socijalnu skrb (npr. stanovi, prostorije unutar doma za socijalnu skrb, prostorije izvan sjedišta doma za socijalnu skrb potrebne za pružanje specifičnih socijalnih usluga…).”</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0743BE">
              <w:rPr>
                <w:b/>
                <w:sz w:val="22"/>
                <w:szCs w:val="22"/>
                <w:lang w:val="hr-HR"/>
              </w:rPr>
              <w:t>1</w:t>
            </w:r>
            <w:r>
              <w:rPr>
                <w:b/>
                <w:sz w:val="22"/>
                <w:szCs w:val="22"/>
                <w:lang w:val="hr-HR"/>
              </w:rPr>
              <w:t>7</w:t>
            </w:r>
            <w:r w:rsidRPr="000743BE">
              <w:rPr>
                <w:b/>
                <w:sz w:val="22"/>
                <w:szCs w:val="22"/>
                <w:lang w:val="hr-HR"/>
              </w:rPr>
              <w:t xml:space="preserve">. </w:t>
            </w:r>
            <w:r>
              <w:rPr>
                <w:b/>
                <w:sz w:val="22"/>
                <w:szCs w:val="22"/>
                <w:lang w:val="hr-HR"/>
              </w:rPr>
              <w:t>studenoga</w:t>
            </w:r>
            <w:r w:rsidRPr="000743BE">
              <w:rPr>
                <w:b/>
                <w:sz w:val="22"/>
                <w:szCs w:val="22"/>
                <w:lang w:val="hr-HR"/>
              </w:rPr>
              <w:t xml:space="preserve"> 2016.</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52DE" w:rsidRDefault="0056088C" w:rsidP="0056088C">
            <w:pPr>
              <w:jc w:val="both"/>
              <w:rPr>
                <w:sz w:val="22"/>
                <w:szCs w:val="22"/>
                <w:lang w:val="it-IT"/>
              </w:rPr>
            </w:pPr>
            <w:r w:rsidRPr="0056088C">
              <w:rPr>
                <w:sz w:val="22"/>
                <w:szCs w:val="22"/>
                <w:lang w:val="hr-HR"/>
              </w:rPr>
              <w:t>Što se tiče prihvatljivosti troškova plaća za zaposlene, a koji će se baviti upravljanjem projektom, da li se, sukladno Prvoj izmjeni Poziva, to odnosi na djelatnike koji su već zaposleni u Centru ili samo za novozaposlene djelatnike?</w:t>
            </w:r>
          </w:p>
        </w:tc>
        <w:tc>
          <w:tcPr>
            <w:tcW w:w="6946" w:type="dxa"/>
          </w:tcPr>
          <w:p w:rsidR="0056088C" w:rsidRPr="0056088C" w:rsidRDefault="0056088C" w:rsidP="0056088C">
            <w:pPr>
              <w:jc w:val="both"/>
              <w:rPr>
                <w:sz w:val="22"/>
                <w:szCs w:val="22"/>
                <w:lang w:val="hr-HR"/>
              </w:rPr>
            </w:pPr>
            <w:r w:rsidRPr="0056088C">
              <w:rPr>
                <w:sz w:val="22"/>
                <w:szCs w:val="22"/>
                <w:lang w:val="hr-HR"/>
              </w:rPr>
              <w:t>U točci 2.9.2 Uputa za prijavitelje pod naslovom Troškovi osoblja, navedeno je da su troškovi plaća za zaposlene prihvatljivi isključivo za zaposlene kod prijavitelja. Troškovi plaća za zaposlene prihvatljivi su pod uvjetom da se financiranje plaća zaposlenika ne vrši iz javnih ili drugih projektnih sredstava kako bi se izbjeglo dvostruko financiranje.</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Izdaci za plaće (bruto 2) koje su već osigurane iz drugih javnih izvora (državnog ili lokalnog proračuna) mogu biti prihvatljive za financiranje iz bespovratnih sredstava samo uz obvezu vraćanja sredstava u državni proračun.</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 xml:space="preserve">Troškovi za plaće zaposlenih se izračunavaju primjenom pojednostavljene metode financiranja na način da se godišnji bruto iznos plaća djelatnika podijeli s 1720 sati.  </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Godišnji bruto iznos plaće novozaposlenih izračunava se na temelju dokumentiranih podataka o visini plaće predviđene za radno mjesto novog djelatnika, npr. pravilnik, preslika dokumenta kojim se utvrđuje osobni odbitak i sl.</w:t>
            </w:r>
          </w:p>
          <w:p w:rsidR="0056088C" w:rsidRPr="0056088C" w:rsidRDefault="0056088C" w:rsidP="0056088C">
            <w:pPr>
              <w:jc w:val="both"/>
              <w:rPr>
                <w:sz w:val="22"/>
                <w:szCs w:val="22"/>
                <w:lang w:val="hr-HR"/>
              </w:rPr>
            </w:pPr>
          </w:p>
          <w:p w:rsidR="0056088C" w:rsidRPr="0056088C" w:rsidRDefault="0056088C" w:rsidP="0056088C">
            <w:pPr>
              <w:jc w:val="both"/>
              <w:rPr>
                <w:sz w:val="22"/>
                <w:szCs w:val="22"/>
              </w:rPr>
            </w:pPr>
            <w:r w:rsidRPr="0056088C">
              <w:rPr>
                <w:sz w:val="22"/>
                <w:szCs w:val="22"/>
                <w:lang w:val="hr-HR"/>
              </w:rPr>
              <w:t>Iz navedenoga je razvidno da su prihvatljivi troškovi novozaposlenih i već zaposlenih djelatnika, ukoliko zadovoljavaju sve uvjete navedene u točci 2.9. Uputa za prijavitelje.</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0743BE">
              <w:rPr>
                <w:b/>
                <w:sz w:val="22"/>
                <w:szCs w:val="22"/>
                <w:lang w:val="hr-HR"/>
              </w:rPr>
              <w:t>1</w:t>
            </w:r>
            <w:r>
              <w:rPr>
                <w:b/>
                <w:sz w:val="22"/>
                <w:szCs w:val="22"/>
                <w:lang w:val="hr-HR"/>
              </w:rPr>
              <w:t>7</w:t>
            </w:r>
            <w:r w:rsidRPr="000743BE">
              <w:rPr>
                <w:b/>
                <w:sz w:val="22"/>
                <w:szCs w:val="22"/>
                <w:lang w:val="hr-HR"/>
              </w:rPr>
              <w:t xml:space="preserve">. </w:t>
            </w:r>
            <w:r>
              <w:rPr>
                <w:b/>
                <w:sz w:val="22"/>
                <w:szCs w:val="22"/>
                <w:lang w:val="hr-HR"/>
              </w:rPr>
              <w:t>studenoga</w:t>
            </w:r>
            <w:r w:rsidRPr="000743BE">
              <w:rPr>
                <w:b/>
                <w:sz w:val="22"/>
                <w:szCs w:val="22"/>
                <w:lang w:val="hr-HR"/>
              </w:rPr>
              <w:t xml:space="preserve"> 2016.</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lang w:val="hr-HR"/>
              </w:rPr>
            </w:pPr>
            <w:r w:rsidRPr="0056088C">
              <w:rPr>
                <w:sz w:val="22"/>
                <w:szCs w:val="22"/>
                <w:lang w:val="hr-HR"/>
              </w:rPr>
              <w:t xml:space="preserve">Kod pojašnjenja održivosti projekta stoji kako je prijavitelj dužan, ako želi graditi ili rekonstruirati objekt, a kojim upravlja putem ugovora o korištenju, osigurati da potpisani ugovor pruža pravo korištenja 10 godina od završetka projekta za rekonstruiranu infrastrukturu. </w:t>
            </w:r>
          </w:p>
          <w:p w:rsidR="0056088C" w:rsidRPr="005652DE" w:rsidRDefault="0056088C" w:rsidP="0056088C">
            <w:pPr>
              <w:jc w:val="both"/>
              <w:rPr>
                <w:sz w:val="22"/>
                <w:szCs w:val="22"/>
                <w:lang w:val="hr-HR"/>
              </w:rPr>
            </w:pPr>
            <w:r w:rsidRPr="0056088C">
              <w:rPr>
                <w:sz w:val="22"/>
                <w:szCs w:val="22"/>
                <w:lang w:val="hr-HR"/>
              </w:rPr>
              <w:t>Da li je prihvatljivo da prijavitelj ima ugovor o korištenju sklopljen na razdoblje od 10 godina od trenutka prijave projekta ili ugovor treba vrijediti još barem 10 godina od završetka investicije/projekta?</w:t>
            </w:r>
          </w:p>
        </w:tc>
        <w:tc>
          <w:tcPr>
            <w:tcW w:w="6946" w:type="dxa"/>
          </w:tcPr>
          <w:p w:rsidR="0056088C" w:rsidRPr="0056088C" w:rsidRDefault="0056088C" w:rsidP="0056088C">
            <w:pPr>
              <w:jc w:val="both"/>
              <w:rPr>
                <w:sz w:val="22"/>
                <w:szCs w:val="22"/>
                <w:lang w:val="hr-HR"/>
              </w:rPr>
            </w:pPr>
            <w:r w:rsidRPr="0056088C">
              <w:rPr>
                <w:sz w:val="22"/>
                <w:szCs w:val="22"/>
                <w:lang w:val="hr-HR"/>
              </w:rPr>
              <w:t>U Uputama za prijavitelje, točci 2.5. navedeno je kako slijedi:</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color w:val="000000"/>
                <w:sz w:val="22"/>
                <w:szCs w:val="22"/>
                <w:lang w:val="hr-HR"/>
              </w:rPr>
              <w:t xml:space="preserve">„Prijavitelj je dužan, ako se u slučaju izgradnje ili rekonstrukcije u okviru projekta </w:t>
            </w:r>
            <w:r w:rsidRPr="0056088C">
              <w:rPr>
                <w:sz w:val="22"/>
                <w:szCs w:val="22"/>
                <w:lang w:val="hr-HR"/>
              </w:rPr>
              <w:t xml:space="preserve">zemljištem / objektom upravlja putem zakupa, ugovora o koncesiji, ugovora o korištenju ili slično, osigurati da potpisani ugovor pruža pravo upravljanja / korištenja: </w:t>
            </w:r>
          </w:p>
          <w:p w:rsidR="0056088C" w:rsidRPr="0056088C" w:rsidRDefault="0056088C" w:rsidP="0056088C">
            <w:pPr>
              <w:pStyle w:val="ListParagraph"/>
              <w:numPr>
                <w:ilvl w:val="0"/>
                <w:numId w:val="22"/>
              </w:numPr>
              <w:jc w:val="both"/>
              <w:rPr>
                <w:sz w:val="22"/>
                <w:szCs w:val="22"/>
                <w:lang w:val="hr-HR"/>
              </w:rPr>
            </w:pPr>
            <w:r w:rsidRPr="0056088C">
              <w:rPr>
                <w:sz w:val="22"/>
                <w:szCs w:val="22"/>
                <w:lang w:val="hr-HR"/>
              </w:rPr>
              <w:t xml:space="preserve">minimalno 10 godina od završetka projekta za novoizgrađenu infrastrukturu, </w:t>
            </w:r>
          </w:p>
          <w:p w:rsidR="0056088C" w:rsidRPr="0056088C" w:rsidRDefault="0056088C" w:rsidP="0056088C">
            <w:pPr>
              <w:pStyle w:val="ListParagraph"/>
              <w:numPr>
                <w:ilvl w:val="0"/>
                <w:numId w:val="22"/>
              </w:numPr>
              <w:jc w:val="both"/>
              <w:rPr>
                <w:sz w:val="22"/>
                <w:szCs w:val="22"/>
                <w:lang w:val="hr-HR"/>
              </w:rPr>
            </w:pPr>
            <w:r w:rsidRPr="0056088C">
              <w:rPr>
                <w:sz w:val="22"/>
                <w:szCs w:val="22"/>
                <w:u w:val="single"/>
                <w:lang w:val="hr-HR"/>
              </w:rPr>
              <w:t>10 godina od završetka projekta za rekonstruiranu infrastrukturu</w:t>
            </w:r>
            <w:r w:rsidRPr="0056088C">
              <w:rPr>
                <w:sz w:val="22"/>
                <w:szCs w:val="22"/>
                <w:lang w:val="hr-HR"/>
              </w:rPr>
              <w:t xml:space="preserve"> te </w:t>
            </w:r>
          </w:p>
          <w:p w:rsidR="0056088C" w:rsidRPr="005652DE" w:rsidRDefault="0056088C" w:rsidP="0056088C">
            <w:pPr>
              <w:jc w:val="both"/>
              <w:rPr>
                <w:sz w:val="22"/>
                <w:szCs w:val="22"/>
                <w:lang w:val="hr-HR"/>
              </w:rPr>
            </w:pPr>
            <w:r w:rsidRPr="0056088C">
              <w:rPr>
                <w:sz w:val="22"/>
                <w:szCs w:val="22"/>
                <w:lang w:val="hr-HR"/>
              </w:rPr>
              <w:t>5 godina od završetka projekta za opremljenu infrastrukturu.“</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0743BE">
              <w:rPr>
                <w:b/>
                <w:sz w:val="22"/>
                <w:szCs w:val="22"/>
                <w:lang w:val="hr-HR"/>
              </w:rPr>
              <w:t>1</w:t>
            </w:r>
            <w:r>
              <w:rPr>
                <w:b/>
                <w:sz w:val="22"/>
                <w:szCs w:val="22"/>
                <w:lang w:val="hr-HR"/>
              </w:rPr>
              <w:t>7</w:t>
            </w:r>
            <w:r w:rsidRPr="000743BE">
              <w:rPr>
                <w:b/>
                <w:sz w:val="22"/>
                <w:szCs w:val="22"/>
                <w:lang w:val="hr-HR"/>
              </w:rPr>
              <w:t xml:space="preserve">. </w:t>
            </w:r>
            <w:r>
              <w:rPr>
                <w:b/>
                <w:sz w:val="22"/>
                <w:szCs w:val="22"/>
                <w:lang w:val="hr-HR"/>
              </w:rPr>
              <w:t>studenoga</w:t>
            </w:r>
            <w:r w:rsidRPr="000743BE">
              <w:rPr>
                <w:b/>
                <w:sz w:val="22"/>
                <w:szCs w:val="22"/>
                <w:lang w:val="hr-HR"/>
              </w:rPr>
              <w:t xml:space="preserve"> 2016.</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lang w:val="hr-HR"/>
              </w:rPr>
            </w:pPr>
            <w:r w:rsidRPr="0056088C">
              <w:rPr>
                <w:sz w:val="22"/>
                <w:szCs w:val="22"/>
                <w:lang w:val="hr-HR"/>
              </w:rPr>
              <w:t xml:space="preserve">Piše u Pozivu da se projektna prijava sastoji od A obrasca, Izjave prijavitelja o statusu obzirom na (ne)povrativost PDV-a, izvatka iz Sudskog registra, Potvrde porezne uprave i životopisa. </w:t>
            </w:r>
          </w:p>
          <w:p w:rsidR="0056088C" w:rsidRPr="0056088C" w:rsidRDefault="0056088C" w:rsidP="0056088C">
            <w:pPr>
              <w:jc w:val="both"/>
              <w:rPr>
                <w:sz w:val="22"/>
                <w:szCs w:val="22"/>
                <w:lang w:val="hr-HR"/>
              </w:rPr>
            </w:pPr>
            <w:r w:rsidRPr="0056088C">
              <w:rPr>
                <w:sz w:val="22"/>
                <w:szCs w:val="22"/>
                <w:lang w:val="hr-HR"/>
              </w:rPr>
              <w:t>Budući da se radi o projektu koji uključuje rekonstrukciju objekta, odnosno građevinske radove i opremanje, da li je potrebno prilagati tehničku dokumentaciju – glavni projekt s troškovnicima, građevinsku dozvolu, dokumentaciju za nabavu ili je dovoljno predati gore navedenu dokumentaciju s projekcijama troškova u A obrascu?</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Prema tekstu Poziva, da li je tehničku dokumentaciju je potrebno predati tek prilikom predaje Zahtjeva za nadoknadom sredstava?</w:t>
            </w:r>
          </w:p>
          <w:p w:rsidR="0056088C" w:rsidRPr="005652DE" w:rsidRDefault="0056088C" w:rsidP="0056088C">
            <w:pPr>
              <w:jc w:val="both"/>
              <w:rPr>
                <w:sz w:val="22"/>
                <w:szCs w:val="22"/>
                <w:lang w:val="hr-HR"/>
              </w:rPr>
            </w:pPr>
          </w:p>
        </w:tc>
        <w:tc>
          <w:tcPr>
            <w:tcW w:w="6946" w:type="dxa"/>
          </w:tcPr>
          <w:p w:rsidR="0056088C" w:rsidRPr="0056088C" w:rsidRDefault="0056088C" w:rsidP="0056088C">
            <w:pPr>
              <w:jc w:val="both"/>
              <w:rPr>
                <w:sz w:val="22"/>
                <w:szCs w:val="22"/>
                <w:lang w:val="hr-HR"/>
              </w:rPr>
            </w:pPr>
            <w:r w:rsidRPr="0056088C">
              <w:rPr>
                <w:sz w:val="22"/>
                <w:szCs w:val="22"/>
                <w:lang w:val="hr-HR"/>
              </w:rPr>
              <w:lastRenderedPageBreak/>
              <w:t xml:space="preserve">Što se tehničke dokumentacije tiče, u Uputama za prijavitelje, točci 6.4.1. </w:t>
            </w:r>
            <w:bookmarkStart w:id="0" w:name="_Toc460848920"/>
            <w:r w:rsidRPr="0056088C">
              <w:rPr>
                <w:sz w:val="22"/>
                <w:szCs w:val="22"/>
                <w:lang w:val="hr-HR"/>
              </w:rPr>
              <w:t>Podnošenje zahtjeva za nadoknadom sredstava</w:t>
            </w:r>
            <w:bookmarkEnd w:id="0"/>
            <w:r w:rsidRPr="0056088C">
              <w:rPr>
                <w:sz w:val="22"/>
                <w:szCs w:val="22"/>
                <w:lang w:val="hr-HR"/>
              </w:rPr>
              <w:t>, navedeno je:</w:t>
            </w:r>
          </w:p>
          <w:p w:rsidR="0056088C" w:rsidRPr="0056088C" w:rsidRDefault="0056088C" w:rsidP="0056088C">
            <w:pPr>
              <w:jc w:val="both"/>
              <w:rPr>
                <w:sz w:val="22"/>
                <w:szCs w:val="22"/>
                <w:lang w:val="hr-HR"/>
              </w:rPr>
            </w:pPr>
            <w:r w:rsidRPr="0056088C">
              <w:rPr>
                <w:sz w:val="22"/>
                <w:szCs w:val="22"/>
                <w:lang w:val="hr-HR"/>
              </w:rPr>
              <w:t xml:space="preserve">„Ukoliko korisnik u zahtjevu za nadoknadom sredstava potražuje sredstva povezana s izdacima za gradnju – potrebno je uz dokumentaciju za dokaz izdatka poslati presliku građevinske dozvole. </w:t>
            </w:r>
            <w:r w:rsidRPr="0056088C">
              <w:rPr>
                <w:bCs/>
                <w:sz w:val="22"/>
                <w:szCs w:val="22"/>
                <w:lang w:val="hr-HR" w:eastAsia="ar-SA"/>
              </w:rPr>
              <w:t xml:space="preserve">Glavni projekt (i ukoliko postoji izvedbeni projekt) </w:t>
            </w:r>
            <w:r w:rsidRPr="0056088C">
              <w:rPr>
                <w:sz w:val="22"/>
                <w:szCs w:val="22"/>
                <w:lang w:val="hr-HR"/>
              </w:rPr>
              <w:t xml:space="preserve">dostavlja se uz zahtjev za plaćanje / nadoknadu sredstava kojim se potražuju sredstva vezana za prvi izdatak izgradnje. </w:t>
            </w:r>
            <w:r w:rsidRPr="0056088C">
              <w:rPr>
                <w:bCs/>
                <w:sz w:val="22"/>
                <w:szCs w:val="22"/>
                <w:lang w:val="hr-HR" w:eastAsia="ar-SA"/>
              </w:rPr>
              <w:t xml:space="preserve">U izjavi glavnog projektanta ili druge ovlaštene osobe (obrazac 4. koji se dostavlja uz </w:t>
            </w:r>
            <w:r w:rsidRPr="0056088C">
              <w:rPr>
                <w:sz w:val="22"/>
                <w:szCs w:val="22"/>
                <w:lang w:val="hr-HR"/>
              </w:rPr>
              <w:t>zahtjev za plaćanje / nadoknadu</w:t>
            </w:r>
            <w:r w:rsidRPr="0056088C">
              <w:rPr>
                <w:bCs/>
                <w:sz w:val="22"/>
                <w:szCs w:val="22"/>
                <w:lang w:val="hr-HR" w:eastAsia="ar-SA"/>
              </w:rPr>
              <w:t>) potvrđuje se koji su dokumenti potrebni za predviđenu gradnju/rekonstrukciju građevine u okviru projekta te koji nisu, uz odgovarajuće obrazloženje.“</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lastRenderedPageBreak/>
              <w:t>Isto je navedeno u Uputama za prijavitelje, točkama: 2.7. i 2.9.1. s dodatnim pojašnjenjima o sadržaju tehničke dokumentacije i potrebnom formatu.</w:t>
            </w:r>
          </w:p>
          <w:p w:rsidR="0056088C" w:rsidRPr="0056088C" w:rsidRDefault="0056088C" w:rsidP="0056088C">
            <w:pPr>
              <w:jc w:val="both"/>
              <w:rPr>
                <w:sz w:val="22"/>
                <w:szCs w:val="22"/>
                <w:lang w:val="hr-HR"/>
              </w:rPr>
            </w:pPr>
          </w:p>
          <w:p w:rsidR="0056088C" w:rsidRPr="005652DE" w:rsidRDefault="0056088C" w:rsidP="0056088C">
            <w:pPr>
              <w:jc w:val="both"/>
              <w:rPr>
                <w:sz w:val="22"/>
                <w:szCs w:val="22"/>
                <w:lang w:val="hr-HR"/>
              </w:rPr>
            </w:pPr>
            <w:r w:rsidRPr="0056088C">
              <w:rPr>
                <w:sz w:val="22"/>
                <w:szCs w:val="22"/>
                <w:lang w:val="hr-HR"/>
              </w:rPr>
              <w:t>Pri izradi Uputa za prijavitelje, nadležna tijela su ovim postupkom željela pojednostaviti procedure prijave na poziv na dostavu projektnih prijedloga.</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0743BE">
              <w:rPr>
                <w:b/>
                <w:sz w:val="22"/>
                <w:szCs w:val="22"/>
                <w:lang w:val="hr-HR"/>
              </w:rPr>
              <w:t>1</w:t>
            </w:r>
            <w:r>
              <w:rPr>
                <w:b/>
                <w:sz w:val="22"/>
                <w:szCs w:val="22"/>
                <w:lang w:val="hr-HR"/>
              </w:rPr>
              <w:t>7</w:t>
            </w:r>
            <w:r w:rsidRPr="000743BE">
              <w:rPr>
                <w:b/>
                <w:sz w:val="22"/>
                <w:szCs w:val="22"/>
                <w:lang w:val="hr-HR"/>
              </w:rPr>
              <w:t xml:space="preserve">. </w:t>
            </w:r>
            <w:r>
              <w:rPr>
                <w:b/>
                <w:sz w:val="22"/>
                <w:szCs w:val="22"/>
                <w:lang w:val="hr-HR"/>
              </w:rPr>
              <w:t>studenoga</w:t>
            </w:r>
            <w:r w:rsidRPr="000743BE">
              <w:rPr>
                <w:b/>
                <w:sz w:val="22"/>
                <w:szCs w:val="22"/>
                <w:lang w:val="hr-HR"/>
              </w:rPr>
              <w:t xml:space="preserve"> 2016.</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lang w:val="hr-HR"/>
              </w:rPr>
            </w:pPr>
            <w:r w:rsidRPr="0056088C">
              <w:rPr>
                <w:sz w:val="22"/>
                <w:szCs w:val="22"/>
                <w:lang w:val="hr-HR"/>
              </w:rPr>
              <w:t>Što se tiče kriterija odabira, ocjenjuje se u kojoj mjeri projekt doprinosi procesu deinstitucionalizacije povećanjem broja izgrađenih i/ili opremljenih infrastrukturnih jedinica u odnosu na polaznu vrijednost 2014. godine – koji je izvor provjere polazne vrijednosti 2014. godine, na koji podatak se odnosi polazna vrijednost?</w:t>
            </w:r>
          </w:p>
          <w:p w:rsidR="0056088C" w:rsidRPr="0056088C" w:rsidRDefault="0056088C" w:rsidP="0056088C">
            <w:pPr>
              <w:jc w:val="both"/>
              <w:rPr>
                <w:sz w:val="22"/>
                <w:szCs w:val="22"/>
                <w:lang w:val="hr-HR"/>
              </w:rPr>
            </w:pPr>
          </w:p>
          <w:p w:rsidR="0056088C" w:rsidRPr="005652DE" w:rsidRDefault="0056088C" w:rsidP="0056088C">
            <w:pPr>
              <w:jc w:val="both"/>
              <w:rPr>
                <w:sz w:val="22"/>
                <w:szCs w:val="22"/>
                <w:lang w:val="hr-HR"/>
              </w:rPr>
            </w:pPr>
            <w:r w:rsidRPr="0056088C">
              <w:rPr>
                <w:sz w:val="22"/>
                <w:szCs w:val="22"/>
                <w:lang w:val="hr-HR"/>
              </w:rPr>
              <w:t>Isto tako, ocjenjuje se doprinosi li projekt povećanju broja povrataka ili upućivanja u izvaninstitucijske oblike smještaja po postotnom povećanju u odnosu na baznu 2014. godinu – na koji podatak se odnosi polazna vrijednost 2014. godine, da li se radi o internoj evidenciji centra?</w:t>
            </w:r>
          </w:p>
        </w:tc>
        <w:tc>
          <w:tcPr>
            <w:tcW w:w="6946" w:type="dxa"/>
          </w:tcPr>
          <w:p w:rsidR="0056088C" w:rsidRPr="0056088C" w:rsidRDefault="0056088C" w:rsidP="0056088C">
            <w:pPr>
              <w:jc w:val="both"/>
              <w:rPr>
                <w:sz w:val="22"/>
                <w:szCs w:val="22"/>
                <w:lang w:val="hr-HR"/>
              </w:rPr>
            </w:pPr>
            <w:r w:rsidRPr="0056088C">
              <w:rPr>
                <w:sz w:val="22"/>
                <w:szCs w:val="22"/>
                <w:lang w:val="hr-HR"/>
              </w:rPr>
              <w:t>Navedeni kriterij odabira vezan je uz pokazatelj neposrednih rezultata na razini projektnog prijedloga. Stoga je u Uputama za prijavitelje, točci 1.3. navedeno:</w:t>
            </w:r>
          </w:p>
          <w:p w:rsidR="0056088C" w:rsidRPr="0056088C" w:rsidRDefault="0056088C" w:rsidP="0056088C">
            <w:pPr>
              <w:jc w:val="both"/>
              <w:rPr>
                <w:sz w:val="22"/>
                <w:szCs w:val="22"/>
                <w:lang w:val="hr-HR"/>
              </w:rPr>
            </w:pPr>
            <w:r w:rsidRPr="0056088C">
              <w:rPr>
                <w:sz w:val="22"/>
                <w:szCs w:val="22"/>
                <w:lang w:val="hr-HR"/>
              </w:rPr>
              <w:t>„Prijavitelji trebaju ovaj pokazatelj uključiti u svoj projektni prijedlog (obrazac A) te navesti broj infrastrukturnih jedinica koje će tijekom provedbe projekta biti izgrađene u okviru projekta, rekonstruirane, kupljene ili opremljene na način da se jedinice zbrajaju u svakoj od četiri kategorije.“</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Što se izvora provjere ovog kriterija odabira tiče, u točci 4.2.2.1 Uputa za prijavitelje, u tablici za ocjenjivanje, koloni koja se nalazi desno od navedenog kriterija odabira, nalazi se stupac u kojem se navode izvori provjere, a u ovom slučaju to je: Prijavni obrazac A:</w:t>
            </w:r>
          </w:p>
          <w:p w:rsidR="0056088C" w:rsidRPr="0056088C" w:rsidRDefault="0056088C" w:rsidP="0056088C">
            <w:pPr>
              <w:jc w:val="both"/>
              <w:rPr>
                <w:i/>
                <w:sz w:val="22"/>
                <w:szCs w:val="22"/>
                <w:lang w:val="hr-HR"/>
              </w:rPr>
            </w:pPr>
            <w:r w:rsidRPr="0056088C">
              <w:rPr>
                <w:sz w:val="22"/>
                <w:szCs w:val="22"/>
                <w:lang w:val="hr-HR"/>
              </w:rPr>
              <w:t>stranica “3”</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 xml:space="preserve">Prilikom odabira projekata također se ocjenjuje doprinos procesu deinstitucionalizacije, inkluzije ranjivih skupina te širenju mreže socijalnih usluga iz institucije u zajednicu, a u skladu s ciljevima i aktivnostima </w:t>
            </w:r>
            <w:r w:rsidRPr="0056088C">
              <w:rPr>
                <w:i/>
                <w:sz w:val="22"/>
                <w:szCs w:val="22"/>
                <w:lang w:val="hr-HR"/>
              </w:rPr>
              <w:t>Operativnog plana deinstitucionalizacije i transformacije domova socijalne skrbi i drugih pravnih osoba koje obavljaju djelatnost socijalne skrbi u Republici Hrvatskoj 2014. – 2016.</w:t>
            </w:r>
            <w:r w:rsidRPr="0056088C">
              <w:rPr>
                <w:sz w:val="22"/>
                <w:szCs w:val="22"/>
                <w:lang w:val="hr-HR"/>
              </w:rPr>
              <w:t xml:space="preserve"> Podaci se mogu iskazati procjenom povećanja broja povrataka ili upućivanja u izvaninstitucijske oblike smještaja,  kao i brojem osoba koje će biti upućene u različite oblike skrbi u zajednici koje pružaju organizacije civilnog društva i drugi pružatelji socijalnih usluga. Navedeno se odnosi na osobe koje se nalaze na smještaju u instituciji te će temeljem rješenja CZSS biti izmještene iz institucije, kao i na osobe koje će u svrhu prevencije institucionalizacije temeljem rješenja CZSS biti upućene u različite oblike izvaninstitucijske skrbi. Dakle, broj rješenja CZSS predstavlja evidenciju na kojoj se temelji procjena, a tijekom provedbe i eventualna provjera postignuća.</w:t>
            </w:r>
          </w:p>
          <w:p w:rsidR="0056088C" w:rsidRPr="0056088C" w:rsidRDefault="0056088C" w:rsidP="0056088C">
            <w:pPr>
              <w:jc w:val="both"/>
              <w:rPr>
                <w:sz w:val="22"/>
                <w:szCs w:val="22"/>
                <w:lang w:val="hr-HR"/>
              </w:rPr>
            </w:pPr>
          </w:p>
          <w:p w:rsidR="0056088C" w:rsidRPr="005652DE" w:rsidRDefault="0056088C" w:rsidP="0056088C">
            <w:pPr>
              <w:jc w:val="both"/>
              <w:rPr>
                <w:sz w:val="22"/>
                <w:szCs w:val="22"/>
                <w:lang w:val="hr-HR"/>
              </w:rPr>
            </w:pPr>
            <w:r w:rsidRPr="0056088C">
              <w:rPr>
                <w:sz w:val="22"/>
                <w:szCs w:val="22"/>
                <w:lang w:val="hr-HR"/>
              </w:rPr>
              <w:t>Za više informacija vidjeti odgovor na pitanje broj 8.</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Pr="0056088C">
              <w:rPr>
                <w:b/>
                <w:sz w:val="22"/>
                <w:szCs w:val="22"/>
                <w:lang w:val="hr-HR"/>
              </w:rPr>
              <w:t>30. prosinca 2016.</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rPr>
            </w:pPr>
            <w:r w:rsidRPr="0056088C">
              <w:rPr>
                <w:sz w:val="22"/>
                <w:szCs w:val="22"/>
                <w:lang w:val="hr-HR"/>
              </w:rPr>
              <w:t>Kod točke 2.9.1 Troškovi aktivnosti Uputa za prijavitelje, pod 8. navode se Troškovi nabave opreme (kao što je informatička oprema i namještaj, tehnička oprema za premošćivanje visinskih arhitektonskih razlika…) – da li se pod opremom kao prihvatljiv trošak podrazumijeva i didaktička oprema te testovi i zadaci nužni za provođenje programa i radionica u svrhu prevencije institucionalizacije? Naime, projekt je osmišljen da se rekonstrukcijom Centra ostvare uvjeti za provođenje dodatnih stručno osmišljenih i prilagođenih programa za obitelji u riziku, udomitelje, djecu u udomiteljstvu (koji će se provoditi kroz radionice, grupna i individualna savjetovanja), a kojima je cilj smanjiti, ali i prevenirati institucionalizaciju. Za to je uz građevinske radove i namještaj potrebna i spomenuta didaktička oprema, odnosno stručni testovi i zadaci. Da li je trošak takve opreme prihvatljiv?</w:t>
            </w:r>
          </w:p>
        </w:tc>
        <w:tc>
          <w:tcPr>
            <w:tcW w:w="6946" w:type="dxa"/>
          </w:tcPr>
          <w:p w:rsidR="0056088C" w:rsidRPr="0056088C" w:rsidRDefault="0056088C" w:rsidP="0056088C">
            <w:pPr>
              <w:jc w:val="both"/>
              <w:rPr>
                <w:sz w:val="22"/>
                <w:szCs w:val="22"/>
                <w:lang w:val="hr-HR"/>
              </w:rPr>
            </w:pPr>
            <w:r w:rsidRPr="0056088C">
              <w:rPr>
                <w:sz w:val="22"/>
                <w:szCs w:val="22"/>
                <w:lang w:val="hr-HR"/>
              </w:rPr>
              <w:t xml:space="preserve">Predviđeno je da se ovim Pozivom financiraju infrastrukturna ulaganja u skladu s Operativnim programom „Konkurentnost i kohezija 2014. – 2020.“, stoga je naziv ove operacije u okviru specifičnog cilja 9a3 navedenog Operativnog programa: Unaprjeđivanje </w:t>
            </w:r>
            <w:r w:rsidRPr="0056088C">
              <w:rPr>
                <w:sz w:val="22"/>
                <w:szCs w:val="22"/>
                <w:u w:val="single"/>
                <w:lang w:val="hr-HR"/>
              </w:rPr>
              <w:t>infrastrukture</w:t>
            </w:r>
            <w:r w:rsidRPr="0056088C">
              <w:rPr>
                <w:sz w:val="22"/>
                <w:szCs w:val="22"/>
                <w:lang w:val="hr-HR"/>
              </w:rPr>
              <w:t xml:space="preserve"> centara za socijalnu skrb kao podrška procesu deinstitucionalizacije – faza 1“.</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 xml:space="preserve">Sukladno Uputama za prijavitelje, svrha Poziva je podrška procesu deinstitucionalizacije u Republici Hrvatskoj putem investiranja </w:t>
            </w:r>
            <w:r w:rsidRPr="0056088C">
              <w:rPr>
                <w:sz w:val="22"/>
                <w:szCs w:val="22"/>
                <w:u w:val="single"/>
                <w:lang w:val="hr-HR"/>
              </w:rPr>
              <w:t>u infrastrukturu</w:t>
            </w:r>
            <w:r w:rsidRPr="0056088C">
              <w:rPr>
                <w:sz w:val="22"/>
                <w:szCs w:val="22"/>
                <w:lang w:val="hr-HR"/>
              </w:rPr>
              <w:t xml:space="preserve"> i opremljenost prostora centara za socijalnu skrb. </w:t>
            </w:r>
          </w:p>
          <w:p w:rsidR="0056088C" w:rsidRPr="0056088C" w:rsidRDefault="0056088C" w:rsidP="0056088C">
            <w:pPr>
              <w:jc w:val="both"/>
              <w:rPr>
                <w:sz w:val="22"/>
                <w:szCs w:val="22"/>
                <w:lang w:val="hr-HR"/>
              </w:rPr>
            </w:pPr>
          </w:p>
          <w:p w:rsidR="0056088C" w:rsidRPr="0056088C" w:rsidRDefault="0056088C" w:rsidP="0056088C">
            <w:pPr>
              <w:jc w:val="both"/>
              <w:rPr>
                <w:sz w:val="22"/>
                <w:szCs w:val="22"/>
                <w:u w:val="single"/>
                <w:lang w:val="hr-HR"/>
              </w:rPr>
            </w:pPr>
            <w:r w:rsidRPr="0056088C">
              <w:rPr>
                <w:sz w:val="22"/>
                <w:szCs w:val="22"/>
                <w:lang w:val="hr-HR"/>
              </w:rPr>
              <w:t xml:space="preserve">Temeljem svrhe projekta ustanovljena je cjelokupna projektna logika, pa tako i pokazatelj Poziva koji se odnosi na </w:t>
            </w:r>
            <w:r w:rsidRPr="0056088C">
              <w:rPr>
                <w:sz w:val="22"/>
                <w:szCs w:val="22"/>
                <w:u w:val="single"/>
                <w:lang w:val="hr-HR"/>
              </w:rPr>
              <w:t>broj izgrađenih / rekonstruiranih infrastrukturnih jedinica.</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Trošak testova, zadataka kao didaktičke opreme ne spada u obnovu, rekonstrukciju, izgradnju. Pri tome treba imati na umu da instrument pitanja i odgovora u okviru natječajne procedure ne predstavlja mišljenje odbora za ocjenjivanje projektnih prijedloga, stoga je u Uputama za prijavitelje navedeno:</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„Nadležna tijela mogu davati odgovore na pitanja koja se odnose na pojašnjenje dokumentacije Poziva, a ne mogu davati prethodno mišljenje vezano uz prihvatljivost prijavitelja, projekta ili određenih aktivnosti i izdataka.”</w:t>
            </w:r>
          </w:p>
          <w:p w:rsidR="0056088C" w:rsidRPr="0056088C" w:rsidRDefault="0056088C" w:rsidP="0056088C">
            <w:pPr>
              <w:jc w:val="both"/>
              <w:rPr>
                <w:sz w:val="22"/>
                <w:szCs w:val="22"/>
                <w:lang w:val="hr-HR"/>
              </w:rPr>
            </w:pPr>
          </w:p>
          <w:p w:rsidR="0056088C" w:rsidRPr="005652DE" w:rsidRDefault="0056088C" w:rsidP="0056088C">
            <w:pPr>
              <w:jc w:val="both"/>
              <w:rPr>
                <w:sz w:val="22"/>
                <w:szCs w:val="22"/>
                <w:lang w:val="hr-HR"/>
              </w:rPr>
            </w:pPr>
            <w:r w:rsidRPr="0056088C">
              <w:rPr>
                <w:sz w:val="22"/>
                <w:szCs w:val="22"/>
                <w:lang w:val="hr-HR"/>
              </w:rPr>
              <w:t>Nadalje, u Uputama za prijavitelje navedeno je: „provedba ovog specifičnog cilja komplementarna je s provedbom operacija ESF–a u okviru Prioritetne osi 2 Socijalna uključenost (IP 9iv Poboljšanje pristupa pristupačnim, održivim i visokokvalitetnim uslugama, uključujući usluge zdravstvene skrbi i socijalne usluge od općeg interesa) kojom se podupiru takozvane „soft“ mjere i ostvaruje sinergija neophodna za uspješnu i održivu kvalitetu procesa te poboljšanje pristupa i proširenje mreže socijalnih usluga u zajednici.“</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56088C"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7. veljače 2017.</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lang w:val="hr-HR"/>
              </w:rPr>
            </w:pPr>
            <w:r w:rsidRPr="0056088C">
              <w:rPr>
                <w:sz w:val="22"/>
                <w:szCs w:val="22"/>
                <w:lang w:val="hr-HR"/>
              </w:rPr>
              <w:t xml:space="preserve">Da li pod točkom 2.9.2. Troškovi osoblja UZP-a, pod točkom 2. Troškovi upravljanja projektom (savjetodavne usluge vanjskih stručnjaka za upravljanje projektom, priprema i provođenje javne nabave, izrada tehničkih specifikacija i sl.) nedostaje daljnji tekst? </w:t>
            </w:r>
          </w:p>
          <w:p w:rsidR="0056088C" w:rsidRPr="0056088C" w:rsidRDefault="0056088C" w:rsidP="0056088C">
            <w:pPr>
              <w:jc w:val="both"/>
              <w:rPr>
                <w:sz w:val="22"/>
                <w:szCs w:val="22"/>
                <w:lang w:val="hr-HR"/>
              </w:rPr>
            </w:pPr>
          </w:p>
          <w:p w:rsidR="0056088C" w:rsidRPr="005652DE" w:rsidRDefault="0056088C" w:rsidP="0056088C">
            <w:pPr>
              <w:jc w:val="both"/>
              <w:rPr>
                <w:sz w:val="22"/>
                <w:szCs w:val="22"/>
                <w:lang w:val="hr-HR"/>
              </w:rPr>
            </w:pPr>
            <w:r w:rsidRPr="0056088C">
              <w:rPr>
                <w:sz w:val="22"/>
                <w:szCs w:val="22"/>
                <w:lang w:val="hr-HR"/>
              </w:rPr>
              <w:t>Naime, nisu specificirani uvjeti nabave vanjske usluge za upravljanje projektom (osim u dijelu gdje je navedeno da voditelj projekta treba imati 5 godina iskustva, odnosno osoba za računovodstvo, financije i administrativne poslove 1 godinu radnog iskustva – točka 2.5.)</w:t>
            </w:r>
          </w:p>
        </w:tc>
        <w:tc>
          <w:tcPr>
            <w:tcW w:w="6946" w:type="dxa"/>
          </w:tcPr>
          <w:p w:rsidR="0056088C" w:rsidRPr="0056088C" w:rsidRDefault="0056088C" w:rsidP="0056088C">
            <w:pPr>
              <w:jc w:val="both"/>
              <w:rPr>
                <w:sz w:val="22"/>
                <w:szCs w:val="22"/>
                <w:lang w:val="hr-HR"/>
              </w:rPr>
            </w:pPr>
            <w:r w:rsidRPr="0056088C">
              <w:rPr>
                <w:sz w:val="22"/>
                <w:szCs w:val="22"/>
                <w:lang w:val="hr-HR"/>
              </w:rPr>
              <w:t>Ne, izričaj je cjelovit, potpun, rečenica završena, a što je i naznačeno točkom.</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Javna nabava regulirana je Zakonom o javnoj nabavi.</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Sukladno Uputama za prijavitelje troškovi osoblja (novo zaposlenih, već zaposlenih i podugovornih) su prihvatljivi troškovi pod uvjetom da zadovoljavaju sve uvjete prihvatljivosti navedene u točci 2.9. Osim toga bitno je da se zadovolji uvjet iz točke 2.5:</w:t>
            </w:r>
          </w:p>
          <w:p w:rsidR="0056088C" w:rsidRPr="005652DE" w:rsidRDefault="0056088C" w:rsidP="0056088C">
            <w:pPr>
              <w:jc w:val="both"/>
              <w:rPr>
                <w:sz w:val="22"/>
                <w:szCs w:val="22"/>
                <w:lang w:val="hr-HR"/>
              </w:rPr>
            </w:pPr>
            <w:r w:rsidRPr="0056088C">
              <w:rPr>
                <w:sz w:val="22"/>
                <w:szCs w:val="22"/>
                <w:lang w:val="hr-HR"/>
              </w:rPr>
              <w:t>„Prijavitelj mora osigurati odgovarajuće kapacitete za provedbu projekta na način da ima imenovana najmanje dva člana projektnog tima s odgovarajućim iskustvom u provedbi projekata (voditelj projekta s najmanje 5 godina iskustva u vođenju projekata i osoba za računovodstvo, financije i administraciju s najmanje 1 godinom radnog iskustva.).”</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8. veljače 2017.</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52DE" w:rsidRDefault="0056088C" w:rsidP="0056088C">
            <w:pPr>
              <w:jc w:val="both"/>
              <w:rPr>
                <w:sz w:val="22"/>
                <w:szCs w:val="22"/>
                <w:lang w:val="it-IT"/>
              </w:rPr>
            </w:pPr>
            <w:r w:rsidRPr="0056088C">
              <w:rPr>
                <w:sz w:val="22"/>
                <w:szCs w:val="22"/>
                <w:lang w:val="hr-HR"/>
              </w:rPr>
              <w:t>Da li se neizravni troškovi u visini od 15% prihvatljivih izravnih troškova osoblja odnose samo na troškove osoblja koji su zaposlenici prijavitelja ili uključuje i trošak osobe koja je dio projektnog tima iz vanjske usluge?</w:t>
            </w:r>
          </w:p>
        </w:tc>
        <w:tc>
          <w:tcPr>
            <w:tcW w:w="6946" w:type="dxa"/>
          </w:tcPr>
          <w:p w:rsidR="0056088C" w:rsidRPr="0056088C" w:rsidRDefault="0056088C" w:rsidP="0056088C">
            <w:pPr>
              <w:jc w:val="both"/>
              <w:rPr>
                <w:sz w:val="22"/>
                <w:szCs w:val="22"/>
                <w:lang w:val="hr-HR"/>
              </w:rPr>
            </w:pPr>
            <w:r w:rsidRPr="0056088C">
              <w:rPr>
                <w:sz w:val="22"/>
                <w:szCs w:val="22"/>
                <w:lang w:val="hr-HR"/>
              </w:rPr>
              <w:t>Sukladno točci 2.9.3 Uputa za prijavitelje, neizravni troškovi nastaju izravno kao posljedica provedbe projekta kod prijavitelja, a izračunavaju se primjenom fiksne stope od 15% prihvatljivih izravnih troškova osoblja, što znači da se računa postotak od svih ukupnih troškova u obrascu A za projektni element upravljanje projektom i administracija.</w:t>
            </w:r>
          </w:p>
          <w:p w:rsidR="0056088C" w:rsidRPr="008B0CCB" w:rsidRDefault="0056088C" w:rsidP="0056088C">
            <w:pPr>
              <w:jc w:val="both"/>
              <w:rPr>
                <w:sz w:val="22"/>
                <w:szCs w:val="22"/>
                <w:lang w:val="hr-HR"/>
              </w:rPr>
            </w:pPr>
            <w:r w:rsidRPr="0056088C">
              <w:rPr>
                <w:sz w:val="22"/>
                <w:szCs w:val="22"/>
                <w:lang w:val="hr-HR"/>
              </w:rPr>
              <w:t>Za prihvatljivost troškova osoblja pogledati prethodno pitanje i Upute za prijavitelje, točku 2.9.2.</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r w:rsidRPr="0056088C">
              <w:rPr>
                <w:b/>
                <w:sz w:val="22"/>
                <w:szCs w:val="22"/>
                <w:lang w:val="hr-HR"/>
              </w:rPr>
              <w:t>17. veljače 2017.</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21. veljače 2017.</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52DE" w:rsidRDefault="0056088C" w:rsidP="0056088C">
            <w:pPr>
              <w:jc w:val="both"/>
              <w:rPr>
                <w:sz w:val="22"/>
                <w:szCs w:val="22"/>
                <w:lang w:val="it-IT"/>
              </w:rPr>
            </w:pPr>
            <w:r w:rsidRPr="0056088C">
              <w:rPr>
                <w:sz w:val="22"/>
                <w:szCs w:val="22"/>
                <w:lang w:val="hr-HR"/>
              </w:rPr>
              <w:t>Budući da se u projektu radi o uređenju i opremanju infrastrukture koja će biti spremna za uporabu po završetku projekta, da li kriterij doprinosa projekta povrataka ili upućivanja u izvaninstitucijske oblike smještaja treba biti zadovoljen u tijeku provedbe projekta ili u određenom razdoblju nakon provedbe (jer tek nakon završetka uređenja i opremanja korisnici mogu početi koristiti premetnu infrastrukturu što će pridonijeti deinstitucionalizaciji)?</w:t>
            </w:r>
          </w:p>
        </w:tc>
        <w:tc>
          <w:tcPr>
            <w:tcW w:w="6946" w:type="dxa"/>
          </w:tcPr>
          <w:p w:rsidR="0056088C" w:rsidRPr="0056088C" w:rsidRDefault="0056088C" w:rsidP="0056088C">
            <w:pPr>
              <w:jc w:val="both"/>
              <w:rPr>
                <w:sz w:val="22"/>
                <w:szCs w:val="22"/>
                <w:lang w:val="hr-HR"/>
              </w:rPr>
            </w:pPr>
            <w:r w:rsidRPr="0056088C">
              <w:rPr>
                <w:sz w:val="22"/>
                <w:szCs w:val="22"/>
                <w:lang w:val="hr-HR"/>
              </w:rPr>
              <w:t>Sukladno uputama za prijavitelje – jedan je pokazatelj obavezan:</w:t>
            </w:r>
          </w:p>
          <w:p w:rsidR="0056088C" w:rsidRPr="0056088C" w:rsidRDefault="0056088C" w:rsidP="0056088C">
            <w:pPr>
              <w:jc w:val="both"/>
              <w:rPr>
                <w:sz w:val="22"/>
                <w:szCs w:val="22"/>
                <w:lang w:val="hr-HR"/>
              </w:rPr>
            </w:pPr>
            <w:r w:rsidRPr="0056088C">
              <w:rPr>
                <w:sz w:val="22"/>
                <w:szCs w:val="22"/>
                <w:lang w:val="hr-HR"/>
              </w:rPr>
              <w:t>„Broj izgrađenih / rekonstruiranih i opremljenih infrastrukturnih jedinica</w:t>
            </w:r>
            <w:r w:rsidRPr="0056088C">
              <w:rPr>
                <w:sz w:val="22"/>
                <w:szCs w:val="22"/>
                <w:vertAlign w:val="superscript"/>
                <w:lang w:val="hr-HR"/>
              </w:rPr>
              <w:footnoteReference w:id="1"/>
            </w:r>
            <w:r w:rsidRPr="0056088C">
              <w:rPr>
                <w:sz w:val="22"/>
                <w:szCs w:val="22"/>
                <w:lang w:val="hr-HR"/>
              </w:rPr>
              <w:t>“</w:t>
            </w:r>
          </w:p>
          <w:p w:rsidR="0056088C" w:rsidRPr="0056088C" w:rsidRDefault="0056088C" w:rsidP="0056088C">
            <w:pPr>
              <w:jc w:val="both"/>
              <w:rPr>
                <w:sz w:val="22"/>
                <w:szCs w:val="22"/>
                <w:lang w:val="hr-HR"/>
              </w:rPr>
            </w:pPr>
            <w:r w:rsidRPr="0056088C">
              <w:rPr>
                <w:sz w:val="22"/>
                <w:szCs w:val="22"/>
                <w:lang w:val="hr-HR"/>
              </w:rPr>
              <w:t>To je pokazatelj neposrednih rezultata.</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Pokazatelj rezultata „Smanjenje broja osoba u institucijama“ nije naveden u Uputama za prijavitelje, stoga smo prilagodili obrazac A na način da smo izuzeli ovaj pokazatelj.</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Izuzeti pokazatelj pratit će se na nacionalnoj razini za ovaj Poziv.</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Što se ostvarenja pokazatelja tiče, korisnik je dužan pokazatelje navedene u prijavnom obrascu A ostvariti do završetka provedbe projekta.</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Razdoblje provedbe projekta bit će definirano posebnim uvjetima</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 xml:space="preserve">Nadalje, u Uputama za prijavitelje, točci 2.5. </w:t>
            </w:r>
            <w:bookmarkStart w:id="1" w:name="_Toc460848880"/>
            <w:r w:rsidRPr="0056088C">
              <w:rPr>
                <w:sz w:val="22"/>
                <w:szCs w:val="22"/>
                <w:lang w:val="hr-HR"/>
              </w:rPr>
              <w:t>Zahtjevi koji se odnose na sposobnost prijavitelja, učinkovito korištenje sredstava i održivost projekta</w:t>
            </w:r>
            <w:bookmarkEnd w:id="1"/>
            <w:r w:rsidRPr="0056088C">
              <w:rPr>
                <w:sz w:val="22"/>
                <w:szCs w:val="22"/>
                <w:lang w:val="hr-HR"/>
              </w:rPr>
              <w:t xml:space="preserve"> navedeno je:</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 xml:space="preserve">„Prijavitelj/korisnik tijekom razdoblja od 5 (pet) godina nakon završetka provedbe projekta također mora osigurati: </w:t>
            </w:r>
          </w:p>
          <w:p w:rsidR="0056088C" w:rsidRPr="0056088C" w:rsidRDefault="0056088C" w:rsidP="0056088C">
            <w:pPr>
              <w:pStyle w:val="ListParagraph"/>
              <w:numPr>
                <w:ilvl w:val="0"/>
                <w:numId w:val="23"/>
              </w:numPr>
              <w:jc w:val="both"/>
              <w:rPr>
                <w:sz w:val="22"/>
                <w:szCs w:val="22"/>
                <w:lang w:val="hr-HR"/>
              </w:rPr>
            </w:pPr>
            <w:r w:rsidRPr="0056088C">
              <w:rPr>
                <w:sz w:val="22"/>
                <w:szCs w:val="22"/>
                <w:lang w:val="hr-HR"/>
              </w:rPr>
              <w:t xml:space="preserve">održavanje infrastrukture/opreme i druge imovine nabavljene tijekom projekta, u skladu s uputama/preporukama izvođača/proizvođača; </w:t>
            </w:r>
          </w:p>
          <w:p w:rsidR="0056088C" w:rsidRPr="0056088C" w:rsidRDefault="0056088C" w:rsidP="0056088C">
            <w:pPr>
              <w:pStyle w:val="ListParagraph"/>
              <w:numPr>
                <w:ilvl w:val="0"/>
                <w:numId w:val="23"/>
              </w:numPr>
              <w:jc w:val="both"/>
              <w:rPr>
                <w:sz w:val="22"/>
                <w:szCs w:val="22"/>
                <w:lang w:val="hr-HR"/>
              </w:rPr>
            </w:pPr>
            <w:r w:rsidRPr="0056088C">
              <w:rPr>
                <w:sz w:val="22"/>
                <w:szCs w:val="22"/>
                <w:lang w:val="hr-HR"/>
              </w:rPr>
              <w:t xml:space="preserve">održivost aktivnosti i rezultata </w:t>
            </w:r>
            <w:r w:rsidRPr="0056088C">
              <w:rPr>
                <w:sz w:val="22"/>
                <w:szCs w:val="22"/>
                <w:u w:val="single"/>
                <w:lang w:val="hr-HR"/>
              </w:rPr>
              <w:t>kako bi se osigurala realizacija ciljanih pokazatelja</w:t>
            </w:r>
            <w:r w:rsidRPr="0056088C">
              <w:rPr>
                <w:sz w:val="22"/>
                <w:szCs w:val="22"/>
                <w:lang w:val="hr-HR"/>
              </w:rPr>
              <w:t xml:space="preserve"> utvrđenih u pod točkom 1.3. Uputa; </w:t>
            </w:r>
          </w:p>
          <w:p w:rsidR="0056088C" w:rsidRPr="0056088C" w:rsidRDefault="0056088C" w:rsidP="0056088C">
            <w:pPr>
              <w:pStyle w:val="ListParagraph"/>
              <w:numPr>
                <w:ilvl w:val="0"/>
                <w:numId w:val="23"/>
              </w:numPr>
              <w:jc w:val="both"/>
              <w:rPr>
                <w:sz w:val="22"/>
                <w:szCs w:val="22"/>
                <w:lang w:val="hr-HR"/>
              </w:rPr>
            </w:pPr>
            <w:r w:rsidRPr="0056088C">
              <w:rPr>
                <w:sz w:val="22"/>
                <w:szCs w:val="22"/>
                <w:lang w:val="hr-HR"/>
              </w:rPr>
              <w:t>da ne dođe do bitne izmjene projektnih rezultata uslijed promjene prirode vlasništva dijela infrastrukture ili prestanka obavljanja djelatnosti korisnika.“</w:t>
            </w:r>
          </w:p>
          <w:p w:rsidR="0056088C" w:rsidRPr="0056088C" w:rsidRDefault="0056088C" w:rsidP="0056088C">
            <w:pPr>
              <w:jc w:val="both"/>
              <w:rPr>
                <w:sz w:val="22"/>
                <w:szCs w:val="22"/>
                <w:lang w:val="hr-HR"/>
              </w:rPr>
            </w:pPr>
          </w:p>
          <w:p w:rsidR="0056088C" w:rsidRPr="0056088C" w:rsidRDefault="0056088C" w:rsidP="0056088C">
            <w:pPr>
              <w:jc w:val="both"/>
              <w:rPr>
                <w:sz w:val="22"/>
                <w:szCs w:val="22"/>
                <w:lang w:val="hr-HR"/>
              </w:rPr>
            </w:pPr>
            <w:r w:rsidRPr="0056088C">
              <w:rPr>
                <w:sz w:val="22"/>
                <w:szCs w:val="22"/>
                <w:lang w:val="hr-HR"/>
              </w:rPr>
              <w:t>Također u točci 6.3 Uputa za prijavitelje stoji:</w:t>
            </w:r>
          </w:p>
          <w:p w:rsidR="0056088C" w:rsidRPr="0056088C" w:rsidRDefault="0056088C" w:rsidP="0056088C">
            <w:pPr>
              <w:jc w:val="both"/>
              <w:rPr>
                <w:sz w:val="22"/>
                <w:szCs w:val="22"/>
                <w:lang w:val="hr-HR"/>
              </w:rPr>
            </w:pPr>
            <w:r w:rsidRPr="0056088C">
              <w:rPr>
                <w:sz w:val="22"/>
                <w:szCs w:val="22"/>
                <w:lang w:val="hr-HR"/>
              </w:rPr>
              <w:t>„U roku od 5 godina nakon završetka provedbe projekta, SAFU će provjeriti održivost projekta, postizanje učinka, pokazatelje rezultata, sprečavanje prekomjernog financiranja, korištenje imovine u skladu s ugovorom o dodjeli bespovratnih sredstava, usklađenost projekta s horizontalnim politikama EU, itd.</w:t>
            </w:r>
          </w:p>
          <w:p w:rsidR="0056088C" w:rsidRPr="005652DE" w:rsidRDefault="0056088C" w:rsidP="0056088C">
            <w:pPr>
              <w:jc w:val="both"/>
              <w:rPr>
                <w:sz w:val="22"/>
                <w:szCs w:val="22"/>
                <w:lang w:val="hr-HR"/>
              </w:rPr>
            </w:pPr>
            <w:r w:rsidRPr="0056088C">
              <w:rPr>
                <w:sz w:val="22"/>
                <w:szCs w:val="22"/>
                <w:lang w:val="hr-HR"/>
              </w:rPr>
              <w:t xml:space="preserve">MRRFEU, u svrhu praćenja napretka provedbe projekta, može od korisnika zahtijevati dostavu redovnih ili </w:t>
            </w:r>
            <w:r w:rsidRPr="0056088C">
              <w:rPr>
                <w:i/>
                <w:sz w:val="22"/>
                <w:szCs w:val="22"/>
                <w:lang w:val="hr-HR"/>
              </w:rPr>
              <w:t>ad hoc</w:t>
            </w:r>
            <w:r w:rsidRPr="0056088C">
              <w:rPr>
                <w:sz w:val="22"/>
                <w:szCs w:val="22"/>
                <w:lang w:val="hr-HR"/>
              </w:rPr>
              <w:t xml:space="preserve"> izvješća o provedbi projekta, ostvarivanju pokazatelja, horizontalnim pitanjima ili drugim informacijama potrebnim za izvještavanje ili provedbu i vrednovanje OP-a.“</w:t>
            </w: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r>
              <w:rPr>
                <w:b/>
                <w:sz w:val="22"/>
                <w:szCs w:val="22"/>
                <w:lang w:val="hr-HR"/>
              </w:rPr>
              <w:t>24. veljače 2017.</w:t>
            </w:r>
          </w:p>
        </w:tc>
        <w:tc>
          <w:tcPr>
            <w:tcW w:w="6946"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24. veljače 2017.</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52DE" w:rsidRDefault="0056088C" w:rsidP="0056088C">
            <w:pPr>
              <w:jc w:val="both"/>
              <w:rPr>
                <w:sz w:val="22"/>
                <w:szCs w:val="22"/>
                <w:lang w:val="hr-HR"/>
              </w:rPr>
            </w:pPr>
            <w:r w:rsidRPr="0056088C">
              <w:rPr>
                <w:sz w:val="22"/>
                <w:szCs w:val="22"/>
                <w:lang w:val="hr-HR"/>
              </w:rPr>
              <w:t xml:space="preserve">U uputama za prijavitelje je navedeno kako je financijska revizija projekta prihvatljiv trošak, nigdje se ne navodi minimalna </w:t>
            </w:r>
            <w:r w:rsidRPr="0056088C">
              <w:rPr>
                <w:sz w:val="22"/>
                <w:szCs w:val="22"/>
                <w:lang w:val="hr-HR"/>
              </w:rPr>
              <w:lastRenderedPageBreak/>
              <w:t>vrijednost projekta za koju bi revizija bila obvezna, međutim, dalje u tekstu, kod uputa za provedbu projekta je navedeno da je revizorsko izvješće potrebno dostaviti uz završni ZNS i završno izvješće. Da li je financijska revizija projekta obvezna bez obzira na vrijednost projekta?</w:t>
            </w:r>
          </w:p>
        </w:tc>
        <w:tc>
          <w:tcPr>
            <w:tcW w:w="6946" w:type="dxa"/>
          </w:tcPr>
          <w:p w:rsidR="0056088C" w:rsidRPr="0056088C" w:rsidRDefault="0056088C" w:rsidP="0056088C">
            <w:pPr>
              <w:jc w:val="both"/>
              <w:rPr>
                <w:sz w:val="22"/>
                <w:szCs w:val="22"/>
                <w:lang w:val="hr-HR"/>
              </w:rPr>
            </w:pPr>
            <w:r w:rsidRPr="0056088C">
              <w:rPr>
                <w:sz w:val="22"/>
                <w:szCs w:val="22"/>
                <w:lang w:val="hr-HR"/>
              </w:rPr>
              <w:lastRenderedPageBreak/>
              <w:t xml:space="preserve">Sukladno Uputama za prijavitelje, članku 6.5. </w:t>
            </w:r>
            <w:bookmarkStart w:id="2" w:name="_Toc448224914"/>
            <w:bookmarkStart w:id="3" w:name="_Toc455128519"/>
            <w:bookmarkStart w:id="4" w:name="_Toc455137020"/>
            <w:bookmarkStart w:id="5" w:name="_Toc457218446"/>
            <w:r w:rsidRPr="0056088C">
              <w:rPr>
                <w:sz w:val="22"/>
                <w:szCs w:val="22"/>
                <w:lang w:val="hr-HR"/>
              </w:rPr>
              <w:t>Revizije projekta, imovina i osiguranje</w:t>
            </w:r>
            <w:bookmarkEnd w:id="2"/>
            <w:bookmarkEnd w:id="3"/>
            <w:bookmarkEnd w:id="4"/>
            <w:bookmarkEnd w:id="5"/>
            <w:r w:rsidRPr="0056088C">
              <w:rPr>
                <w:sz w:val="22"/>
                <w:szCs w:val="22"/>
                <w:lang w:val="hr-HR"/>
              </w:rPr>
              <w:t xml:space="preserve">: „Revizorsko izvješće neovisnog ovlaštenog revizora o verifikaciji </w:t>
            </w:r>
            <w:r w:rsidRPr="0056088C">
              <w:rPr>
                <w:sz w:val="22"/>
                <w:szCs w:val="22"/>
                <w:lang w:val="hr-HR"/>
              </w:rPr>
              <w:lastRenderedPageBreak/>
              <w:t>troškova projekta, korisnik je obvezan predati uz završni zahtjev za nadoknadom sredstava i završno izvješće o provedbi projekta.”</w:t>
            </w:r>
          </w:p>
          <w:p w:rsidR="0056088C" w:rsidRPr="005652DE" w:rsidRDefault="0056088C" w:rsidP="0056088C">
            <w:pPr>
              <w:jc w:val="both"/>
              <w:rPr>
                <w:sz w:val="22"/>
                <w:szCs w:val="22"/>
                <w:lang w:val="hr-HR"/>
              </w:rPr>
            </w:pPr>
          </w:p>
        </w:tc>
      </w:tr>
      <w:tr w:rsidR="0056088C" w:rsidRPr="00EC7F45" w:rsidTr="00945657">
        <w:trPr>
          <w:trHeight w:val="433"/>
        </w:trPr>
        <w:tc>
          <w:tcPr>
            <w:tcW w:w="992" w:type="dxa"/>
            <w:shd w:val="clear" w:color="auto" w:fill="538135" w:themeFill="accent6" w:themeFillShade="BF"/>
          </w:tcPr>
          <w:p w:rsidR="0056088C" w:rsidRPr="00EC7F45" w:rsidRDefault="0056088C" w:rsidP="0056088C">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56088C" w:rsidRPr="00EC7F45" w:rsidRDefault="0056088C" w:rsidP="0056088C">
            <w:pPr>
              <w:rPr>
                <w:b/>
                <w:sz w:val="22"/>
                <w:szCs w:val="22"/>
                <w:lang w:val="hr-HR"/>
              </w:rPr>
            </w:pPr>
            <w:r w:rsidRPr="00EC7F45">
              <w:rPr>
                <w:b/>
                <w:color w:val="FFFFFF" w:themeColor="background1"/>
                <w:sz w:val="22"/>
                <w:szCs w:val="22"/>
                <w:lang w:val="hr-HR"/>
              </w:rPr>
              <w:t xml:space="preserve">DATUM ZAPRIMANJA PITANJA: </w:t>
            </w:r>
            <w:r>
              <w:rPr>
                <w:b/>
                <w:sz w:val="22"/>
                <w:szCs w:val="22"/>
                <w:lang w:val="hr-HR"/>
              </w:rPr>
              <w:t>27. veljače 2017.</w:t>
            </w:r>
          </w:p>
        </w:tc>
        <w:tc>
          <w:tcPr>
            <w:tcW w:w="6946" w:type="dxa"/>
            <w:shd w:val="clear" w:color="auto" w:fill="538135" w:themeFill="accent6" w:themeFillShade="BF"/>
          </w:tcPr>
          <w:p w:rsidR="0056088C" w:rsidRPr="0056088C" w:rsidRDefault="0056088C" w:rsidP="0056088C">
            <w:pPr>
              <w:rPr>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3. ožujka 2017.</w:t>
            </w:r>
          </w:p>
        </w:tc>
      </w:tr>
      <w:tr w:rsidR="0056088C" w:rsidRPr="00EC7F45" w:rsidTr="00945657">
        <w:trPr>
          <w:trHeight w:val="272"/>
        </w:trPr>
        <w:tc>
          <w:tcPr>
            <w:tcW w:w="992" w:type="dxa"/>
            <w:vAlign w:val="center"/>
          </w:tcPr>
          <w:p w:rsidR="0056088C" w:rsidRPr="005652DE" w:rsidRDefault="0056088C" w:rsidP="0056088C">
            <w:pPr>
              <w:pStyle w:val="ListParagraph"/>
              <w:numPr>
                <w:ilvl w:val="0"/>
                <w:numId w:val="4"/>
              </w:numPr>
              <w:ind w:hanging="549"/>
              <w:jc w:val="right"/>
              <w:rPr>
                <w:b/>
                <w:lang w:val="it-IT"/>
              </w:rPr>
            </w:pPr>
          </w:p>
        </w:tc>
        <w:tc>
          <w:tcPr>
            <w:tcW w:w="6095" w:type="dxa"/>
          </w:tcPr>
          <w:p w:rsidR="0056088C" w:rsidRPr="0056088C" w:rsidRDefault="0056088C" w:rsidP="0056088C">
            <w:pPr>
              <w:jc w:val="both"/>
              <w:rPr>
                <w:sz w:val="22"/>
                <w:szCs w:val="22"/>
                <w:lang w:val="hr-HR"/>
              </w:rPr>
            </w:pPr>
            <w:r w:rsidRPr="0056088C">
              <w:rPr>
                <w:sz w:val="22"/>
                <w:szCs w:val="22"/>
                <w:lang w:val="hr-HR"/>
              </w:rPr>
              <w:t>Zanima me zbog kojeg razloga nije uvrštena Šibensko - kninska županija, točnije Centri za socijalnu skrb s ovog područja kao prihvatljivi prijavitelji?</w:t>
            </w:r>
          </w:p>
          <w:p w:rsidR="0056088C" w:rsidRPr="0056088C" w:rsidRDefault="0056088C" w:rsidP="0056088C">
            <w:pPr>
              <w:jc w:val="both"/>
              <w:rPr>
                <w:sz w:val="22"/>
                <w:szCs w:val="22"/>
                <w:lang w:val="hr-HR"/>
              </w:rPr>
            </w:pPr>
            <w:r w:rsidRPr="0056088C">
              <w:rPr>
                <w:sz w:val="22"/>
                <w:szCs w:val="22"/>
                <w:lang w:val="hr-HR"/>
              </w:rPr>
              <w:t>Isto tako me zanima na koji način se ti isti Centri mogu uključiti u ovaj poziv?</w:t>
            </w:r>
          </w:p>
          <w:p w:rsidR="0056088C" w:rsidRPr="005652DE" w:rsidRDefault="0056088C" w:rsidP="0056088C">
            <w:pPr>
              <w:jc w:val="both"/>
              <w:rPr>
                <w:sz w:val="22"/>
                <w:szCs w:val="22"/>
                <w:lang w:val="it-IT"/>
              </w:rPr>
            </w:pPr>
          </w:p>
        </w:tc>
        <w:tc>
          <w:tcPr>
            <w:tcW w:w="6946" w:type="dxa"/>
          </w:tcPr>
          <w:p w:rsidR="0056088C" w:rsidRPr="0056088C" w:rsidRDefault="0056088C" w:rsidP="0056088C">
            <w:pPr>
              <w:jc w:val="both"/>
              <w:rPr>
                <w:sz w:val="22"/>
                <w:szCs w:val="22"/>
                <w:lang w:val="hr-HR"/>
              </w:rPr>
            </w:pPr>
            <w:r w:rsidRPr="0056088C">
              <w:rPr>
                <w:i/>
                <w:iCs/>
                <w:sz w:val="22"/>
                <w:szCs w:val="22"/>
                <w:lang w:val="hr-HR"/>
              </w:rPr>
              <w:t>Zajedničke europske smjernice za prijelaz s institucionalne skrbi na usluge podrške za život u zajednici</w:t>
            </w:r>
            <w:r w:rsidRPr="0056088C">
              <w:rPr>
                <w:rStyle w:val="FootnoteReference"/>
                <w:b/>
                <w:bCs/>
                <w:i/>
                <w:iCs/>
                <w:sz w:val="22"/>
                <w:szCs w:val="22"/>
                <w:lang w:val="hr-HR"/>
              </w:rPr>
              <w:footnoteReference w:customMarkFollows="1" w:id="2"/>
              <w:t>[1]</w:t>
            </w:r>
            <w:r w:rsidRPr="0056088C">
              <w:rPr>
                <w:sz w:val="22"/>
                <w:szCs w:val="22"/>
                <w:lang w:val="hr-HR"/>
              </w:rPr>
              <w:t xml:space="preserve"> donose upute kako izvršiti trajni prijelaz s institucionalne skrbi na alternative oblike skrbi. Takve smjernice transponiraju se nizom dokumenata na razinu Republike Hrvatske s kojima je ovaj Poziv usklađen. Donošenjem </w:t>
            </w:r>
            <w:r w:rsidRPr="0056088C">
              <w:rPr>
                <w:i/>
                <w:iCs/>
                <w:sz w:val="22"/>
                <w:szCs w:val="22"/>
                <w:lang w:val="hr-HR"/>
              </w:rPr>
              <w:t>Plana deinstitucionalizacije i transformacije domova socijalne skrbi i drugih pravnih osoba u Republici Hrvatskoj 2011. - 2016. (2018)</w:t>
            </w:r>
            <w:r w:rsidRPr="0056088C">
              <w:rPr>
                <w:sz w:val="22"/>
                <w:szCs w:val="22"/>
                <w:lang w:val="hr-HR"/>
              </w:rPr>
              <w:t xml:space="preserve"> intenziviran je reformski proces transformacije i deinstitucionalizacije te su postavljeni temelji za planiranje djelatnosti socijalne skrbi. Ministarstvo demografije, obitelji, mladih i socijalne politike razvilo je i</w:t>
            </w:r>
            <w:r w:rsidRPr="0056088C">
              <w:rPr>
                <w:i/>
                <w:iCs/>
                <w:sz w:val="22"/>
                <w:szCs w:val="22"/>
                <w:lang w:val="hr-HR"/>
              </w:rPr>
              <w:t xml:space="preserve"> Operativni plan deinstitucionalizacije i transformacije domova socijalne skrbi i drugih pravnih osoba koje obavljaju djelatnost socijalne skrbi u Republici Hrvatskoj 2014. – 2016.</w:t>
            </w:r>
            <w:r w:rsidRPr="0056088C">
              <w:rPr>
                <w:rStyle w:val="FootnoteReference"/>
                <w:b/>
                <w:bCs/>
                <w:i/>
                <w:iCs/>
                <w:sz w:val="22"/>
                <w:szCs w:val="22"/>
                <w:lang w:val="hr-HR"/>
              </w:rPr>
              <w:footnoteReference w:customMarkFollows="1" w:id="3"/>
              <w:t>[2]</w:t>
            </w:r>
            <w:r w:rsidRPr="0056088C">
              <w:rPr>
                <w:sz w:val="22"/>
                <w:szCs w:val="22"/>
                <w:lang w:val="hr-HR"/>
              </w:rPr>
              <w:t xml:space="preserve"> (u daljnjem tekstu </w:t>
            </w:r>
            <w:r w:rsidRPr="0056088C">
              <w:rPr>
                <w:i/>
                <w:iCs/>
                <w:sz w:val="22"/>
                <w:szCs w:val="22"/>
                <w:lang w:val="hr-HR"/>
              </w:rPr>
              <w:t>Operativni plan</w:t>
            </w:r>
            <w:r w:rsidRPr="0056088C">
              <w:rPr>
                <w:sz w:val="22"/>
                <w:szCs w:val="22"/>
                <w:lang w:val="hr-HR"/>
              </w:rPr>
              <w:t xml:space="preserve">) koji definira mjere, aktivnosti, institucije te rokove kako bi se proces deinstitucionalizacije provodio koordinirano i sa željenim rezultatima. </w:t>
            </w:r>
          </w:p>
          <w:p w:rsidR="0056088C" w:rsidRPr="0056088C" w:rsidRDefault="0056088C" w:rsidP="0056088C">
            <w:pPr>
              <w:jc w:val="both"/>
              <w:rPr>
                <w:sz w:val="22"/>
                <w:szCs w:val="22"/>
                <w:lang w:val="hr-HR"/>
              </w:rPr>
            </w:pPr>
            <w:r w:rsidRPr="0056088C">
              <w:rPr>
                <w:sz w:val="22"/>
                <w:szCs w:val="22"/>
                <w:lang w:val="hr-HR"/>
              </w:rPr>
              <w:t xml:space="preserve">Kako bi se obuhvatile sve institucije definirane </w:t>
            </w:r>
            <w:r w:rsidRPr="0056088C">
              <w:rPr>
                <w:i/>
                <w:iCs/>
                <w:sz w:val="22"/>
                <w:szCs w:val="22"/>
                <w:lang w:val="hr-HR"/>
              </w:rPr>
              <w:t>Operativnim planom</w:t>
            </w:r>
            <w:r w:rsidRPr="0056088C">
              <w:rPr>
                <w:sz w:val="22"/>
                <w:szCs w:val="22"/>
                <w:lang w:val="hr-HR"/>
              </w:rPr>
              <w:t>, ali i područno vezani, pripadajući centri za socijalnu skrb, operacije u sklopu OPKK, specifičnog cilja 9a3 bit će provedene putem 3 različite dodjele bespovratnih sredstava:</w:t>
            </w:r>
          </w:p>
          <w:p w:rsidR="0056088C" w:rsidRPr="0056088C" w:rsidRDefault="0056088C" w:rsidP="0056088C">
            <w:pPr>
              <w:pStyle w:val="ListParagraph"/>
              <w:numPr>
                <w:ilvl w:val="0"/>
                <w:numId w:val="24"/>
              </w:numPr>
              <w:spacing w:before="100" w:after="200" w:line="276" w:lineRule="auto"/>
              <w:jc w:val="both"/>
              <w:rPr>
                <w:sz w:val="22"/>
                <w:szCs w:val="22"/>
                <w:lang w:val="hr-HR"/>
              </w:rPr>
            </w:pPr>
            <w:r w:rsidRPr="0056088C">
              <w:rPr>
                <w:i/>
                <w:iCs/>
                <w:sz w:val="22"/>
                <w:szCs w:val="22"/>
                <w:lang w:val="hr-HR"/>
              </w:rPr>
              <w:t>Unapređivanje infrastrukture za pružanje socijalnih usluga u zajednici osobama s invaliditetom kao podrška procesu deinstitucionalizacije</w:t>
            </w:r>
            <w:r w:rsidRPr="0056088C">
              <w:rPr>
                <w:sz w:val="22"/>
                <w:szCs w:val="22"/>
                <w:lang w:val="hr-HR"/>
              </w:rPr>
              <w:t>, usmjerena na 18 domova za osobe s invaliditetom.</w:t>
            </w:r>
          </w:p>
          <w:p w:rsidR="0056088C" w:rsidRPr="0056088C" w:rsidRDefault="0056088C" w:rsidP="0056088C">
            <w:pPr>
              <w:pStyle w:val="ListParagraph"/>
              <w:numPr>
                <w:ilvl w:val="0"/>
                <w:numId w:val="24"/>
              </w:numPr>
              <w:spacing w:before="100" w:after="200" w:line="276" w:lineRule="auto"/>
              <w:jc w:val="both"/>
              <w:rPr>
                <w:sz w:val="22"/>
                <w:szCs w:val="22"/>
                <w:lang w:val="hr-HR"/>
              </w:rPr>
            </w:pPr>
            <w:r w:rsidRPr="0056088C">
              <w:rPr>
                <w:i/>
                <w:iCs/>
                <w:sz w:val="22"/>
                <w:szCs w:val="22"/>
                <w:lang w:val="hr-HR"/>
              </w:rPr>
              <w:lastRenderedPageBreak/>
              <w:t>Unapređivanje infrastrukture pružatelja socijalnih usluga djeci i mladima kao podrška procesu deinstitucionalizacije</w:t>
            </w:r>
            <w:r w:rsidRPr="0056088C">
              <w:rPr>
                <w:sz w:val="22"/>
                <w:szCs w:val="22"/>
                <w:lang w:val="hr-HR"/>
              </w:rPr>
              <w:t>, usmjerena na 13 domova za djecu i mlade.</w:t>
            </w:r>
          </w:p>
          <w:p w:rsidR="0056088C" w:rsidRPr="0056088C" w:rsidRDefault="0056088C" w:rsidP="0056088C">
            <w:pPr>
              <w:pStyle w:val="ListParagraph"/>
              <w:numPr>
                <w:ilvl w:val="0"/>
                <w:numId w:val="24"/>
              </w:numPr>
              <w:spacing w:before="100" w:after="200" w:line="276" w:lineRule="auto"/>
              <w:jc w:val="both"/>
              <w:rPr>
                <w:sz w:val="22"/>
                <w:szCs w:val="22"/>
                <w:lang w:val="hr-HR"/>
              </w:rPr>
            </w:pPr>
            <w:r w:rsidRPr="0056088C">
              <w:rPr>
                <w:i/>
                <w:iCs/>
                <w:sz w:val="22"/>
                <w:szCs w:val="22"/>
                <w:lang w:val="hr-HR"/>
              </w:rPr>
              <w:t>Unaprjeđivanje infrastrukture centara za socijalnu skrb kao podrška procesu deinstitucionalizacije</w:t>
            </w:r>
            <w:r w:rsidRPr="0056088C">
              <w:rPr>
                <w:sz w:val="22"/>
                <w:szCs w:val="22"/>
                <w:lang w:val="hr-HR"/>
              </w:rPr>
              <w:t>, usmjerena na 32 centra za socijalnu skrb.</w:t>
            </w:r>
          </w:p>
          <w:p w:rsidR="0056088C" w:rsidRPr="0056088C" w:rsidRDefault="0056088C" w:rsidP="0056088C">
            <w:pPr>
              <w:jc w:val="both"/>
              <w:rPr>
                <w:sz w:val="22"/>
                <w:szCs w:val="22"/>
                <w:lang w:val="hr-HR"/>
              </w:rPr>
            </w:pPr>
            <w:r w:rsidRPr="0056088C">
              <w:rPr>
                <w:sz w:val="22"/>
                <w:szCs w:val="22"/>
                <w:lang w:val="hr-HR"/>
              </w:rPr>
              <w:t>Kako je uloga centara za socijalnu skrb u procesu deinstitucionalizacije usko povezana s deinstitucionalizacijom domova za socijalnu skrb, a proces je geografski povezan, tako je i ovaj Poziv povezan sa spomenuta dva poziva na dostavu projektnih prijedloga za unaprjeđivanje infrastrukture domova za socijalnu skrb na način da prihvatljivi prijavitelji ovog poziva budu locirani na istom geografskom području vršenja djelatnosti kao i domovi. Ovakvim dizajnom Poziva postiže se sinergija u procesu deinstitucionalizacije u RH.</w:t>
            </w:r>
          </w:p>
          <w:p w:rsidR="0056088C" w:rsidRPr="0056088C" w:rsidRDefault="0056088C" w:rsidP="0056088C">
            <w:pPr>
              <w:jc w:val="both"/>
              <w:rPr>
                <w:rFonts w:ascii="Calibri" w:hAnsi="Calibri" w:cs="Calibri"/>
                <w:color w:val="1F497D"/>
                <w:sz w:val="22"/>
                <w:szCs w:val="22"/>
                <w:lang w:val="hr-HR"/>
              </w:rPr>
            </w:pPr>
          </w:p>
          <w:p w:rsidR="0056088C" w:rsidRPr="0056088C" w:rsidRDefault="0056088C" w:rsidP="0056088C">
            <w:pPr>
              <w:jc w:val="both"/>
              <w:rPr>
                <w:sz w:val="22"/>
                <w:szCs w:val="22"/>
                <w:lang w:val="hr-HR" w:eastAsia="hr-HR"/>
              </w:rPr>
            </w:pPr>
            <w:r w:rsidRPr="0056088C">
              <w:rPr>
                <w:sz w:val="22"/>
                <w:szCs w:val="22"/>
                <w:lang w:val="hr-HR"/>
              </w:rPr>
              <w:t>To znači da su prihvatljivi prijavitelji za Poziv</w:t>
            </w:r>
            <w:r w:rsidRPr="0056088C">
              <w:rPr>
                <w:rFonts w:ascii="Calibri" w:hAnsi="Calibri" w:cs="Calibri"/>
                <w:sz w:val="22"/>
                <w:szCs w:val="22"/>
                <w:lang w:val="hr-HR"/>
              </w:rPr>
              <w:t xml:space="preserve"> </w:t>
            </w:r>
            <w:r w:rsidRPr="0056088C">
              <w:rPr>
                <w:i/>
                <w:iCs/>
                <w:sz w:val="22"/>
                <w:szCs w:val="22"/>
                <w:lang w:val="hr-HR"/>
              </w:rPr>
              <w:t>Unaprjeđivanje infrastrukture centara za socijalnu skrb kao podrška procesu deinstitucionalizacije</w:t>
            </w:r>
            <w:r w:rsidRPr="0056088C">
              <w:rPr>
                <w:rFonts w:ascii="Calibri" w:hAnsi="Calibri" w:cs="Calibri"/>
                <w:color w:val="1F497D"/>
                <w:sz w:val="22"/>
                <w:szCs w:val="22"/>
                <w:lang w:val="hr-HR"/>
              </w:rPr>
              <w:t xml:space="preserve"> </w:t>
            </w:r>
            <w:r w:rsidRPr="0056088C">
              <w:rPr>
                <w:sz w:val="22"/>
                <w:szCs w:val="22"/>
                <w:lang w:val="hr-HR"/>
              </w:rPr>
              <w:t xml:space="preserve">određeni </w:t>
            </w:r>
            <w:r w:rsidRPr="0056088C">
              <w:rPr>
                <w:i/>
                <w:iCs/>
                <w:sz w:val="22"/>
                <w:szCs w:val="22"/>
                <w:lang w:val="hr-HR"/>
              </w:rPr>
              <w:t xml:space="preserve">Operativnim planom deinstitucionalizacije i transformacije domova socijalne skrbi i drugih pravnih osoba koje obavljaju djelatnost socijalne skrbi u Republici Hrvatskoj 2014. - 2016. </w:t>
            </w:r>
            <w:r w:rsidRPr="0056088C">
              <w:rPr>
                <w:sz w:val="22"/>
                <w:szCs w:val="22"/>
                <w:lang w:val="hr-HR"/>
              </w:rPr>
              <w:t>kao centri za socijalnu skrb koji u provedbi deinstitucionalizacije prate prioritetne institucije navedene u Operativnom planu.</w:t>
            </w:r>
          </w:p>
          <w:p w:rsidR="0056088C" w:rsidRPr="0056088C" w:rsidRDefault="0056088C" w:rsidP="0056088C">
            <w:pPr>
              <w:jc w:val="both"/>
              <w:rPr>
                <w:sz w:val="22"/>
                <w:szCs w:val="22"/>
                <w:lang w:val="hr-HR"/>
              </w:rPr>
            </w:pPr>
          </w:p>
          <w:p w:rsidR="0056088C" w:rsidRPr="005652DE" w:rsidRDefault="0056088C" w:rsidP="0056088C">
            <w:pPr>
              <w:jc w:val="both"/>
              <w:rPr>
                <w:sz w:val="22"/>
                <w:szCs w:val="22"/>
                <w:lang w:val="it-IT"/>
              </w:rPr>
            </w:pPr>
            <w:r w:rsidRPr="0056088C">
              <w:rPr>
                <w:sz w:val="22"/>
                <w:szCs w:val="22"/>
                <w:lang w:val="hr-HR"/>
              </w:rPr>
              <w:t xml:space="preserve">U planu je i objava druge faze poziva na dostavu projektnih prijedloga koja će uzeti u obzir novi </w:t>
            </w:r>
            <w:r w:rsidRPr="0056088C">
              <w:rPr>
                <w:i/>
                <w:iCs/>
                <w:sz w:val="22"/>
                <w:szCs w:val="22"/>
                <w:lang w:val="hr-HR"/>
              </w:rPr>
              <w:t>Operativni plan</w:t>
            </w:r>
            <w:r w:rsidRPr="0056088C">
              <w:rPr>
                <w:sz w:val="22"/>
                <w:szCs w:val="22"/>
                <w:lang w:val="hr-HR"/>
              </w:rPr>
              <w:t xml:space="preserve"> za sljedeći period, a pokrit će financijsko razdoblje do 2020. godine kako bi se podržale novo definirane aktivnosti u daljnjem procesu deinstitucionalizacije. Ukoliko će novi </w:t>
            </w:r>
            <w:r w:rsidRPr="0056088C">
              <w:rPr>
                <w:i/>
                <w:iCs/>
                <w:sz w:val="22"/>
                <w:szCs w:val="22"/>
                <w:lang w:val="hr-HR"/>
              </w:rPr>
              <w:t xml:space="preserve">Operativni plan </w:t>
            </w:r>
            <w:r w:rsidRPr="0056088C">
              <w:rPr>
                <w:sz w:val="22"/>
                <w:szCs w:val="22"/>
                <w:lang w:val="hr-HR"/>
              </w:rPr>
              <w:t xml:space="preserve">uključiti nova područja u proces deinstitucionalizacije, naredne faze poziva obuhvatiti će i ta novo definirana područja. Izrada novog </w:t>
            </w:r>
            <w:r w:rsidRPr="0056088C">
              <w:rPr>
                <w:i/>
                <w:iCs/>
                <w:sz w:val="22"/>
                <w:szCs w:val="22"/>
                <w:lang w:val="hr-HR"/>
              </w:rPr>
              <w:t xml:space="preserve">Operativnog plana </w:t>
            </w:r>
            <w:r w:rsidRPr="0056088C">
              <w:rPr>
                <w:sz w:val="22"/>
                <w:szCs w:val="22"/>
                <w:lang w:val="hr-HR"/>
              </w:rPr>
              <w:t>u nadležnosti je</w:t>
            </w:r>
            <w:r w:rsidRPr="0056088C">
              <w:rPr>
                <w:i/>
                <w:iCs/>
                <w:sz w:val="22"/>
                <w:szCs w:val="22"/>
                <w:lang w:val="hr-HR"/>
              </w:rPr>
              <w:t xml:space="preserve"> </w:t>
            </w:r>
            <w:r w:rsidRPr="0056088C">
              <w:rPr>
                <w:sz w:val="22"/>
                <w:szCs w:val="22"/>
                <w:lang w:val="hr-HR"/>
              </w:rPr>
              <w:t>Ministarstva demografije, obitelji, mladih i socijalne politike.</w:t>
            </w:r>
          </w:p>
        </w:tc>
      </w:tr>
      <w:tr w:rsidR="00B40671" w:rsidRPr="00EC7F45" w:rsidTr="00945657">
        <w:trPr>
          <w:trHeight w:val="433"/>
        </w:trPr>
        <w:tc>
          <w:tcPr>
            <w:tcW w:w="992" w:type="dxa"/>
            <w:shd w:val="clear" w:color="auto" w:fill="538135" w:themeFill="accent6" w:themeFillShade="BF"/>
          </w:tcPr>
          <w:p w:rsidR="00B40671" w:rsidRPr="00EC7F45" w:rsidRDefault="00B40671" w:rsidP="009C0B40">
            <w:pPr>
              <w:jc w:val="center"/>
              <w:rPr>
                <w:b/>
                <w:sz w:val="22"/>
                <w:szCs w:val="22"/>
                <w:lang w:val="hr-HR"/>
              </w:rPr>
            </w:pPr>
            <w:r w:rsidRPr="00EC7F45">
              <w:rPr>
                <w:b/>
                <w:color w:val="FFFFFF" w:themeColor="background1"/>
                <w:sz w:val="22"/>
                <w:szCs w:val="22"/>
                <w:lang w:val="hr-HR"/>
              </w:rPr>
              <w:lastRenderedPageBreak/>
              <w:t>RB</w:t>
            </w:r>
          </w:p>
        </w:tc>
        <w:tc>
          <w:tcPr>
            <w:tcW w:w="6095" w:type="dxa"/>
            <w:shd w:val="clear" w:color="auto" w:fill="538135" w:themeFill="accent6" w:themeFillShade="BF"/>
          </w:tcPr>
          <w:p w:rsidR="00B40671" w:rsidRPr="00EC7F45" w:rsidRDefault="00B40671" w:rsidP="00B40671">
            <w:pPr>
              <w:rPr>
                <w:b/>
                <w:sz w:val="22"/>
                <w:szCs w:val="22"/>
                <w:lang w:val="hr-HR"/>
              </w:rPr>
            </w:pPr>
            <w:r w:rsidRPr="00EC7F45">
              <w:rPr>
                <w:b/>
                <w:color w:val="FFFFFF" w:themeColor="background1"/>
                <w:sz w:val="22"/>
                <w:szCs w:val="22"/>
                <w:lang w:val="hr-HR"/>
              </w:rPr>
              <w:t xml:space="preserve">DATUM ZAPRIMANJA PITANJA: </w:t>
            </w:r>
            <w:r>
              <w:rPr>
                <w:b/>
                <w:sz w:val="22"/>
                <w:szCs w:val="22"/>
                <w:lang w:val="hr-HR"/>
              </w:rPr>
              <w:t>26. lipnja 2017.</w:t>
            </w:r>
          </w:p>
        </w:tc>
        <w:tc>
          <w:tcPr>
            <w:tcW w:w="6946" w:type="dxa"/>
            <w:shd w:val="clear" w:color="auto" w:fill="538135" w:themeFill="accent6" w:themeFillShade="BF"/>
          </w:tcPr>
          <w:p w:rsidR="00B40671" w:rsidRPr="0056088C" w:rsidRDefault="00B40671" w:rsidP="00B40671">
            <w:pPr>
              <w:rPr>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3. srpnja 2017.</w:t>
            </w:r>
          </w:p>
        </w:tc>
      </w:tr>
      <w:tr w:rsidR="00B40671" w:rsidRPr="00EC7F45" w:rsidTr="00945657">
        <w:trPr>
          <w:trHeight w:val="272"/>
        </w:trPr>
        <w:tc>
          <w:tcPr>
            <w:tcW w:w="992" w:type="dxa"/>
            <w:vAlign w:val="center"/>
          </w:tcPr>
          <w:p w:rsidR="00B40671" w:rsidRPr="005652DE" w:rsidRDefault="00B40671" w:rsidP="00B40671">
            <w:pPr>
              <w:pStyle w:val="ListParagraph"/>
              <w:numPr>
                <w:ilvl w:val="0"/>
                <w:numId w:val="4"/>
              </w:numPr>
              <w:ind w:hanging="549"/>
              <w:jc w:val="right"/>
              <w:rPr>
                <w:b/>
                <w:lang w:val="it-IT"/>
              </w:rPr>
            </w:pPr>
          </w:p>
        </w:tc>
        <w:tc>
          <w:tcPr>
            <w:tcW w:w="6095" w:type="dxa"/>
          </w:tcPr>
          <w:p w:rsidR="00B40671" w:rsidRPr="00AB24AC" w:rsidRDefault="00B40671" w:rsidP="00B40671">
            <w:pPr>
              <w:jc w:val="both"/>
              <w:rPr>
                <w:sz w:val="24"/>
                <w:szCs w:val="24"/>
                <w:lang w:val="hr-HR"/>
              </w:rPr>
            </w:pPr>
            <w:r w:rsidRPr="00AB24AC">
              <w:rPr>
                <w:sz w:val="24"/>
                <w:szCs w:val="24"/>
                <w:lang w:val="hr-HR"/>
              </w:rPr>
              <w:t xml:space="preserve">1. Prema odgovoru na pitanje vezano uz neizravne troškove postavljenom 8. veljače 2017. godine, neizravni troškovi se izračunavaju primjenom fiksne stope od 15% prihvatljivih izravnih troškova osoblja, odnosno 15% od svih ukupnih troškova u obrascu A za projektni element upravljanje projektom i administracija. Prema tome, neizravne troškove izračunavamo kao 15% od troškova osoblja i troškova vanjske usluge u upravljanju projektom. </w:t>
            </w:r>
          </w:p>
          <w:p w:rsidR="00B40671" w:rsidRDefault="00B40671" w:rsidP="00B40671">
            <w:pPr>
              <w:jc w:val="both"/>
              <w:rPr>
                <w:sz w:val="24"/>
                <w:szCs w:val="24"/>
                <w:lang w:val="hr-HR"/>
              </w:rPr>
            </w:pPr>
            <w:r w:rsidRPr="00AB24AC">
              <w:rPr>
                <w:sz w:val="24"/>
                <w:szCs w:val="24"/>
                <w:lang w:val="hr-HR"/>
              </w:rPr>
              <w:t>Međutim, u Obavijesti o rezultatima projekta za Centar za socijalnu skrb Zabok tumačeno je drugačije, odnosno na način da se neizravni troškovi izračunavaju postotkom samo od troškova osoblja. Za potrebe pripreme daljnjih projekata ponovno postavljam pitanje na koji način se izračunava postotak neizravnih troškova – da li od svih troškova u elementu upravljanje projektom i administracija ili samo od troškova osoblja (bez troška vanjske usluge upravljanja projektom) u tom istom elementu?</w:t>
            </w:r>
          </w:p>
          <w:p w:rsidR="00B40671" w:rsidRPr="00AB24AC" w:rsidRDefault="00B40671" w:rsidP="00B40671">
            <w:pPr>
              <w:jc w:val="both"/>
              <w:rPr>
                <w:sz w:val="24"/>
                <w:szCs w:val="24"/>
                <w:lang w:val="hr-HR"/>
              </w:rPr>
            </w:pPr>
          </w:p>
          <w:p w:rsidR="00B40671" w:rsidRPr="005652DE" w:rsidRDefault="00B40671" w:rsidP="00B40671">
            <w:pPr>
              <w:jc w:val="both"/>
              <w:rPr>
                <w:lang w:val="hr-HR"/>
              </w:rPr>
            </w:pPr>
            <w:r>
              <w:rPr>
                <w:sz w:val="24"/>
                <w:szCs w:val="24"/>
                <w:lang w:val="hr-HR"/>
              </w:rPr>
              <w:t xml:space="preserve">2. </w:t>
            </w:r>
            <w:r w:rsidRPr="00AB24AC">
              <w:rPr>
                <w:sz w:val="24"/>
                <w:szCs w:val="24"/>
                <w:lang w:val="hr-HR"/>
              </w:rPr>
              <w:t>Da li je prihvatljiv trošak registracije i osiguranja vozila koje se planira nabaviti u okviru projekta?</w:t>
            </w:r>
          </w:p>
        </w:tc>
        <w:tc>
          <w:tcPr>
            <w:tcW w:w="6946" w:type="dxa"/>
          </w:tcPr>
          <w:p w:rsidR="00B40671" w:rsidRPr="00AB24AC" w:rsidRDefault="00B40671" w:rsidP="00B40671">
            <w:pPr>
              <w:jc w:val="both"/>
              <w:rPr>
                <w:iCs/>
                <w:sz w:val="24"/>
                <w:szCs w:val="24"/>
                <w:lang w:val="hr-HR"/>
              </w:rPr>
            </w:pPr>
            <w:r w:rsidRPr="00AB24AC">
              <w:rPr>
                <w:iCs/>
                <w:sz w:val="24"/>
                <w:szCs w:val="24"/>
                <w:lang w:val="hr-HR"/>
              </w:rPr>
              <w:t>1. Kao što je navedeno u točki 2.9.3. Uputa za prijavitelje, neizravni troškovi nastaju izravno kao posljedica provedbe projekta kod prijavitelja, a izračunavaju se primjenom fiksne stope od 15% prihvatljivih izravnih troškova osoblja (kategorija troškova: „Rashodi za zaposlene“ u Prijavnom obrascu A). Izravni troškovi osoblja su troškovi za plaće osoblja za upravljanje projektom, dok se troškovi upravljanja projektom (savjetodavne usluge vanjskih stručnjaka za upravljanje projektom, izrada tehničkih specifikacija i sl.) ne smatraju izravnim troškovima osoblja. Slijedom navedenoga, prihvatljivi neizravni troškovi računaju se samo na izravan trošak navedenog osoblja.</w:t>
            </w:r>
          </w:p>
          <w:p w:rsidR="00B40671" w:rsidRPr="00AB24AC" w:rsidRDefault="00B40671" w:rsidP="00B40671">
            <w:pPr>
              <w:jc w:val="both"/>
              <w:rPr>
                <w:iCs/>
                <w:sz w:val="24"/>
                <w:szCs w:val="24"/>
                <w:lang w:val="hr-HR"/>
              </w:rPr>
            </w:pPr>
          </w:p>
          <w:p w:rsidR="00B40671" w:rsidRPr="005652DE" w:rsidRDefault="00B40671" w:rsidP="00B40671">
            <w:pPr>
              <w:jc w:val="both"/>
              <w:rPr>
                <w:i/>
                <w:iCs/>
                <w:lang w:val="hr-HR"/>
              </w:rPr>
            </w:pPr>
            <w:r w:rsidRPr="00AB24AC">
              <w:rPr>
                <w:iCs/>
                <w:sz w:val="24"/>
                <w:szCs w:val="24"/>
                <w:lang w:val="hr-HR"/>
              </w:rPr>
              <w:t xml:space="preserve">2. </w:t>
            </w:r>
            <w:r>
              <w:rPr>
                <w:iCs/>
                <w:sz w:val="24"/>
                <w:szCs w:val="24"/>
                <w:lang w:val="hr-HR"/>
              </w:rPr>
              <w:t xml:space="preserve">Sukladno </w:t>
            </w:r>
            <w:r w:rsidRPr="00AB24AC">
              <w:rPr>
                <w:iCs/>
                <w:sz w:val="24"/>
                <w:szCs w:val="24"/>
                <w:lang w:val="hr-HR"/>
              </w:rPr>
              <w:t>točki 2.7. Uputa za prijavitelje, prihvatljiva aktivnost koja se može financirati u okviru ovog Poziva jest nabava vozila neophodnih za pružanje izvaninstitucionalnih socijalnih usluga (neophodnih ako korisnici usluga nisu u mogućnosti neovisno ili uz pomoć drugih osoba koristiti javni prijevoz ili za potrebe mobilnih timova). Dakle, trošak registracije i osiguranja vozila koje se planira nabaviti u okviru projekta nije prihvatljiv trošak.</w:t>
            </w:r>
          </w:p>
        </w:tc>
      </w:tr>
      <w:tr w:rsidR="00575A2D" w:rsidRPr="00EC7F45" w:rsidTr="00945657">
        <w:trPr>
          <w:trHeight w:val="433"/>
        </w:trPr>
        <w:tc>
          <w:tcPr>
            <w:tcW w:w="992" w:type="dxa"/>
            <w:shd w:val="clear" w:color="auto" w:fill="538135" w:themeFill="accent6" w:themeFillShade="BF"/>
          </w:tcPr>
          <w:p w:rsidR="00575A2D" w:rsidRPr="00EC7F45" w:rsidRDefault="00575A2D" w:rsidP="007A43FF">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575A2D" w:rsidRPr="00EC7F45" w:rsidRDefault="00575A2D" w:rsidP="00575A2D">
            <w:pPr>
              <w:rPr>
                <w:b/>
                <w:sz w:val="22"/>
                <w:szCs w:val="22"/>
                <w:lang w:val="hr-HR"/>
              </w:rPr>
            </w:pPr>
            <w:r w:rsidRPr="00EC7F45">
              <w:rPr>
                <w:b/>
                <w:color w:val="FFFFFF" w:themeColor="background1"/>
                <w:sz w:val="22"/>
                <w:szCs w:val="22"/>
                <w:lang w:val="hr-HR"/>
              </w:rPr>
              <w:t xml:space="preserve">DATUM ZAPRIMANJA PITANJA: </w:t>
            </w:r>
            <w:r>
              <w:rPr>
                <w:b/>
                <w:sz w:val="22"/>
                <w:szCs w:val="22"/>
                <w:lang w:val="hr-HR"/>
              </w:rPr>
              <w:t>20. srpnja 2017.</w:t>
            </w:r>
          </w:p>
        </w:tc>
        <w:tc>
          <w:tcPr>
            <w:tcW w:w="6946" w:type="dxa"/>
            <w:shd w:val="clear" w:color="auto" w:fill="538135" w:themeFill="accent6" w:themeFillShade="BF"/>
          </w:tcPr>
          <w:p w:rsidR="00575A2D" w:rsidRPr="0056088C" w:rsidRDefault="00575A2D" w:rsidP="00575A2D">
            <w:pPr>
              <w:rPr>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21. srpnja 2017.</w:t>
            </w:r>
          </w:p>
        </w:tc>
      </w:tr>
      <w:tr w:rsidR="00575A2D" w:rsidRPr="00EC7F45" w:rsidTr="00945657">
        <w:trPr>
          <w:trHeight w:val="272"/>
        </w:trPr>
        <w:tc>
          <w:tcPr>
            <w:tcW w:w="992" w:type="dxa"/>
            <w:vAlign w:val="center"/>
          </w:tcPr>
          <w:p w:rsidR="00575A2D" w:rsidRPr="005652DE" w:rsidRDefault="00575A2D" w:rsidP="00B40671">
            <w:pPr>
              <w:pStyle w:val="ListParagraph"/>
              <w:numPr>
                <w:ilvl w:val="0"/>
                <w:numId w:val="4"/>
              </w:numPr>
              <w:ind w:hanging="549"/>
              <w:jc w:val="right"/>
              <w:rPr>
                <w:b/>
                <w:lang w:val="it-IT"/>
              </w:rPr>
            </w:pPr>
          </w:p>
        </w:tc>
        <w:tc>
          <w:tcPr>
            <w:tcW w:w="6095" w:type="dxa"/>
          </w:tcPr>
          <w:p w:rsidR="003B4F37" w:rsidRPr="003B4F37" w:rsidRDefault="003B4F37" w:rsidP="003B4F37">
            <w:pPr>
              <w:jc w:val="both"/>
              <w:rPr>
                <w:sz w:val="24"/>
                <w:szCs w:val="24"/>
                <w:lang w:val="hr-HR"/>
              </w:rPr>
            </w:pPr>
            <w:r w:rsidRPr="003B4F37">
              <w:rPr>
                <w:sz w:val="24"/>
                <w:szCs w:val="24"/>
                <w:lang w:val="hr-HR"/>
              </w:rPr>
              <w:t>Vezano za ugovaranje vanjskih usluga:</w:t>
            </w:r>
          </w:p>
          <w:p w:rsidR="003B4F37" w:rsidRPr="003B4F37" w:rsidRDefault="003B4F37" w:rsidP="003B4F37">
            <w:pPr>
              <w:jc w:val="both"/>
              <w:rPr>
                <w:sz w:val="24"/>
                <w:szCs w:val="24"/>
                <w:lang w:val="hr-HR"/>
              </w:rPr>
            </w:pPr>
            <w:r w:rsidRPr="003B4F37">
              <w:rPr>
                <w:sz w:val="24"/>
                <w:szCs w:val="24"/>
                <w:lang w:val="hr-HR"/>
              </w:rPr>
              <w:t>1. priprema projektne i tehničke dokumentacije</w:t>
            </w:r>
          </w:p>
          <w:p w:rsidR="003B4F37" w:rsidRPr="003B4F37" w:rsidRDefault="003B4F37" w:rsidP="003B4F37">
            <w:pPr>
              <w:jc w:val="both"/>
              <w:rPr>
                <w:sz w:val="24"/>
                <w:szCs w:val="24"/>
                <w:lang w:val="hr-HR"/>
              </w:rPr>
            </w:pPr>
            <w:r w:rsidRPr="003B4F37">
              <w:rPr>
                <w:sz w:val="24"/>
                <w:szCs w:val="24"/>
                <w:lang w:val="hr-HR"/>
              </w:rPr>
              <w:t>2. priprema i provedbe javne nabave,</w:t>
            </w:r>
          </w:p>
          <w:p w:rsidR="00575A2D" w:rsidRPr="005652DE" w:rsidRDefault="003B4F37" w:rsidP="003B4F37">
            <w:pPr>
              <w:jc w:val="both"/>
              <w:rPr>
                <w:sz w:val="24"/>
                <w:szCs w:val="24"/>
                <w:lang w:val="hr-HR"/>
              </w:rPr>
            </w:pPr>
            <w:r w:rsidRPr="003B4F37">
              <w:rPr>
                <w:sz w:val="24"/>
                <w:szCs w:val="24"/>
                <w:lang w:val="hr-HR"/>
              </w:rPr>
              <w:t>od kada se računa početak aktivnosti i jesu li gore naznačene vanjske usluge prihvatljiv trošak?</w:t>
            </w:r>
          </w:p>
        </w:tc>
        <w:tc>
          <w:tcPr>
            <w:tcW w:w="6946" w:type="dxa"/>
          </w:tcPr>
          <w:p w:rsidR="00712187" w:rsidRPr="00712187" w:rsidRDefault="00712187" w:rsidP="00712187">
            <w:pPr>
              <w:jc w:val="both"/>
              <w:rPr>
                <w:iCs/>
                <w:sz w:val="24"/>
                <w:szCs w:val="24"/>
                <w:lang w:val="hr-HR"/>
              </w:rPr>
            </w:pPr>
            <w:r w:rsidRPr="00712187">
              <w:rPr>
                <w:iCs/>
                <w:sz w:val="24"/>
                <w:szCs w:val="24"/>
                <w:lang w:val="hr-HR"/>
              </w:rPr>
              <w:t>Sukladno točki</w:t>
            </w:r>
            <w:r w:rsidRPr="00712187">
              <w:rPr>
                <w:lang w:val="hr-HR"/>
              </w:rPr>
              <w:t xml:space="preserve"> </w:t>
            </w:r>
            <w:r w:rsidRPr="00712187">
              <w:rPr>
                <w:i/>
                <w:iCs/>
                <w:sz w:val="24"/>
                <w:szCs w:val="24"/>
                <w:lang w:val="hr-HR"/>
              </w:rPr>
              <w:t>6.1 Razdoblje provedbe projekata</w:t>
            </w:r>
            <w:r w:rsidRPr="00712187">
              <w:rPr>
                <w:iCs/>
                <w:sz w:val="24"/>
                <w:szCs w:val="24"/>
                <w:lang w:val="hr-HR"/>
              </w:rPr>
              <w:t xml:space="preserve"> Uputa za prijavitelje, razdoblje provedbe projekta je razdoblje od početka obavljanja aktivnosti projekta, a najranije počevši od 1. siječnja 2014. godine do završetka obavljanja predmetnih aktivnosti, do najviše 36 mjeseci od dana sklapanja ugovora o dodjeli bespovratnih sredstava a najkasnije do 31. prosinca 2023. godine, ovisno koje razdoblje je kraće.</w:t>
            </w:r>
          </w:p>
          <w:p w:rsidR="00712187" w:rsidRPr="00712187" w:rsidRDefault="00712187" w:rsidP="00712187">
            <w:pPr>
              <w:jc w:val="both"/>
              <w:rPr>
                <w:iCs/>
                <w:sz w:val="24"/>
                <w:szCs w:val="24"/>
                <w:lang w:val="hr-HR"/>
              </w:rPr>
            </w:pPr>
            <w:r w:rsidRPr="00712187">
              <w:rPr>
                <w:iCs/>
                <w:sz w:val="24"/>
                <w:szCs w:val="24"/>
                <w:lang w:val="hr-HR"/>
              </w:rPr>
              <w:t xml:space="preserve">Početak provedbe projekta odnosi se na početak obavljanja aktivnosti projekta, odnosno označava prvu preuzetu obvezu kojom se naručuju dobra ili usluge ili druga obveza na temelju koje je ulaganje nepovratno, ovisno o tome što je od navedenog nastupilo prije, a </w:t>
            </w:r>
            <w:r w:rsidRPr="00712187">
              <w:rPr>
                <w:iCs/>
                <w:sz w:val="24"/>
                <w:szCs w:val="24"/>
                <w:lang w:val="hr-HR"/>
              </w:rPr>
              <w:lastRenderedPageBreak/>
              <w:t>najranije počevši od 1. siječnja 2014. i najviše 36 mjeseci od potpisa ugovora.</w:t>
            </w:r>
          </w:p>
          <w:p w:rsidR="00575A2D" w:rsidRPr="005652DE" w:rsidRDefault="00712187" w:rsidP="00712187">
            <w:pPr>
              <w:jc w:val="both"/>
              <w:rPr>
                <w:iCs/>
                <w:sz w:val="24"/>
                <w:szCs w:val="24"/>
                <w:lang w:val="hr-HR"/>
              </w:rPr>
            </w:pPr>
            <w:r w:rsidRPr="00712187">
              <w:rPr>
                <w:iCs/>
                <w:sz w:val="24"/>
                <w:szCs w:val="24"/>
                <w:lang w:val="hr-HR"/>
              </w:rPr>
              <w:t xml:space="preserve">Kako bi bili prihvatljivi, troškovi moraju biti povezani s prihvatljivim aktivnostima navedenim u Uputama za prijavitelje. Sukladno točki </w:t>
            </w:r>
            <w:r w:rsidRPr="00712187">
              <w:rPr>
                <w:i/>
                <w:iCs/>
                <w:sz w:val="24"/>
                <w:szCs w:val="24"/>
                <w:lang w:val="hr-HR"/>
              </w:rPr>
              <w:t>2.7. Uputa za prijavitelje</w:t>
            </w:r>
            <w:r w:rsidRPr="00712187">
              <w:rPr>
                <w:iCs/>
                <w:sz w:val="24"/>
                <w:szCs w:val="24"/>
                <w:lang w:val="hr-HR"/>
              </w:rPr>
              <w:t>, prihvatljive aktivnosti koje se mogu financirati u okviru ovog Poziva su i priprema projektne i tehničke dokumentacije (npr. građevinski / arhitektonski projekti, revizija građevinskih projekata i ostale dokumentacije potrebne za građevinske radove, projektne prijave) te priprema i provedba javne nabave.</w:t>
            </w:r>
          </w:p>
        </w:tc>
      </w:tr>
      <w:tr w:rsidR="008B0CCB" w:rsidRPr="00EC7F45" w:rsidTr="00945657">
        <w:trPr>
          <w:trHeight w:val="433"/>
        </w:trPr>
        <w:tc>
          <w:tcPr>
            <w:tcW w:w="992" w:type="dxa"/>
            <w:shd w:val="clear" w:color="auto" w:fill="538135" w:themeFill="accent6" w:themeFillShade="BF"/>
          </w:tcPr>
          <w:p w:rsidR="008B0CCB" w:rsidRPr="00EC7F45" w:rsidRDefault="008B0CCB" w:rsidP="003D143C">
            <w:pPr>
              <w:jc w:val="center"/>
              <w:rPr>
                <w:b/>
                <w:sz w:val="22"/>
                <w:szCs w:val="22"/>
                <w:lang w:val="hr-HR"/>
              </w:rPr>
            </w:pPr>
            <w:bookmarkStart w:id="6" w:name="_Hlk505673155"/>
            <w:r w:rsidRPr="00EC7F45">
              <w:rPr>
                <w:b/>
                <w:color w:val="FFFFFF" w:themeColor="background1"/>
                <w:sz w:val="22"/>
                <w:szCs w:val="22"/>
                <w:lang w:val="hr-HR"/>
              </w:rPr>
              <w:lastRenderedPageBreak/>
              <w:t>RB</w:t>
            </w:r>
          </w:p>
        </w:tc>
        <w:tc>
          <w:tcPr>
            <w:tcW w:w="6095" w:type="dxa"/>
            <w:shd w:val="clear" w:color="auto" w:fill="538135" w:themeFill="accent6" w:themeFillShade="BF"/>
          </w:tcPr>
          <w:p w:rsidR="008B0CCB" w:rsidRPr="00EC7F45" w:rsidRDefault="008B0CCB" w:rsidP="003D143C">
            <w:pPr>
              <w:rPr>
                <w:b/>
                <w:sz w:val="22"/>
                <w:szCs w:val="22"/>
                <w:lang w:val="hr-HR"/>
              </w:rPr>
            </w:pPr>
            <w:r w:rsidRPr="00EC7F45">
              <w:rPr>
                <w:b/>
                <w:color w:val="FFFFFF" w:themeColor="background1"/>
                <w:sz w:val="22"/>
                <w:szCs w:val="22"/>
                <w:lang w:val="hr-HR"/>
              </w:rPr>
              <w:t xml:space="preserve">DATUM ZAPRIMANJA PITANJA: </w:t>
            </w:r>
            <w:r>
              <w:rPr>
                <w:b/>
                <w:sz w:val="22"/>
                <w:szCs w:val="22"/>
                <w:lang w:val="hr-HR"/>
              </w:rPr>
              <w:t>1. prosinca 2017.</w:t>
            </w:r>
          </w:p>
        </w:tc>
        <w:tc>
          <w:tcPr>
            <w:tcW w:w="6946" w:type="dxa"/>
            <w:shd w:val="clear" w:color="auto" w:fill="538135" w:themeFill="accent6" w:themeFillShade="BF"/>
          </w:tcPr>
          <w:p w:rsidR="008B0CCB" w:rsidRPr="0056088C" w:rsidRDefault="008B0CCB" w:rsidP="003D143C">
            <w:pPr>
              <w:rPr>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Pr>
                <w:b/>
                <w:sz w:val="22"/>
                <w:szCs w:val="22"/>
                <w:lang w:val="hr-HR"/>
              </w:rPr>
              <w:t>8. prosinca 2017.</w:t>
            </w:r>
          </w:p>
        </w:tc>
      </w:tr>
      <w:bookmarkEnd w:id="6"/>
      <w:tr w:rsidR="008B0CCB" w:rsidRPr="00EC7F45" w:rsidTr="00945657">
        <w:trPr>
          <w:trHeight w:val="272"/>
        </w:trPr>
        <w:tc>
          <w:tcPr>
            <w:tcW w:w="992" w:type="dxa"/>
            <w:vAlign w:val="center"/>
          </w:tcPr>
          <w:p w:rsidR="008B0CCB" w:rsidRPr="005652DE" w:rsidRDefault="008B0CCB" w:rsidP="008B0CCB">
            <w:pPr>
              <w:pStyle w:val="ListParagraph"/>
              <w:numPr>
                <w:ilvl w:val="0"/>
                <w:numId w:val="4"/>
              </w:numPr>
              <w:ind w:hanging="549"/>
              <w:jc w:val="right"/>
              <w:rPr>
                <w:b/>
                <w:lang w:val="it-IT"/>
              </w:rPr>
            </w:pPr>
          </w:p>
        </w:tc>
        <w:tc>
          <w:tcPr>
            <w:tcW w:w="6095" w:type="dxa"/>
          </w:tcPr>
          <w:p w:rsidR="008B0CCB" w:rsidRPr="008B0CCB" w:rsidRDefault="008B0CCB" w:rsidP="008B0CCB">
            <w:pPr>
              <w:jc w:val="both"/>
              <w:rPr>
                <w:sz w:val="24"/>
                <w:szCs w:val="24"/>
                <w:lang w:val="hr-HR"/>
              </w:rPr>
            </w:pPr>
            <w:r w:rsidRPr="008B0CCB">
              <w:rPr>
                <w:sz w:val="24"/>
                <w:szCs w:val="24"/>
                <w:lang w:val="hr-HR"/>
              </w:rPr>
              <w:t>Budući da se savjetodavna podrška za pripremu i provedbu projekata koju Korisnik pruža u okviru aktivnosti može pružati isključivo javnopravnim tijelima odnosno tijelima jedinica lokalne i područne (regionalne) samouprave i pravnim osobama s javnim ovlastima od interesa za društveni i gospodarski razvoj županije, molimo odgovor jesu li Centri za socijalnu skrb prihvatljivi regionalnim koordinatorima kao stavka utroška sati prilikom savjetovanja u ZNS-u?</w:t>
            </w:r>
          </w:p>
        </w:tc>
        <w:tc>
          <w:tcPr>
            <w:tcW w:w="6946" w:type="dxa"/>
          </w:tcPr>
          <w:p w:rsidR="008B0CCB" w:rsidRPr="008B0CCB" w:rsidRDefault="008B0CCB" w:rsidP="008B0CCB">
            <w:pPr>
              <w:jc w:val="both"/>
              <w:rPr>
                <w:iCs/>
                <w:sz w:val="24"/>
                <w:szCs w:val="24"/>
                <w:lang w:val="hr-HR"/>
              </w:rPr>
            </w:pPr>
            <w:r w:rsidRPr="008B0CCB">
              <w:rPr>
                <w:sz w:val="24"/>
                <w:szCs w:val="24"/>
                <w:lang w:val="hr-HR"/>
              </w:rPr>
              <w:t xml:space="preserve">Vezano uz domove za osobe s invaliditetom, domove za djecu i mlade te centre za socijalnu skrb koji su javne ustanove osnovane od strane Republike Hrvatske, isti mogu biti prihvatljivi za savjetodavnu podršku u okviru Poziva KK.10.1.3.01, iako im osnivač nisu jedinice lokalne/područne samouprave te u skladu s time PT 2 odobrava troškove u okviru ZNS-ova regionalnih koordinatora.  </w:t>
            </w:r>
          </w:p>
        </w:tc>
      </w:tr>
      <w:tr w:rsidR="00945657" w:rsidRPr="0056088C" w:rsidTr="002B77E9">
        <w:trPr>
          <w:trHeight w:val="433"/>
        </w:trPr>
        <w:tc>
          <w:tcPr>
            <w:tcW w:w="992" w:type="dxa"/>
            <w:shd w:val="clear" w:color="auto" w:fill="538135" w:themeFill="accent6" w:themeFillShade="BF"/>
          </w:tcPr>
          <w:p w:rsidR="00945657" w:rsidRPr="00EC7F45" w:rsidRDefault="00945657" w:rsidP="002B77E9">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rsidR="00945657" w:rsidRPr="00EC7F45" w:rsidRDefault="00945657" w:rsidP="002B77E9">
            <w:pPr>
              <w:rPr>
                <w:b/>
                <w:sz w:val="22"/>
                <w:szCs w:val="22"/>
                <w:lang w:val="hr-HR"/>
              </w:rPr>
            </w:pPr>
            <w:r w:rsidRPr="00EC7F45">
              <w:rPr>
                <w:b/>
                <w:color w:val="FFFFFF" w:themeColor="background1"/>
                <w:sz w:val="22"/>
                <w:szCs w:val="22"/>
                <w:lang w:val="hr-HR"/>
              </w:rPr>
              <w:t xml:space="preserve">DATUM ZAPRIMANJA PITANJA: </w:t>
            </w:r>
            <w:r>
              <w:rPr>
                <w:b/>
                <w:sz w:val="22"/>
                <w:szCs w:val="22"/>
                <w:lang w:val="hr-HR"/>
              </w:rPr>
              <w:t xml:space="preserve"> </w:t>
            </w:r>
            <w:r w:rsidR="002908F2" w:rsidRPr="002908F2">
              <w:rPr>
                <w:b/>
                <w:sz w:val="22"/>
                <w:szCs w:val="22"/>
                <w:lang w:val="hr-HR"/>
              </w:rPr>
              <w:t>6. veljače 2018.</w:t>
            </w:r>
          </w:p>
        </w:tc>
        <w:tc>
          <w:tcPr>
            <w:tcW w:w="6946" w:type="dxa"/>
            <w:shd w:val="clear" w:color="auto" w:fill="538135" w:themeFill="accent6" w:themeFillShade="BF"/>
          </w:tcPr>
          <w:p w:rsidR="00945657" w:rsidRPr="0056088C" w:rsidRDefault="00945657" w:rsidP="002B77E9">
            <w:pPr>
              <w:rPr>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002908F2" w:rsidRPr="002908F2">
              <w:rPr>
                <w:b/>
                <w:sz w:val="22"/>
                <w:szCs w:val="22"/>
                <w:lang w:val="hr-HR"/>
              </w:rPr>
              <w:t>6. veljače 2018.</w:t>
            </w:r>
          </w:p>
        </w:tc>
      </w:tr>
      <w:tr w:rsidR="00945657" w:rsidRPr="00EC7F45" w:rsidTr="00945657">
        <w:trPr>
          <w:trHeight w:val="272"/>
        </w:trPr>
        <w:tc>
          <w:tcPr>
            <w:tcW w:w="992" w:type="dxa"/>
            <w:vAlign w:val="center"/>
          </w:tcPr>
          <w:p w:rsidR="00945657" w:rsidRPr="005652DE" w:rsidRDefault="00945657" w:rsidP="008B0CCB">
            <w:pPr>
              <w:pStyle w:val="ListParagraph"/>
              <w:numPr>
                <w:ilvl w:val="0"/>
                <w:numId w:val="4"/>
              </w:numPr>
              <w:ind w:hanging="549"/>
              <w:jc w:val="right"/>
              <w:rPr>
                <w:b/>
                <w:lang w:val="it-IT"/>
              </w:rPr>
            </w:pPr>
          </w:p>
        </w:tc>
        <w:tc>
          <w:tcPr>
            <w:tcW w:w="6095" w:type="dxa"/>
          </w:tcPr>
          <w:p w:rsidR="00945657" w:rsidRPr="00945657" w:rsidRDefault="00945657" w:rsidP="00945657">
            <w:pPr>
              <w:jc w:val="both"/>
              <w:rPr>
                <w:sz w:val="24"/>
                <w:szCs w:val="24"/>
                <w:lang w:val="hr-HR"/>
              </w:rPr>
            </w:pPr>
            <w:r w:rsidRPr="00945657">
              <w:rPr>
                <w:sz w:val="24"/>
                <w:szCs w:val="24"/>
                <w:lang w:val="hr-HR"/>
              </w:rPr>
              <w:t>U tekstu Poziva na dostavu projektnih prijedloga KK.08.1.3.03 pod 3.1 SADRŽAJ I IZGLED PROJEKTNOG PRIJEDLOGA n</w:t>
            </w:r>
            <w:r>
              <w:rPr>
                <w:sz w:val="24"/>
                <w:szCs w:val="24"/>
                <w:lang w:val="hr-HR"/>
              </w:rPr>
              <w:t>avodi se</w:t>
            </w:r>
            <w:r w:rsidRPr="00945657">
              <w:rPr>
                <w:sz w:val="24"/>
                <w:szCs w:val="24"/>
                <w:lang w:val="hr-HR"/>
              </w:rPr>
              <w:t xml:space="preserve"> da je, između ostalog, potrebno dostaviti Obrazac 3, a što je naznačeno kao Izjava prijavitelja o statusu s obzirom na (ne)povrativost poreza na dodanu vrijednost.</w:t>
            </w:r>
          </w:p>
          <w:p w:rsidR="00945657" w:rsidRPr="00945657" w:rsidRDefault="00945657" w:rsidP="00945657">
            <w:pPr>
              <w:jc w:val="both"/>
              <w:rPr>
                <w:rFonts w:eastAsia="Calibri"/>
                <w:color w:val="26282A"/>
                <w:sz w:val="24"/>
                <w:szCs w:val="24"/>
                <w:lang w:val="hr-HR"/>
              </w:rPr>
            </w:pPr>
            <w:r w:rsidRPr="00945657">
              <w:rPr>
                <w:sz w:val="24"/>
                <w:szCs w:val="24"/>
                <w:lang w:val="hr-HR"/>
              </w:rPr>
              <w:t xml:space="preserve">Na </w:t>
            </w:r>
            <w:r>
              <w:rPr>
                <w:sz w:val="24"/>
                <w:szCs w:val="24"/>
                <w:lang w:val="hr-HR"/>
              </w:rPr>
              <w:t>web stranici</w:t>
            </w:r>
            <w:r>
              <w:rPr>
                <w:rFonts w:eastAsia="Calibri"/>
                <w:color w:val="26282A"/>
                <w:sz w:val="24"/>
                <w:szCs w:val="24"/>
                <w:lang w:val="hr-HR"/>
              </w:rPr>
              <w:t xml:space="preserve"> strukturnifondovi.hr</w:t>
            </w:r>
            <w:r w:rsidRPr="00945657">
              <w:rPr>
                <w:rFonts w:eastAsia="Calibri"/>
                <w:color w:val="26282A"/>
                <w:sz w:val="24"/>
                <w:szCs w:val="24"/>
                <w:lang w:val="hr-HR"/>
              </w:rPr>
              <w:t> objavljen je Paket dokumentacije s naznakom „IV izmjena poziva, Datum: 20.12.2017.“ međutim dokument je označen kao Obrazac 5, a prilikom otvaranja dokumenta također se navodi ista oznaka.</w:t>
            </w:r>
          </w:p>
          <w:p w:rsidR="00945657" w:rsidRPr="008B0CCB" w:rsidRDefault="00945657" w:rsidP="00945657">
            <w:pPr>
              <w:jc w:val="both"/>
              <w:rPr>
                <w:sz w:val="24"/>
                <w:szCs w:val="24"/>
              </w:rPr>
            </w:pPr>
            <w:r w:rsidRPr="00945657">
              <w:rPr>
                <w:sz w:val="24"/>
                <w:szCs w:val="24"/>
                <w:lang w:val="hr-HR"/>
              </w:rPr>
              <w:t xml:space="preserve">Molimo za pojašnjenje da li je navedeni obrazac ispravan te da li ga možemo poslati uz projektnu prijavu s navedenom </w:t>
            </w:r>
            <w:r w:rsidRPr="00945657">
              <w:rPr>
                <w:sz w:val="24"/>
                <w:szCs w:val="24"/>
                <w:lang w:val="hr-HR"/>
              </w:rPr>
              <w:lastRenderedPageBreak/>
              <w:t>oznakom 5 obzirom da je istovremeno u Pozivu navedeno da moramo priložiti Obrazac 3.</w:t>
            </w:r>
          </w:p>
        </w:tc>
        <w:tc>
          <w:tcPr>
            <w:tcW w:w="6946" w:type="dxa"/>
          </w:tcPr>
          <w:p w:rsidR="00945657" w:rsidRDefault="00EE4D9A" w:rsidP="008B0CCB">
            <w:pPr>
              <w:jc w:val="both"/>
              <w:rPr>
                <w:sz w:val="24"/>
                <w:szCs w:val="24"/>
              </w:rPr>
            </w:pPr>
            <w:r>
              <w:rPr>
                <w:sz w:val="24"/>
                <w:szCs w:val="24"/>
              </w:rPr>
              <w:lastRenderedPageBreak/>
              <w:t xml:space="preserve">Prijavitelj je dužan uz svoj projektni prijedlog dostaviti potpisanu  </w:t>
            </w:r>
            <w:r>
              <w:rPr>
                <w:i/>
                <w:sz w:val="24"/>
                <w:szCs w:val="24"/>
                <w:lang w:val="hr-HR"/>
              </w:rPr>
              <w:t>Izjavu</w:t>
            </w:r>
            <w:r w:rsidRPr="00EE4D9A">
              <w:rPr>
                <w:i/>
                <w:sz w:val="24"/>
                <w:szCs w:val="24"/>
                <w:lang w:val="hr-HR"/>
              </w:rPr>
              <w:t xml:space="preserve"> prijavitelja o statusu s ob</w:t>
            </w:r>
            <w:bookmarkStart w:id="7" w:name="_GoBack"/>
            <w:bookmarkEnd w:id="7"/>
            <w:r w:rsidRPr="00EE4D9A">
              <w:rPr>
                <w:i/>
                <w:sz w:val="24"/>
                <w:szCs w:val="24"/>
                <w:lang w:val="hr-HR"/>
              </w:rPr>
              <w:t>zirom na (ne)povrativost poreza na dodanu vrijednost</w:t>
            </w:r>
            <w:r>
              <w:rPr>
                <w:sz w:val="24"/>
                <w:szCs w:val="24"/>
              </w:rPr>
              <w:t xml:space="preserve"> koja se nalazi u</w:t>
            </w:r>
            <w:r w:rsidR="00A11D2D">
              <w:rPr>
                <w:sz w:val="24"/>
                <w:szCs w:val="24"/>
              </w:rPr>
              <w:t xml:space="preserve"> objavljenom Paketu dokumentacije “IV izmjena Poziva”</w:t>
            </w:r>
            <w:r>
              <w:rPr>
                <w:sz w:val="24"/>
                <w:szCs w:val="24"/>
              </w:rPr>
              <w:t xml:space="preserve">. </w:t>
            </w:r>
          </w:p>
          <w:p w:rsidR="006071D2" w:rsidRDefault="006071D2" w:rsidP="008B0CCB">
            <w:pPr>
              <w:jc w:val="both"/>
              <w:rPr>
                <w:sz w:val="24"/>
                <w:szCs w:val="24"/>
              </w:rPr>
            </w:pPr>
          </w:p>
          <w:p w:rsidR="006071D2" w:rsidRPr="008B0CCB" w:rsidRDefault="006071D2" w:rsidP="008B0CCB">
            <w:pPr>
              <w:jc w:val="both"/>
              <w:rPr>
                <w:sz w:val="24"/>
                <w:szCs w:val="24"/>
              </w:rPr>
            </w:pPr>
            <w:r>
              <w:rPr>
                <w:sz w:val="24"/>
                <w:szCs w:val="24"/>
              </w:rPr>
              <w:t>Pri tome nije bitan broj obrasca</w:t>
            </w:r>
            <w:r w:rsidR="00F62AD2">
              <w:rPr>
                <w:sz w:val="24"/>
                <w:szCs w:val="24"/>
              </w:rPr>
              <w:t>,</w:t>
            </w:r>
            <w:r>
              <w:rPr>
                <w:sz w:val="24"/>
                <w:szCs w:val="24"/>
              </w:rPr>
              <w:t xml:space="preserve"> već naziv obrasca. </w:t>
            </w:r>
          </w:p>
        </w:tc>
      </w:tr>
    </w:tbl>
    <w:p w:rsidR="00D82761" w:rsidRDefault="00D82761" w:rsidP="00002E6E">
      <w:pPr>
        <w:spacing w:after="0" w:line="240" w:lineRule="auto"/>
        <w:jc w:val="both"/>
        <w:rPr>
          <w:rFonts w:ascii="Times New Roman" w:hAnsi="Times New Roman" w:cs="Times New Roman"/>
          <w:sz w:val="24"/>
          <w:szCs w:val="24"/>
        </w:rPr>
      </w:pPr>
    </w:p>
    <w:p w:rsidR="00AB45DB" w:rsidRDefault="00AB45DB" w:rsidP="00002E6E">
      <w:pPr>
        <w:spacing w:after="0" w:line="240" w:lineRule="auto"/>
        <w:jc w:val="both"/>
        <w:rPr>
          <w:rFonts w:ascii="Times New Roman" w:hAnsi="Times New Roman" w:cs="Times New Roman"/>
          <w:sz w:val="24"/>
          <w:szCs w:val="24"/>
        </w:rPr>
      </w:pPr>
    </w:p>
    <w:p w:rsidR="00AB45DB" w:rsidRDefault="00AB45DB" w:rsidP="00002E6E">
      <w:pPr>
        <w:spacing w:after="0" w:line="240" w:lineRule="auto"/>
        <w:jc w:val="both"/>
        <w:rPr>
          <w:rFonts w:ascii="Times New Roman" w:hAnsi="Times New Roman" w:cs="Times New Roman"/>
          <w:sz w:val="24"/>
          <w:szCs w:val="24"/>
        </w:rPr>
      </w:pPr>
    </w:p>
    <w:p w:rsidR="00AB45DB" w:rsidRPr="00EC7F45" w:rsidRDefault="00AB45DB" w:rsidP="00002E6E">
      <w:pPr>
        <w:spacing w:after="0" w:line="240" w:lineRule="auto"/>
        <w:jc w:val="both"/>
        <w:rPr>
          <w:rFonts w:ascii="Times New Roman" w:hAnsi="Times New Roman" w:cs="Times New Roman"/>
          <w:sz w:val="24"/>
          <w:szCs w:val="24"/>
        </w:rPr>
      </w:pPr>
    </w:p>
    <w:p w:rsidR="0077279C" w:rsidRPr="00EC7F45" w:rsidRDefault="0077279C" w:rsidP="00002E6E">
      <w:pPr>
        <w:spacing w:after="0" w:line="240" w:lineRule="auto"/>
        <w:jc w:val="both"/>
        <w:rPr>
          <w:rFonts w:ascii="Times New Roman" w:hAnsi="Times New Roman" w:cs="Times New Roman"/>
          <w:sz w:val="24"/>
          <w:szCs w:val="24"/>
        </w:rPr>
      </w:pPr>
    </w:p>
    <w:p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5652DE">
      <w:headerReference w:type="default" r:id="rId13"/>
      <w:footerReference w:type="default" r:id="rId14"/>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C2C" w:rsidRDefault="00F92C2C" w:rsidP="00FC265C">
      <w:pPr>
        <w:spacing w:after="0" w:line="240" w:lineRule="auto"/>
      </w:pPr>
      <w:r>
        <w:separator/>
      </w:r>
    </w:p>
  </w:endnote>
  <w:endnote w:type="continuationSeparator" w:id="0">
    <w:p w:rsidR="00F92C2C" w:rsidRDefault="00F92C2C"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790296"/>
      <w:docPartObj>
        <w:docPartGallery w:val="Page Numbers (Bottom of Page)"/>
        <w:docPartUnique/>
      </w:docPartObj>
    </w:sdtPr>
    <w:sdtEndPr>
      <w:rPr>
        <w:noProof/>
      </w:rPr>
    </w:sdtEndPr>
    <w:sdtContent>
      <w:p w:rsidR="005652DE" w:rsidRDefault="005652DE">
        <w:pPr>
          <w:pStyle w:val="Footer"/>
          <w:jc w:val="center"/>
        </w:pPr>
        <w:r>
          <w:fldChar w:fldCharType="begin"/>
        </w:r>
        <w:r>
          <w:instrText xml:space="preserve"> PAGE   \* MERGEFORMAT </w:instrText>
        </w:r>
        <w:r>
          <w:fldChar w:fldCharType="separate"/>
        </w:r>
        <w:r w:rsidR="002908F2">
          <w:rPr>
            <w:noProof/>
          </w:rPr>
          <w:t>20</w:t>
        </w:r>
        <w:r>
          <w:rPr>
            <w:noProof/>
          </w:rPr>
          <w:fldChar w:fldCharType="end"/>
        </w:r>
      </w:p>
    </w:sdtContent>
  </w:sdt>
  <w:p w:rsidR="00FC265C" w:rsidRDefault="00FC265C" w:rsidP="00AE31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C2C" w:rsidRDefault="00F92C2C" w:rsidP="00FC265C">
      <w:pPr>
        <w:spacing w:after="0" w:line="240" w:lineRule="auto"/>
      </w:pPr>
      <w:r>
        <w:separator/>
      </w:r>
    </w:p>
  </w:footnote>
  <w:footnote w:type="continuationSeparator" w:id="0">
    <w:p w:rsidR="00F92C2C" w:rsidRDefault="00F92C2C" w:rsidP="00FC265C">
      <w:pPr>
        <w:spacing w:after="0" w:line="240" w:lineRule="auto"/>
      </w:pPr>
      <w:r>
        <w:continuationSeparator/>
      </w:r>
    </w:p>
  </w:footnote>
  <w:footnote w:id="1">
    <w:p w:rsidR="0056088C" w:rsidRPr="00F769A8" w:rsidRDefault="0056088C" w:rsidP="00AE51CB">
      <w:pPr>
        <w:pStyle w:val="FootnoteText"/>
        <w:rPr>
          <w:sz w:val="12"/>
          <w:szCs w:val="12"/>
        </w:rPr>
      </w:pPr>
    </w:p>
  </w:footnote>
  <w:footnote w:id="2">
    <w:p w:rsidR="0056088C" w:rsidRDefault="0056088C" w:rsidP="007A6BC0">
      <w:pPr>
        <w:pStyle w:val="FootnoteText"/>
        <w:rPr>
          <w:sz w:val="18"/>
          <w:szCs w:val="18"/>
        </w:rPr>
      </w:pPr>
      <w:r>
        <w:rPr>
          <w:rStyle w:val="FootnoteReference"/>
          <w:sz w:val="18"/>
          <w:szCs w:val="18"/>
        </w:rPr>
        <w:t>[1]</w:t>
      </w:r>
      <w:r>
        <w:rPr>
          <w:sz w:val="18"/>
          <w:szCs w:val="18"/>
        </w:rPr>
        <w:t xml:space="preserve"> http://deinstitutionalisationguide.eu/wp-content/uploads/2013/04/2013-04-08-Common-European-Guidelines_Croatian-version_EDITED.pdf</w:t>
      </w:r>
    </w:p>
  </w:footnote>
  <w:footnote w:id="3">
    <w:p w:rsidR="0056088C" w:rsidRDefault="0056088C" w:rsidP="007A6BC0">
      <w:pPr>
        <w:pStyle w:val="FootnoteText"/>
        <w:rPr>
          <w:rFonts w:eastAsia="Times New Roman"/>
          <w:sz w:val="18"/>
          <w:szCs w:val="18"/>
        </w:rPr>
      </w:pPr>
      <w:r>
        <w:rPr>
          <w:rStyle w:val="FootnoteReference"/>
        </w:rPr>
        <w:t>[2]</w:t>
      </w:r>
      <w:r>
        <w:rPr>
          <w:sz w:val="18"/>
          <w:szCs w:val="18"/>
        </w:rPr>
        <w:t>http://www.mspm.hr/djelokrug_aktivnosti/proces_transformacije_i_deinstitucionalizacije/o_transformaciji_i_deinstitucionalizaciji/nacionalni_okvir/operativni_plan_deinstitucionalizacije_i_transformacije_domova_socijalne_skrbi_i_drugih_pravnih_osoba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05EE9CE30562491B8970B6CD2D536671"/>
      </w:placeholder>
      <w:temporary/>
      <w:showingPlcHdr/>
      <w15:appearance w15:val="hidden"/>
    </w:sdtPr>
    <w:sdtEndPr/>
    <w:sdtContent>
      <w:p w:rsidR="005652DE" w:rsidRDefault="005652DE">
        <w:pPr>
          <w:pStyle w:val="Header"/>
        </w:pPr>
        <w:r>
          <w:t>[Type here]</w:t>
        </w:r>
      </w:p>
    </w:sdtContent>
  </w:sdt>
  <w:p w:rsidR="005652DE" w:rsidRDefault="005652DE">
    <w:pPr>
      <w:pStyle w:val="Header"/>
      <w:rPr>
        <w:rFonts w:ascii="Times New Roman" w:hAnsi="Times New Roman" w:cs="Times New Roman"/>
        <w:noProof/>
        <w:lang w:eastAsia="hr-HR"/>
      </w:rPr>
    </w:pPr>
    <w:r w:rsidRPr="006A6EEB">
      <w:rPr>
        <w:rFonts w:ascii="Times New Roman" w:hAnsi="Times New Roman" w:cs="Times New Roman"/>
        <w:noProof/>
        <w:lang w:eastAsia="hr-HR"/>
      </w:rPr>
      <w:drawing>
        <wp:anchor distT="0" distB="0" distL="114300" distR="114300" simplePos="0" relativeHeight="251659264" behindDoc="1" locked="0" layoutInCell="1" allowOverlap="1" wp14:anchorId="3D809F99" wp14:editId="6C8D84DA">
          <wp:simplePos x="0" y="0"/>
          <wp:positionH relativeFrom="margin">
            <wp:posOffset>929723</wp:posOffset>
          </wp:positionH>
          <wp:positionV relativeFrom="paragraph">
            <wp:posOffset>-170069</wp:posOffset>
          </wp:positionV>
          <wp:extent cx="7128510" cy="1229995"/>
          <wp:effectExtent l="0" t="0" r="0" b="8255"/>
          <wp:wrapTight wrapText="bothSides">
            <wp:wrapPolygon edited="0">
              <wp:start x="0" y="0"/>
              <wp:lineTo x="0" y="21410"/>
              <wp:lineTo x="21531" y="21410"/>
              <wp:lineTo x="21531" y="0"/>
              <wp:lineTo x="0" y="0"/>
            </wp:wrapPolygon>
          </wp:wrapTight>
          <wp:docPr id="25" name="Picture 25" descr="Y:\SEKTOR ZA PRIPREMU I PROVEDBU PROJEKATA\INFORMIRANJE I VIDLJIVOST NOVO\MRRFEU pasica logotipi L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EKTOR ZA PRIPREMU I PROVEDBU PROJEKATA\INFORMIRANJE I VIDLJIVOST NOVO\MRRFEU pasica logotipi L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28510" cy="1229995"/>
                  </a:xfrm>
                  <a:prstGeom prst="rect">
                    <a:avLst/>
                  </a:prstGeom>
                  <a:noFill/>
                  <a:ln>
                    <a:noFill/>
                  </a:ln>
                </pic:spPr>
              </pic:pic>
            </a:graphicData>
          </a:graphic>
        </wp:anchor>
      </w:drawing>
    </w:r>
  </w:p>
  <w:p w:rsidR="005652DE" w:rsidRDefault="00565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0E9645DD"/>
    <w:multiLevelType w:val="hybridMultilevel"/>
    <w:tmpl w:val="DDA82612"/>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D18D9"/>
    <w:multiLevelType w:val="hybridMultilevel"/>
    <w:tmpl w:val="CDA4A364"/>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4" w15:restartNumberingAfterBreak="0">
    <w:nsid w:val="5B98281C"/>
    <w:multiLevelType w:val="hybridMultilevel"/>
    <w:tmpl w:val="D6D2C206"/>
    <w:lvl w:ilvl="0" w:tplc="9EC80F04">
      <w:start w:val="1"/>
      <w:numFmt w:val="bullet"/>
      <w:lvlText w:val=""/>
      <w:lvlJc w:val="left"/>
      <w:pPr>
        <w:ind w:left="720" w:hanging="360"/>
      </w:pPr>
      <w:rPr>
        <w:rFonts w:ascii="Wingdings" w:hAnsi="Wingdings" w:hint="default"/>
        <w:color w:val="70AD47" w:themeColor="accent6"/>
        <w:sz w:val="3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CE361F9"/>
    <w:multiLevelType w:val="hybridMultilevel"/>
    <w:tmpl w:val="A94A13EC"/>
    <w:lvl w:ilvl="0" w:tplc="9EC80F04">
      <w:start w:val="1"/>
      <w:numFmt w:val="bullet"/>
      <w:lvlText w:val=""/>
      <w:lvlJc w:val="left"/>
      <w:pPr>
        <w:ind w:left="720" w:hanging="360"/>
      </w:pPr>
      <w:rPr>
        <w:rFonts w:ascii="Wingdings" w:hAnsi="Wingdings" w:hint="default"/>
        <w:color w:val="70AD47"/>
        <w:sz w:val="3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2"/>
  </w:num>
  <w:num w:numId="4">
    <w:abstractNumId w:val="13"/>
  </w:num>
  <w:num w:numId="5">
    <w:abstractNumId w:val="9"/>
  </w:num>
  <w:num w:numId="6">
    <w:abstractNumId w:val="17"/>
  </w:num>
  <w:num w:numId="7">
    <w:abstractNumId w:val="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0"/>
  </w:num>
  <w:num w:numId="12">
    <w:abstractNumId w:val="12"/>
  </w:num>
  <w:num w:numId="13">
    <w:abstractNumId w:val="15"/>
  </w:num>
  <w:num w:numId="14">
    <w:abstractNumId w:val="19"/>
  </w:num>
  <w:num w:numId="15">
    <w:abstractNumId w:val="16"/>
  </w:num>
  <w:num w:numId="16">
    <w:abstractNumId w:val="21"/>
  </w:num>
  <w:num w:numId="17">
    <w:abstractNumId w:val="4"/>
  </w:num>
  <w:num w:numId="18">
    <w:abstractNumId w:val="0"/>
  </w:num>
  <w:num w:numId="19">
    <w:abstractNumId w:val="1"/>
  </w:num>
  <w:num w:numId="20">
    <w:abstractNumId w:val="3"/>
  </w:num>
  <w:num w:numId="21">
    <w:abstractNumId w:val="7"/>
  </w:num>
  <w:num w:numId="22">
    <w:abstractNumId w:val="14"/>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140BA"/>
    <w:rsid w:val="00025010"/>
    <w:rsid w:val="00025179"/>
    <w:rsid w:val="00041DB1"/>
    <w:rsid w:val="00070B3D"/>
    <w:rsid w:val="000717B8"/>
    <w:rsid w:val="000743BE"/>
    <w:rsid w:val="00075396"/>
    <w:rsid w:val="00087974"/>
    <w:rsid w:val="000C22AB"/>
    <w:rsid w:val="000C5E2D"/>
    <w:rsid w:val="000D2ECF"/>
    <w:rsid w:val="000E048D"/>
    <w:rsid w:val="000E3753"/>
    <w:rsid w:val="00102D7E"/>
    <w:rsid w:val="00105079"/>
    <w:rsid w:val="00126B47"/>
    <w:rsid w:val="00133307"/>
    <w:rsid w:val="00135309"/>
    <w:rsid w:val="0013776A"/>
    <w:rsid w:val="001421EB"/>
    <w:rsid w:val="001449EF"/>
    <w:rsid w:val="001521C3"/>
    <w:rsid w:val="001534AC"/>
    <w:rsid w:val="00162062"/>
    <w:rsid w:val="0017031A"/>
    <w:rsid w:val="00185383"/>
    <w:rsid w:val="00186B26"/>
    <w:rsid w:val="0019596C"/>
    <w:rsid w:val="001974B9"/>
    <w:rsid w:val="001A0094"/>
    <w:rsid w:val="001A17C6"/>
    <w:rsid w:val="001A2939"/>
    <w:rsid w:val="001A3DC4"/>
    <w:rsid w:val="001B23B8"/>
    <w:rsid w:val="001B6C35"/>
    <w:rsid w:val="001B7D2D"/>
    <w:rsid w:val="001D5C15"/>
    <w:rsid w:val="001E2BCC"/>
    <w:rsid w:val="001E32CC"/>
    <w:rsid w:val="001F23F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08F2"/>
    <w:rsid w:val="002A5212"/>
    <w:rsid w:val="002A6BEF"/>
    <w:rsid w:val="002B2324"/>
    <w:rsid w:val="002C33CF"/>
    <w:rsid w:val="002C3C3C"/>
    <w:rsid w:val="002C5E0E"/>
    <w:rsid w:val="002C5F04"/>
    <w:rsid w:val="002C6F5D"/>
    <w:rsid w:val="002D5568"/>
    <w:rsid w:val="002D6A56"/>
    <w:rsid w:val="002D6C75"/>
    <w:rsid w:val="002E5C6E"/>
    <w:rsid w:val="002E650B"/>
    <w:rsid w:val="00300C16"/>
    <w:rsid w:val="0031107B"/>
    <w:rsid w:val="00313FE4"/>
    <w:rsid w:val="00324620"/>
    <w:rsid w:val="0033705B"/>
    <w:rsid w:val="00344DE8"/>
    <w:rsid w:val="00345819"/>
    <w:rsid w:val="003512C9"/>
    <w:rsid w:val="00354EFC"/>
    <w:rsid w:val="00366959"/>
    <w:rsid w:val="0037749C"/>
    <w:rsid w:val="00377D87"/>
    <w:rsid w:val="00384BE7"/>
    <w:rsid w:val="00386638"/>
    <w:rsid w:val="00393243"/>
    <w:rsid w:val="003B1151"/>
    <w:rsid w:val="003B147E"/>
    <w:rsid w:val="003B4F37"/>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73D4"/>
    <w:rsid w:val="004F7ACD"/>
    <w:rsid w:val="0050224E"/>
    <w:rsid w:val="00510A63"/>
    <w:rsid w:val="00511D99"/>
    <w:rsid w:val="0051414C"/>
    <w:rsid w:val="00544D17"/>
    <w:rsid w:val="0054576C"/>
    <w:rsid w:val="0056088C"/>
    <w:rsid w:val="005652DE"/>
    <w:rsid w:val="00565EEF"/>
    <w:rsid w:val="00571959"/>
    <w:rsid w:val="00575A2D"/>
    <w:rsid w:val="005813DD"/>
    <w:rsid w:val="005824F7"/>
    <w:rsid w:val="005849F9"/>
    <w:rsid w:val="00584E2A"/>
    <w:rsid w:val="00592ADF"/>
    <w:rsid w:val="00593C7C"/>
    <w:rsid w:val="005A47E8"/>
    <w:rsid w:val="005A668A"/>
    <w:rsid w:val="005D165D"/>
    <w:rsid w:val="005D44D1"/>
    <w:rsid w:val="005D4B64"/>
    <w:rsid w:val="005D681B"/>
    <w:rsid w:val="005E0D89"/>
    <w:rsid w:val="005E2BEC"/>
    <w:rsid w:val="00601BE1"/>
    <w:rsid w:val="006071D2"/>
    <w:rsid w:val="00614A18"/>
    <w:rsid w:val="00616078"/>
    <w:rsid w:val="00632AE9"/>
    <w:rsid w:val="00634D45"/>
    <w:rsid w:val="006532BB"/>
    <w:rsid w:val="00654E3C"/>
    <w:rsid w:val="00660AFA"/>
    <w:rsid w:val="00662D19"/>
    <w:rsid w:val="0066530D"/>
    <w:rsid w:val="0068593C"/>
    <w:rsid w:val="00686582"/>
    <w:rsid w:val="00687B38"/>
    <w:rsid w:val="00694412"/>
    <w:rsid w:val="0069614B"/>
    <w:rsid w:val="006A3966"/>
    <w:rsid w:val="006C16EA"/>
    <w:rsid w:val="006C414B"/>
    <w:rsid w:val="006C7AE0"/>
    <w:rsid w:val="006D2170"/>
    <w:rsid w:val="006D7D73"/>
    <w:rsid w:val="006E49CF"/>
    <w:rsid w:val="006E58C6"/>
    <w:rsid w:val="006F02B4"/>
    <w:rsid w:val="006F5631"/>
    <w:rsid w:val="006F61F0"/>
    <w:rsid w:val="006F716F"/>
    <w:rsid w:val="006F7A36"/>
    <w:rsid w:val="00701958"/>
    <w:rsid w:val="00712187"/>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A0C51"/>
    <w:rsid w:val="007A16D0"/>
    <w:rsid w:val="007B0B10"/>
    <w:rsid w:val="007B432C"/>
    <w:rsid w:val="007C563B"/>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0CCB"/>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38C2"/>
    <w:rsid w:val="00925989"/>
    <w:rsid w:val="009360A4"/>
    <w:rsid w:val="00945657"/>
    <w:rsid w:val="00971E56"/>
    <w:rsid w:val="0098396A"/>
    <w:rsid w:val="00984845"/>
    <w:rsid w:val="00996300"/>
    <w:rsid w:val="00996FE8"/>
    <w:rsid w:val="00997A59"/>
    <w:rsid w:val="009A0A4C"/>
    <w:rsid w:val="009A59DD"/>
    <w:rsid w:val="009C6EDE"/>
    <w:rsid w:val="009D17A7"/>
    <w:rsid w:val="009D2947"/>
    <w:rsid w:val="009E06F7"/>
    <w:rsid w:val="009E45B2"/>
    <w:rsid w:val="009E4B14"/>
    <w:rsid w:val="009F1F0C"/>
    <w:rsid w:val="009F490E"/>
    <w:rsid w:val="00A01879"/>
    <w:rsid w:val="00A019E1"/>
    <w:rsid w:val="00A11D2D"/>
    <w:rsid w:val="00A166B4"/>
    <w:rsid w:val="00A21872"/>
    <w:rsid w:val="00A22696"/>
    <w:rsid w:val="00A24F6F"/>
    <w:rsid w:val="00A3084B"/>
    <w:rsid w:val="00A415B4"/>
    <w:rsid w:val="00A4448A"/>
    <w:rsid w:val="00A47FC8"/>
    <w:rsid w:val="00A520FB"/>
    <w:rsid w:val="00A600DE"/>
    <w:rsid w:val="00A645BC"/>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72D0"/>
    <w:rsid w:val="00B20CFE"/>
    <w:rsid w:val="00B21B8C"/>
    <w:rsid w:val="00B37EAB"/>
    <w:rsid w:val="00B40421"/>
    <w:rsid w:val="00B40671"/>
    <w:rsid w:val="00B45804"/>
    <w:rsid w:val="00B53970"/>
    <w:rsid w:val="00B5423E"/>
    <w:rsid w:val="00B60EAE"/>
    <w:rsid w:val="00B7526C"/>
    <w:rsid w:val="00B76388"/>
    <w:rsid w:val="00B80913"/>
    <w:rsid w:val="00B94381"/>
    <w:rsid w:val="00B96CCD"/>
    <w:rsid w:val="00BA0BB7"/>
    <w:rsid w:val="00BA50AB"/>
    <w:rsid w:val="00BA68EF"/>
    <w:rsid w:val="00BB6591"/>
    <w:rsid w:val="00BC1E84"/>
    <w:rsid w:val="00BC2912"/>
    <w:rsid w:val="00BC3421"/>
    <w:rsid w:val="00BC755E"/>
    <w:rsid w:val="00BE466E"/>
    <w:rsid w:val="00BF0436"/>
    <w:rsid w:val="00BF3462"/>
    <w:rsid w:val="00C07D04"/>
    <w:rsid w:val="00C10092"/>
    <w:rsid w:val="00C151F3"/>
    <w:rsid w:val="00C5369B"/>
    <w:rsid w:val="00C661D3"/>
    <w:rsid w:val="00C75344"/>
    <w:rsid w:val="00C81675"/>
    <w:rsid w:val="00C93C99"/>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60C0"/>
    <w:rsid w:val="00D42A58"/>
    <w:rsid w:val="00D4758C"/>
    <w:rsid w:val="00D50190"/>
    <w:rsid w:val="00D63DF4"/>
    <w:rsid w:val="00D64CE6"/>
    <w:rsid w:val="00D73041"/>
    <w:rsid w:val="00D81D33"/>
    <w:rsid w:val="00D82761"/>
    <w:rsid w:val="00D82E32"/>
    <w:rsid w:val="00D946CC"/>
    <w:rsid w:val="00D956F1"/>
    <w:rsid w:val="00D96048"/>
    <w:rsid w:val="00DA23CA"/>
    <w:rsid w:val="00DB03E0"/>
    <w:rsid w:val="00DB6455"/>
    <w:rsid w:val="00DC02A0"/>
    <w:rsid w:val="00DC0B8E"/>
    <w:rsid w:val="00DD2AAC"/>
    <w:rsid w:val="00DD78D8"/>
    <w:rsid w:val="00DE67F3"/>
    <w:rsid w:val="00DF6922"/>
    <w:rsid w:val="00E053F8"/>
    <w:rsid w:val="00E06670"/>
    <w:rsid w:val="00E1073F"/>
    <w:rsid w:val="00E10ED4"/>
    <w:rsid w:val="00E156A0"/>
    <w:rsid w:val="00E15B8C"/>
    <w:rsid w:val="00E322AD"/>
    <w:rsid w:val="00E34584"/>
    <w:rsid w:val="00E50633"/>
    <w:rsid w:val="00E61823"/>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E4D9A"/>
    <w:rsid w:val="00EF35F3"/>
    <w:rsid w:val="00F04E7D"/>
    <w:rsid w:val="00F11CAD"/>
    <w:rsid w:val="00F14137"/>
    <w:rsid w:val="00F20EFA"/>
    <w:rsid w:val="00F23668"/>
    <w:rsid w:val="00F313D0"/>
    <w:rsid w:val="00F335D0"/>
    <w:rsid w:val="00F41132"/>
    <w:rsid w:val="00F50537"/>
    <w:rsid w:val="00F51C3B"/>
    <w:rsid w:val="00F52F2A"/>
    <w:rsid w:val="00F5633C"/>
    <w:rsid w:val="00F57973"/>
    <w:rsid w:val="00F62191"/>
    <w:rsid w:val="00F62AD2"/>
    <w:rsid w:val="00F67B89"/>
    <w:rsid w:val="00F7009F"/>
    <w:rsid w:val="00F7211E"/>
    <w:rsid w:val="00F730AC"/>
    <w:rsid w:val="00F73512"/>
    <w:rsid w:val="00F92C2C"/>
    <w:rsid w:val="00FA7BFE"/>
    <w:rsid w:val="00FB09B1"/>
    <w:rsid w:val="00FB2D63"/>
    <w:rsid w:val="00FC1C86"/>
    <w:rsid w:val="00FC265C"/>
    <w:rsid w:val="00FD7D9C"/>
    <w:rsid w:val="00FD7EAE"/>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07CC1"/>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3BE"/>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VIfnrCarChar1">
    <w:name w:val="BVI fnr Car Char1"/>
    <w:aliases w:val="BVI fnr Car Car Car Char1,BVI fnr Car Car Char1,BVI fnr Car Car Car Car Car Char1,BVI fnr Car Car Car Car Char Car Car Char1,BVI fnr Car Char Char Char"/>
    <w:basedOn w:val="Normal"/>
    <w:autoRedefine/>
    <w:uiPriority w:val="99"/>
    <w:rsid w:val="0056088C"/>
    <w:pPr>
      <w:spacing w:before="120" w:line="240" w:lineRule="exact"/>
      <w:jc w:val="both"/>
    </w:pPr>
    <w:rPr>
      <w:sz w:val="12"/>
      <w:vertAlign w:val="superscript"/>
    </w:rPr>
  </w:style>
  <w:style w:type="paragraph" w:styleId="EndnoteText">
    <w:name w:val="endnote text"/>
    <w:basedOn w:val="Normal"/>
    <w:link w:val="EndnoteTextChar"/>
    <w:uiPriority w:val="99"/>
    <w:semiHidden/>
    <w:unhideWhenUsed/>
    <w:rsid w:val="005652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52DE"/>
    <w:rPr>
      <w:sz w:val="20"/>
      <w:szCs w:val="20"/>
    </w:rPr>
  </w:style>
  <w:style w:type="character" w:styleId="EndnoteReference">
    <w:name w:val="endnote reference"/>
    <w:basedOn w:val="DefaultParagraphFont"/>
    <w:uiPriority w:val="99"/>
    <w:semiHidden/>
    <w:unhideWhenUsed/>
    <w:rsid w:val="005652DE"/>
    <w:rPr>
      <w:vertAlign w:val="superscript"/>
    </w:rPr>
  </w:style>
  <w:style w:type="character" w:styleId="UnresolvedMention">
    <w:name w:val="Unresolved Mention"/>
    <w:basedOn w:val="DefaultParagraphFont"/>
    <w:uiPriority w:val="99"/>
    <w:semiHidden/>
    <w:unhideWhenUsed/>
    <w:rsid w:val="009456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628902456">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1939411606">
      <w:bodyDiv w:val="1"/>
      <w:marLeft w:val="0"/>
      <w:marRight w:val="0"/>
      <w:marTop w:val="0"/>
      <w:marBottom w:val="0"/>
      <w:divBdr>
        <w:top w:val="none" w:sz="0" w:space="0" w:color="auto"/>
        <w:left w:val="none" w:sz="0" w:space="0" w:color="auto"/>
        <w:bottom w:val="none" w:sz="0" w:space="0" w:color="auto"/>
        <w:right w:val="none" w:sz="0" w:space="0" w:color="auto"/>
      </w:divBdr>
    </w:div>
    <w:div w:id="1972010655">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rukturnifondovi.h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EE9CE30562491B8970B6CD2D536671"/>
        <w:category>
          <w:name w:val="General"/>
          <w:gallery w:val="placeholder"/>
        </w:category>
        <w:types>
          <w:type w:val="bbPlcHdr"/>
        </w:types>
        <w:behaviors>
          <w:behavior w:val="content"/>
        </w:behaviors>
        <w:guid w:val="{26191553-E5E8-4AEA-ABA6-F8BB411558FC}"/>
      </w:docPartPr>
      <w:docPartBody>
        <w:p w:rsidR="00654E36" w:rsidRDefault="006651FC" w:rsidP="006651FC">
          <w:pPr>
            <w:pStyle w:val="05EE9CE30562491B8970B6CD2D53667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FC"/>
    <w:rsid w:val="002D4611"/>
    <w:rsid w:val="0062242B"/>
    <w:rsid w:val="00654E36"/>
    <w:rsid w:val="006651FC"/>
    <w:rsid w:val="006A74E7"/>
    <w:rsid w:val="007563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EE9CE30562491B8970B6CD2D536671">
    <w:name w:val="05EE9CE30562491B8970B6CD2D536671"/>
    <w:rsid w:val="00665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B43F148F0C3944BBD47635825EF4D3" ma:contentTypeVersion="9" ma:contentTypeDescription="Create a new document." ma:contentTypeScope="" ma:versionID="51b508c1441ac17b9a16cdd752f81640">
  <xsd:schema xmlns:xsd="http://www.w3.org/2001/XMLSchema" xmlns:xs="http://www.w3.org/2001/XMLSchema" xmlns:p="http://schemas.microsoft.com/office/2006/metadata/properties" xmlns:ns2="39695568-d1fe-4f13-abf8-88e18f683e79" xmlns:ns3="e7897449-8e6f-4cef-be58-e81a4abd4035" targetNamespace="http://schemas.microsoft.com/office/2006/metadata/properties" ma:root="true" ma:fieldsID="365e6b4c9231fdd673538af88cea1ce9" ns2:_="" ns3:_="">
    <xsd:import namespace="39695568-d1fe-4f13-abf8-88e18f683e7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95568-d1fe-4f13-abf8-88e18f683e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9196E-4220-488C-8A51-5954E91B5540}">
  <ds:schemaRefs>
    <ds:schemaRef ds:uri="http://schemas.microsoft.com/sharepoint/v3/contenttype/forms"/>
  </ds:schemaRefs>
</ds:datastoreItem>
</file>

<file path=customXml/itemProps2.xml><?xml version="1.0" encoding="utf-8"?>
<ds:datastoreItem xmlns:ds="http://schemas.openxmlformats.org/officeDocument/2006/customXml" ds:itemID="{B36191F7-C03A-404F-A99F-C729C783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95568-d1fe-4f13-abf8-88e18f683e7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3D4AC1-E014-4637-B8F0-28169D0BB1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8778EE-611D-43E5-B990-B836B745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7345</Words>
  <Characters>41867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Adi Kolasević</cp:lastModifiedBy>
  <cp:revision>2</cp:revision>
  <cp:lastPrinted>2017-01-31T14:23:00Z</cp:lastPrinted>
  <dcterms:created xsi:type="dcterms:W3CDTF">2018-02-06T13:27:00Z</dcterms:created>
  <dcterms:modified xsi:type="dcterms:W3CDTF">2018-02-06T13:27:00Z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0x0101006DB43F148F0C3944BBD47635825EF4D3</vt:lpwstr>
  </property>
</Properties>
</file>