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49783" w14:textId="77777777" w:rsidR="00282493" w:rsidRDefault="00C44921">
      <w:pPr>
        <w:pStyle w:val="BodyText"/>
        <w:ind w:left="17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2A24F20" wp14:editId="07777777">
            <wp:extent cx="5517100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10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CA8DA" w14:textId="77777777" w:rsidR="00282493" w:rsidRDefault="00282493">
      <w:pPr>
        <w:pStyle w:val="BodyText"/>
        <w:spacing w:before="8"/>
        <w:rPr>
          <w:sz w:val="15"/>
        </w:rPr>
      </w:pPr>
    </w:p>
    <w:p w14:paraId="7A6EFD82" w14:textId="1644AF7D" w:rsidR="00282493" w:rsidRPr="00D052B0" w:rsidRDefault="6345BE48" w:rsidP="6345BE48">
      <w:pPr>
        <w:spacing w:before="92"/>
        <w:ind w:left="2160" w:right="2971"/>
        <w:jc w:val="center"/>
        <w:rPr>
          <w:i/>
          <w:iCs/>
        </w:rPr>
      </w:pPr>
      <w:r w:rsidRPr="6345BE48">
        <w:rPr>
          <w:i/>
          <w:iCs/>
        </w:rPr>
        <w:t xml:space="preserve">Ovaj Poziv se financira iz </w:t>
      </w:r>
      <w:r w:rsidR="00C44921">
        <w:br/>
      </w:r>
      <w:r w:rsidRPr="6345BE48">
        <w:rPr>
          <w:i/>
          <w:iCs/>
        </w:rPr>
        <w:t>Europskog fonda za regionalni razvoj</w:t>
      </w:r>
    </w:p>
    <w:p w14:paraId="7512D905" w14:textId="77777777" w:rsidR="00282493" w:rsidRDefault="00282493">
      <w:pPr>
        <w:pStyle w:val="BodyText"/>
        <w:rPr>
          <w:i/>
          <w:sz w:val="24"/>
        </w:rPr>
      </w:pPr>
    </w:p>
    <w:p w14:paraId="1823DC9E" w14:textId="77777777" w:rsidR="00282493" w:rsidRDefault="00282493">
      <w:pPr>
        <w:pStyle w:val="BodyText"/>
        <w:rPr>
          <w:i/>
        </w:rPr>
      </w:pPr>
    </w:p>
    <w:p w14:paraId="6D8BD9DA" w14:textId="77777777" w:rsidR="00282493" w:rsidRDefault="6345BE48">
      <w:pPr>
        <w:pStyle w:val="Heading1"/>
        <w:ind w:left="1121"/>
      </w:pPr>
      <w:r>
        <w:t>SAŽETAK POZIVA NA DOSTAVU PROJEKTNIH PRIJEDLOGA</w:t>
      </w:r>
    </w:p>
    <w:p w14:paraId="429C5A88" w14:textId="7857DAB8" w:rsidR="00282493" w:rsidRPr="00D052B0" w:rsidRDefault="6345BE48" w:rsidP="6345BE48">
      <w:pPr>
        <w:ind w:left="766"/>
        <w:rPr>
          <w:b/>
          <w:bCs/>
          <w:sz w:val="24"/>
          <w:szCs w:val="24"/>
        </w:rPr>
      </w:pPr>
      <w:r w:rsidRPr="6345BE48">
        <w:rPr>
          <w:b/>
          <w:bCs/>
          <w:sz w:val="24"/>
          <w:szCs w:val="24"/>
        </w:rPr>
        <w:t xml:space="preserve">u ograničenom postupku dodjele bespovratnih sredstava </w:t>
      </w:r>
      <w:r w:rsidR="008453A2">
        <w:rPr>
          <w:b/>
          <w:bCs/>
          <w:sz w:val="24"/>
          <w:szCs w:val="24"/>
          <w:highlight w:val="yellow"/>
        </w:rPr>
        <w:t>trajnog</w:t>
      </w:r>
      <w:r w:rsidRPr="6345BE48">
        <w:rPr>
          <w:b/>
          <w:bCs/>
          <w:sz w:val="24"/>
          <w:szCs w:val="24"/>
        </w:rPr>
        <w:t xml:space="preserve"> modaliteta</w:t>
      </w:r>
    </w:p>
    <w:p w14:paraId="1643C360" w14:textId="77777777" w:rsidR="00282493" w:rsidRDefault="00282493">
      <w:pPr>
        <w:pStyle w:val="BodyText"/>
        <w:spacing w:before="1"/>
        <w:rPr>
          <w:b/>
        </w:rPr>
      </w:pPr>
    </w:p>
    <w:p w14:paraId="0D7F0819" w14:textId="77777777" w:rsidR="00282493" w:rsidRDefault="6345BE48">
      <w:pPr>
        <w:pStyle w:val="BodyText"/>
        <w:spacing w:line="252" w:lineRule="exact"/>
        <w:ind w:left="409" w:right="410"/>
        <w:jc w:val="center"/>
      </w:pPr>
      <w:r>
        <w:t>Naziv Poziva</w:t>
      </w:r>
    </w:p>
    <w:p w14:paraId="0B68D699" w14:textId="77777777" w:rsidR="00282493" w:rsidRDefault="6345BE48">
      <w:pPr>
        <w:pStyle w:val="Heading1"/>
        <w:ind w:right="410"/>
        <w:jc w:val="center"/>
      </w:pPr>
      <w:r>
        <w:t>Unaprjeđivanje infrastrukture za pružanje socijalnih usluga u zajednici osobama s invaliditetom kao podrška procesu deinstitucionalizacije – faza 1</w:t>
      </w:r>
    </w:p>
    <w:p w14:paraId="535692B6" w14:textId="77777777" w:rsidR="00282493" w:rsidRDefault="00282493">
      <w:pPr>
        <w:pStyle w:val="BodyText"/>
        <w:spacing w:before="2"/>
        <w:rPr>
          <w:b/>
          <w:sz w:val="21"/>
        </w:rPr>
      </w:pPr>
    </w:p>
    <w:p w14:paraId="2684EE3A" w14:textId="77777777" w:rsidR="00282493" w:rsidRDefault="6345BE48">
      <w:pPr>
        <w:pStyle w:val="BodyText"/>
        <w:ind w:left="3798" w:right="3801"/>
        <w:jc w:val="center"/>
      </w:pPr>
      <w:r>
        <w:t>Referentna oznaka: KK.08.1.3.01</w:t>
      </w:r>
    </w:p>
    <w:p w14:paraId="069A3369" w14:textId="77777777" w:rsidR="00282493" w:rsidRDefault="00282493">
      <w:pPr>
        <w:pStyle w:val="BodyText"/>
        <w:spacing w:before="11"/>
        <w:rPr>
          <w:sz w:val="21"/>
        </w:rPr>
      </w:pPr>
    </w:p>
    <w:p w14:paraId="7E96B7C3" w14:textId="77777777" w:rsidR="00282493" w:rsidRDefault="6345BE48">
      <w:pPr>
        <w:pStyle w:val="Heading2"/>
        <w:numPr>
          <w:ilvl w:val="0"/>
          <w:numId w:val="6"/>
        </w:numPr>
        <w:tabs>
          <w:tab w:val="left" w:pos="837"/>
        </w:tabs>
      </w:pPr>
      <w:r>
        <w:t>Predmet i svrha poziva</w:t>
      </w:r>
    </w:p>
    <w:p w14:paraId="4D37E0A6" w14:textId="77777777" w:rsidR="00282493" w:rsidRDefault="6345BE48">
      <w:pPr>
        <w:spacing w:before="1"/>
        <w:ind w:left="116" w:right="112"/>
        <w:jc w:val="both"/>
      </w:pPr>
      <w:r>
        <w:t xml:space="preserve">U okviru ovog Poziva planira se provedba operacije 9a3.1 </w:t>
      </w:r>
      <w:r w:rsidRPr="6345BE48">
        <w:rPr>
          <w:i/>
          <w:iCs/>
        </w:rPr>
        <w:t>Unapređivanje infrastrukture za pružanje socijalnih usluga u zajednici osobama s invaliditetom kao podrška procesu deinstitucionalizacije - faza 1</w:t>
      </w:r>
      <w:r>
        <w:t xml:space="preserve"> koja uključuje aktivnosti navedene u točci 2.7 Uputa, a koje će se provoditi u 18 domova socijalne skrbi za osobe s invaliditetom. Navedeni domovi određeni su </w:t>
      </w:r>
      <w:r w:rsidRPr="6345BE48">
        <w:rPr>
          <w:i/>
          <w:iCs/>
        </w:rPr>
        <w:t xml:space="preserve">Operativnim planom deinstitucionalizacije i transformacije domova socijalne skrbi i drugih pravnih osoba koje obavljaju djelatnost socijalne skrbi u Republici Hrvatskoj 2014. - 2016. </w:t>
      </w:r>
      <w:r>
        <w:t>kao prioritetne institucije u procesu deinstitucionalizacije kojima je potrebno unaprijediti infrastrukturu za pružanje socijalnih usluga u zajednici, stoga je:</w:t>
      </w:r>
    </w:p>
    <w:p w14:paraId="5B7BF38F" w14:textId="77777777" w:rsidR="00282493" w:rsidRDefault="00282493">
      <w:pPr>
        <w:pStyle w:val="BodyText"/>
        <w:spacing w:before="10"/>
        <w:rPr>
          <w:sz w:val="21"/>
        </w:rPr>
      </w:pPr>
    </w:p>
    <w:p w14:paraId="77EE4105" w14:textId="77777777" w:rsidR="00282493" w:rsidRDefault="6345BE48">
      <w:pPr>
        <w:pStyle w:val="Heading2"/>
        <w:spacing w:before="1"/>
        <w:ind w:left="116" w:firstLine="0"/>
      </w:pPr>
      <w:r w:rsidRPr="6345BE48">
        <w:rPr>
          <w:u w:val="thick"/>
        </w:rPr>
        <w:t>Svrha ovog Poziva:</w:t>
      </w:r>
    </w:p>
    <w:p w14:paraId="228EBF96" w14:textId="77777777" w:rsidR="00282493" w:rsidRDefault="6345BE48">
      <w:pPr>
        <w:pStyle w:val="ListParagraph"/>
        <w:numPr>
          <w:ilvl w:val="0"/>
          <w:numId w:val="5"/>
        </w:numPr>
        <w:tabs>
          <w:tab w:val="left" w:pos="476"/>
          <w:tab w:val="left" w:pos="477"/>
        </w:tabs>
        <w:ind w:right="118"/>
      </w:pPr>
      <w:r>
        <w:t>podrška procesu deinstitucionalizacije sustava pružanja socijalnih usluga u Republici Hrvatskoj putem infrastrukturnih ulaganja u prenamjenu i opremanje institucija.</w:t>
      </w:r>
    </w:p>
    <w:p w14:paraId="4065F23E" w14:textId="77777777" w:rsidR="00282493" w:rsidRDefault="00282493">
      <w:pPr>
        <w:pStyle w:val="BodyText"/>
        <w:spacing w:before="1"/>
      </w:pPr>
    </w:p>
    <w:p w14:paraId="2F1C4658" w14:textId="77777777" w:rsidR="00282493" w:rsidRDefault="6345BE48">
      <w:pPr>
        <w:pStyle w:val="Heading2"/>
        <w:ind w:left="116" w:firstLine="0"/>
      </w:pPr>
      <w:r w:rsidRPr="6345BE48">
        <w:rPr>
          <w:u w:val="thick"/>
        </w:rPr>
        <w:t>Predmet ovog Poziva:</w:t>
      </w:r>
    </w:p>
    <w:p w14:paraId="2759B97D" w14:textId="18EF8910" w:rsidR="00282493" w:rsidRDefault="6345BE48" w:rsidP="00D052B0">
      <w:pPr>
        <w:pStyle w:val="ListParagraph"/>
        <w:numPr>
          <w:ilvl w:val="1"/>
          <w:numId w:val="5"/>
        </w:numPr>
        <w:ind w:right="119"/>
      </w:pPr>
      <w:r>
        <w:t>prilagoditi 18 domova socijalne skrbi / centara za pružanje usluga u zajednici za osobe s invaliditetom za potrebe pružanja usluga u zajednici putem infrastrukturnih ulaganja.</w:t>
      </w:r>
    </w:p>
    <w:p w14:paraId="3869F272" w14:textId="77777777" w:rsidR="00D052B0" w:rsidRDefault="00D052B0" w:rsidP="00D052B0">
      <w:pPr>
        <w:pStyle w:val="ListParagraph"/>
        <w:ind w:right="119" w:firstLine="0"/>
      </w:pPr>
    </w:p>
    <w:p w14:paraId="497CF848" w14:textId="77777777" w:rsidR="1C8BDE24" w:rsidRPr="00D052B0" w:rsidRDefault="1C8BDE24" w:rsidP="00D052B0">
      <w:pPr>
        <w:pStyle w:val="BodyText"/>
        <w:rPr>
          <w:sz w:val="20"/>
          <w:szCs w:val="20"/>
        </w:rPr>
      </w:pPr>
    </w:p>
    <w:p w14:paraId="4329AB04" w14:textId="6D978E91" w:rsidR="00282493" w:rsidRDefault="6345BE48" w:rsidP="00D052B0">
      <w:pPr>
        <w:pStyle w:val="Heading2"/>
        <w:numPr>
          <w:ilvl w:val="0"/>
          <w:numId w:val="6"/>
        </w:numPr>
        <w:spacing w:before="1"/>
      </w:pPr>
      <w:r>
        <w:t>Ukupna raspoloživa</w:t>
      </w:r>
      <w:r>
        <w:rPr>
          <w:b w:val="0"/>
          <w:bCs w:val="0"/>
        </w:rPr>
        <w:t xml:space="preserve"> </w:t>
      </w:r>
      <w:r>
        <w:t>sredstva</w:t>
      </w:r>
    </w:p>
    <w:p w14:paraId="35AD3217" w14:textId="77777777" w:rsidR="00282493" w:rsidRDefault="6345BE48">
      <w:pPr>
        <w:pStyle w:val="BodyText"/>
        <w:ind w:left="116" w:right="418"/>
      </w:pPr>
      <w:r>
        <w:t>Bespovratna sredstva mogu se po pojedinom projektu dodijeliti u skladu sa sljedećim minimalnim i maksimalnim iznosima:</w:t>
      </w:r>
    </w:p>
    <w:p w14:paraId="56046B50" w14:textId="77777777" w:rsidR="00282493" w:rsidRDefault="00282493">
      <w:pPr>
        <w:pStyle w:val="BodyText"/>
        <w:spacing w:before="10"/>
        <w:rPr>
          <w:sz w:val="21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998"/>
        <w:gridCol w:w="3289"/>
      </w:tblGrid>
      <w:tr w:rsidR="00282493" w14:paraId="71377A2A" w14:textId="77777777" w:rsidTr="6345BE48">
        <w:trPr>
          <w:trHeight w:val="460"/>
        </w:trPr>
        <w:tc>
          <w:tcPr>
            <w:tcW w:w="2667" w:type="dxa"/>
            <w:shd w:val="clear" w:color="auto" w:fill="B8CCE3"/>
          </w:tcPr>
          <w:p w14:paraId="3DFC68B2" w14:textId="77777777" w:rsidR="00282493" w:rsidRPr="00D052B0" w:rsidRDefault="6345BE48" w:rsidP="6345BE48">
            <w:pPr>
              <w:pStyle w:val="TableParagraph"/>
              <w:spacing w:line="230" w:lineRule="atLeast"/>
              <w:ind w:left="419" w:right="281" w:hanging="108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Ukupan raspoloživi iznos bespovratnih sredstava</w:t>
            </w:r>
          </w:p>
        </w:tc>
        <w:tc>
          <w:tcPr>
            <w:tcW w:w="2998" w:type="dxa"/>
            <w:shd w:val="clear" w:color="auto" w:fill="B8CCE3"/>
          </w:tcPr>
          <w:p w14:paraId="5731F7EE" w14:textId="77777777" w:rsidR="00282493" w:rsidRPr="00D052B0" w:rsidRDefault="6345BE48" w:rsidP="6345BE48">
            <w:pPr>
              <w:pStyle w:val="TableParagraph"/>
              <w:spacing w:line="230" w:lineRule="atLeast"/>
              <w:ind w:left="1127" w:right="267" w:hanging="826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Minimalni iznos bespovratnih sredstava</w:t>
            </w:r>
          </w:p>
        </w:tc>
        <w:tc>
          <w:tcPr>
            <w:tcW w:w="3289" w:type="dxa"/>
            <w:shd w:val="clear" w:color="auto" w:fill="B8CCE3"/>
          </w:tcPr>
          <w:p w14:paraId="704C6246" w14:textId="77777777" w:rsidR="00282493" w:rsidRPr="00D052B0" w:rsidRDefault="6345BE48" w:rsidP="6345BE48">
            <w:pPr>
              <w:pStyle w:val="TableParagraph"/>
              <w:spacing w:line="230" w:lineRule="atLeast"/>
              <w:ind w:left="1274" w:right="358" w:hanging="884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Maksimalni iznos bespovratnih sredstava</w:t>
            </w:r>
          </w:p>
        </w:tc>
      </w:tr>
      <w:tr w:rsidR="00282493" w14:paraId="0F51ED7E" w14:textId="77777777" w:rsidTr="6345BE48">
        <w:trPr>
          <w:trHeight w:val="230"/>
        </w:trPr>
        <w:tc>
          <w:tcPr>
            <w:tcW w:w="2667" w:type="dxa"/>
          </w:tcPr>
          <w:p w14:paraId="55A19F15" w14:textId="77777777" w:rsidR="00282493" w:rsidRPr="00D052B0" w:rsidRDefault="6345BE48" w:rsidP="6345BE48">
            <w:pPr>
              <w:pStyle w:val="TableParagraph"/>
              <w:spacing w:line="210" w:lineRule="exact"/>
              <w:ind w:left="472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107.294.118,00 HRK</w:t>
            </w:r>
          </w:p>
        </w:tc>
        <w:tc>
          <w:tcPr>
            <w:tcW w:w="2998" w:type="dxa"/>
          </w:tcPr>
          <w:p w14:paraId="40DCA7FA" w14:textId="77777777" w:rsidR="00282493" w:rsidRPr="00D052B0" w:rsidRDefault="6345BE48" w:rsidP="6345BE48">
            <w:pPr>
              <w:pStyle w:val="TableParagraph"/>
              <w:spacing w:line="210" w:lineRule="exact"/>
              <w:ind w:left="813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150.000,00 HRK</w:t>
            </w:r>
          </w:p>
        </w:tc>
        <w:tc>
          <w:tcPr>
            <w:tcW w:w="3289" w:type="dxa"/>
          </w:tcPr>
          <w:p w14:paraId="17F6EE99" w14:textId="77777777" w:rsidR="00282493" w:rsidRPr="00D052B0" w:rsidRDefault="6345BE48" w:rsidP="6345BE48">
            <w:pPr>
              <w:pStyle w:val="TableParagraph"/>
              <w:spacing w:line="210" w:lineRule="exact"/>
              <w:ind w:left="885"/>
              <w:rPr>
                <w:sz w:val="20"/>
                <w:szCs w:val="20"/>
              </w:rPr>
            </w:pPr>
            <w:r w:rsidRPr="6345BE48">
              <w:rPr>
                <w:sz w:val="20"/>
                <w:szCs w:val="20"/>
              </w:rPr>
              <w:t>9.000.000,00 HRK</w:t>
            </w:r>
          </w:p>
        </w:tc>
      </w:tr>
    </w:tbl>
    <w:p w14:paraId="2777FEE5" w14:textId="77777777" w:rsidR="00282493" w:rsidRDefault="00282493">
      <w:pPr>
        <w:pStyle w:val="BodyText"/>
      </w:pPr>
    </w:p>
    <w:p w14:paraId="3FF2601B" w14:textId="362D1C8A" w:rsidR="00282493" w:rsidRDefault="6345BE48">
      <w:pPr>
        <w:pStyle w:val="BodyText"/>
        <w:ind w:left="116"/>
      </w:pPr>
      <w:r>
        <w:t>MRRFEU (UT) zadržava pravo ne dodijeliti sva raspoloživa sredstva u okviru ovog Poziva.</w:t>
      </w:r>
    </w:p>
    <w:p w14:paraId="7BAC9FE3" w14:textId="77777777" w:rsidR="00D052B0" w:rsidRDefault="00D052B0">
      <w:pPr>
        <w:pStyle w:val="BodyText"/>
        <w:ind w:left="116"/>
      </w:pPr>
    </w:p>
    <w:p w14:paraId="649160E2" w14:textId="77777777" w:rsidR="00282493" w:rsidRPr="00D052B0" w:rsidRDefault="00282493" w:rsidP="00D052B0">
      <w:pPr>
        <w:pStyle w:val="BodyText"/>
        <w:spacing w:before="1"/>
        <w:rPr>
          <w:sz w:val="24"/>
          <w:szCs w:val="24"/>
        </w:rPr>
      </w:pPr>
    </w:p>
    <w:p w14:paraId="4F834799" w14:textId="77777777" w:rsidR="00282493" w:rsidRDefault="6345BE48">
      <w:pPr>
        <w:pStyle w:val="Heading2"/>
        <w:numPr>
          <w:ilvl w:val="0"/>
          <w:numId w:val="6"/>
        </w:numPr>
        <w:tabs>
          <w:tab w:val="left" w:pos="837"/>
        </w:tabs>
        <w:spacing w:before="1" w:line="253" w:lineRule="exact"/>
      </w:pPr>
      <w:r>
        <w:t>Predviđeni intenzitet dodjele bespovratnih sredstava</w:t>
      </w:r>
    </w:p>
    <w:p w14:paraId="2A7D2D42" w14:textId="77777777" w:rsidR="00282493" w:rsidRDefault="6345BE48">
      <w:pPr>
        <w:pStyle w:val="BodyText"/>
        <w:ind w:left="116"/>
      </w:pPr>
      <w:r>
        <w:t>Projekt se može financirati u iznosu do 100% prihvatljivih izdataka,</w:t>
      </w:r>
      <w:r w:rsidRPr="6345BE48">
        <w:rPr>
          <w:u w:val="single"/>
        </w:rPr>
        <w:t xml:space="preserve"> do maksimalnog iznosa utvrđenog</w:t>
      </w:r>
    </w:p>
    <w:p w14:paraId="29E10329" w14:textId="77777777" w:rsidR="00282493" w:rsidRDefault="00C44921" w:rsidP="00D052B0">
      <w:pPr>
        <w:pStyle w:val="BodyText"/>
        <w:spacing w:before="1"/>
        <w:ind w:left="116"/>
      </w:pPr>
      <w:r>
        <w:rPr>
          <w:spacing w:val="-56"/>
          <w:u w:val="single"/>
        </w:rPr>
        <w:t xml:space="preserve"> </w:t>
      </w:r>
      <w:r>
        <w:rPr>
          <w:u w:val="single"/>
        </w:rPr>
        <w:t>u prethodnoj točki 2. ovog Sažetka.</w:t>
      </w:r>
    </w:p>
    <w:p w14:paraId="5CD7826B" w14:textId="77777777" w:rsidR="00282493" w:rsidRDefault="00282493">
      <w:pPr>
        <w:sectPr w:rsidR="00282493">
          <w:footerReference w:type="default" r:id="rId11"/>
          <w:type w:val="continuous"/>
          <w:pgSz w:w="11910" w:h="16840"/>
          <w:pgMar w:top="840" w:right="1300" w:bottom="1180" w:left="1300" w:header="720" w:footer="994" w:gutter="0"/>
          <w:pgNumType w:start="1"/>
          <w:cols w:space="720"/>
        </w:sectPr>
      </w:pPr>
    </w:p>
    <w:p w14:paraId="117BFA08" w14:textId="6357C3D1" w:rsidR="00282493" w:rsidRDefault="00C44921" w:rsidP="00D052B0">
      <w:pPr>
        <w:pStyle w:val="BodyText"/>
        <w:spacing w:before="76" w:line="237" w:lineRule="auto"/>
        <w:ind w:left="116" w:right="112"/>
        <w:jc w:val="both"/>
      </w:pPr>
      <w:r>
        <w:lastRenderedPageBreak/>
        <w:t>U slučaju kada je iznos ukupnih prihvatljivih izdataka projekta veći od maksimalnog iznosa bespovratnih sredstava prijavitelj (korisnik)</w:t>
      </w:r>
      <w:r w:rsidRPr="00D052B0">
        <w:rPr>
          <w:position w:val="8"/>
          <w:sz w:val="14"/>
          <w:szCs w:val="14"/>
        </w:rPr>
        <w:t xml:space="preserve">1 </w:t>
      </w:r>
      <w:r>
        <w:t>je dužan iz vlastitih i/ili drugih izvora osigurati sredstva za financiranje razlike između iznosa ukupnih prihvatljivih izdataka projekta te maksimalnog iznosa bespovratnih sredstava koji mogu biti dodijeljeni za financiranje prihvatljivih izdataka u okviru ovog Poziva.</w:t>
      </w:r>
    </w:p>
    <w:p w14:paraId="092DB646" w14:textId="77777777" w:rsidR="00282493" w:rsidRDefault="6345BE48">
      <w:pPr>
        <w:pStyle w:val="BodyText"/>
        <w:spacing w:line="276" w:lineRule="auto"/>
        <w:ind w:left="116" w:right="120"/>
        <w:jc w:val="both"/>
      </w:pPr>
      <w:r>
        <w:t>Prijavitelj (korisnik) je također dužan iz vlastitih sredstva ili vanjskim financiranjem (npr. kreditom), osigurati financiranje ukupnih neprihvatljivih izdataka projekta.</w:t>
      </w:r>
    </w:p>
    <w:p w14:paraId="005E74ED" w14:textId="77777777" w:rsidR="00282493" w:rsidRPr="00D052B0" w:rsidRDefault="00282493" w:rsidP="00D052B0">
      <w:pPr>
        <w:pStyle w:val="BodyText"/>
        <w:spacing w:before="7"/>
        <w:rPr>
          <w:sz w:val="24"/>
          <w:szCs w:val="24"/>
        </w:rPr>
      </w:pPr>
    </w:p>
    <w:p w14:paraId="089762ED" w14:textId="017E3A69" w:rsidR="00282493" w:rsidRDefault="6345BE48" w:rsidP="00D052B0">
      <w:pPr>
        <w:pStyle w:val="Heading2"/>
        <w:numPr>
          <w:ilvl w:val="0"/>
          <w:numId w:val="6"/>
        </w:numPr>
      </w:pPr>
      <w:r>
        <w:t>Prihvatljivi prijavitelji i</w:t>
      </w:r>
      <w:r>
        <w:rPr>
          <w:b w:val="0"/>
          <w:bCs w:val="0"/>
        </w:rPr>
        <w:t xml:space="preserve"> </w:t>
      </w:r>
      <w:r>
        <w:t>partneri</w:t>
      </w:r>
    </w:p>
    <w:p w14:paraId="76CF38FA" w14:textId="0BDA99B3" w:rsidR="00282493" w:rsidRPr="00D052B0" w:rsidRDefault="6345BE48" w:rsidP="6345BE48">
      <w:pPr>
        <w:spacing w:before="1"/>
        <w:ind w:left="116" w:right="114"/>
        <w:jc w:val="both"/>
        <w:rPr>
          <w:sz w:val="25"/>
          <w:szCs w:val="25"/>
        </w:rPr>
      </w:pPr>
      <w:r>
        <w:t xml:space="preserve">Poziv na dostavu projektnih prijedloga upućuje se unaprijed određenim prijaviteljima. Prihvatljivi prijavitelji u okviru ovog Poziva su institucije definirane u </w:t>
      </w:r>
      <w:r w:rsidRPr="6345BE48">
        <w:rPr>
          <w:i/>
          <w:iCs/>
        </w:rPr>
        <w:t xml:space="preserve">Operativnom planu deinstitucionalizacije i transformacije domova socijalne skrbi i drugih pravnih osoba koje obavljaju djelatnost socijalne skrbi u Republici Hrvatskoj 2014. - 2016. </w:t>
      </w:r>
      <w:r>
        <w:t>i to kako slijedi:</w:t>
      </w:r>
    </w:p>
    <w:p w14:paraId="2BE8512B" w14:textId="77777777" w:rsidR="00282493" w:rsidRDefault="00C44921">
      <w:pPr>
        <w:pStyle w:val="BodyText"/>
        <w:spacing w:after="19" w:line="199" w:lineRule="auto"/>
        <w:ind w:left="836" w:right="117" w:hanging="360"/>
        <w:jc w:val="both"/>
      </w:pPr>
      <w:r>
        <w:rPr>
          <w:rFonts w:ascii="Lucida Sans Unicode"/>
        </w:rPr>
        <w:t xml:space="preserve">- </w:t>
      </w:r>
      <w:r>
        <w:t xml:space="preserve">18 domova socijalne skrbi Republike Hrvatske </w:t>
      </w:r>
      <w:r w:rsidRPr="00D052B0">
        <w:rPr>
          <w:position w:val="8"/>
          <w:sz w:val="14"/>
          <w:szCs w:val="14"/>
        </w:rPr>
        <w:t xml:space="preserve">2 </w:t>
      </w:r>
      <w:r>
        <w:t>(9 domova za invalide i 9 domova  za  mentalno</w:t>
      </w:r>
      <w:r w:rsidRPr="00D052B0">
        <w:t xml:space="preserve"> </w:t>
      </w:r>
      <w:r>
        <w:t>oboljele):</w:t>
      </w:r>
    </w:p>
    <w:tbl>
      <w:tblPr>
        <w:tblW w:w="0" w:type="auto"/>
        <w:tblInd w:w="1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5625"/>
      </w:tblGrid>
      <w:tr w:rsidR="00282493" w14:paraId="0AC3EC37" w14:textId="77777777" w:rsidTr="6345BE48">
        <w:trPr>
          <w:trHeight w:val="248"/>
        </w:trPr>
        <w:tc>
          <w:tcPr>
            <w:tcW w:w="602" w:type="dxa"/>
          </w:tcPr>
          <w:p w14:paraId="5DEC93B5" w14:textId="77777777" w:rsidR="00282493" w:rsidRPr="00D052B0" w:rsidRDefault="6345BE48" w:rsidP="6345BE48">
            <w:pPr>
              <w:pStyle w:val="TableParagraph"/>
              <w:spacing w:line="228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1.</w:t>
            </w:r>
          </w:p>
        </w:tc>
        <w:tc>
          <w:tcPr>
            <w:tcW w:w="5625" w:type="dxa"/>
          </w:tcPr>
          <w:p w14:paraId="53154405" w14:textId="77777777" w:rsidR="00282493" w:rsidRDefault="6345BE48">
            <w:pPr>
              <w:pStyle w:val="TableParagraph"/>
              <w:spacing w:line="228" w:lineRule="exact"/>
              <w:ind w:left="126"/>
            </w:pPr>
            <w:r>
              <w:t>Dom za odrasle osobe Bjelovar</w:t>
            </w:r>
          </w:p>
        </w:tc>
      </w:tr>
      <w:tr w:rsidR="00282493" w14:paraId="05E70293" w14:textId="77777777" w:rsidTr="6345BE48">
        <w:trPr>
          <w:trHeight w:val="270"/>
        </w:trPr>
        <w:tc>
          <w:tcPr>
            <w:tcW w:w="602" w:type="dxa"/>
          </w:tcPr>
          <w:p w14:paraId="3729293C" w14:textId="77777777" w:rsidR="00282493" w:rsidRPr="00D052B0" w:rsidRDefault="6345BE48" w:rsidP="6345BE48">
            <w:pPr>
              <w:pStyle w:val="TableParagraph"/>
              <w:spacing w:line="248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2.</w:t>
            </w:r>
          </w:p>
        </w:tc>
        <w:tc>
          <w:tcPr>
            <w:tcW w:w="5625" w:type="dxa"/>
          </w:tcPr>
          <w:p w14:paraId="2A622ED6" w14:textId="77777777" w:rsidR="00282493" w:rsidRDefault="6345BE48">
            <w:pPr>
              <w:pStyle w:val="TableParagraph"/>
              <w:spacing w:before="7" w:line="243" w:lineRule="exact"/>
              <w:ind w:left="126"/>
            </w:pPr>
            <w:r>
              <w:t>Dom za odrasle osobe Blato, Korčula</w:t>
            </w:r>
          </w:p>
        </w:tc>
      </w:tr>
      <w:tr w:rsidR="00282493" w14:paraId="0CEF2871" w14:textId="77777777" w:rsidTr="6345BE48">
        <w:trPr>
          <w:trHeight w:val="266"/>
        </w:trPr>
        <w:tc>
          <w:tcPr>
            <w:tcW w:w="602" w:type="dxa"/>
          </w:tcPr>
          <w:p w14:paraId="403F580F" w14:textId="77777777" w:rsidR="00282493" w:rsidRPr="00D052B0" w:rsidRDefault="6345BE48" w:rsidP="6345BE48">
            <w:pPr>
              <w:pStyle w:val="TableParagraph"/>
              <w:spacing w:before="1" w:line="245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3.</w:t>
            </w:r>
          </w:p>
        </w:tc>
        <w:tc>
          <w:tcPr>
            <w:tcW w:w="5625" w:type="dxa"/>
          </w:tcPr>
          <w:p w14:paraId="1C478DEE" w14:textId="77777777" w:rsidR="00282493" w:rsidRDefault="6345BE48">
            <w:pPr>
              <w:pStyle w:val="TableParagraph"/>
              <w:spacing w:before="6" w:line="240" w:lineRule="exact"/>
              <w:ind w:left="126"/>
            </w:pPr>
            <w:r>
              <w:t>Centar za rehabilitaciju Pula</w:t>
            </w:r>
          </w:p>
        </w:tc>
      </w:tr>
      <w:tr w:rsidR="00282493" w14:paraId="4D6C6DE6" w14:textId="77777777" w:rsidTr="6345BE48">
        <w:trPr>
          <w:trHeight w:val="267"/>
        </w:trPr>
        <w:tc>
          <w:tcPr>
            <w:tcW w:w="602" w:type="dxa"/>
          </w:tcPr>
          <w:p w14:paraId="7C249AC7" w14:textId="77777777" w:rsidR="00282493" w:rsidRPr="00D052B0" w:rsidRDefault="6345BE48" w:rsidP="6345BE48">
            <w:pPr>
              <w:pStyle w:val="TableParagraph"/>
              <w:spacing w:line="248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4.</w:t>
            </w:r>
          </w:p>
        </w:tc>
        <w:tc>
          <w:tcPr>
            <w:tcW w:w="5625" w:type="dxa"/>
          </w:tcPr>
          <w:p w14:paraId="36388BF3" w14:textId="77777777" w:rsidR="00282493" w:rsidRDefault="6345BE48">
            <w:pPr>
              <w:pStyle w:val="TableParagraph"/>
              <w:spacing w:before="6" w:line="242" w:lineRule="exact"/>
              <w:ind w:left="126"/>
            </w:pPr>
            <w:r>
              <w:t>Dom za odrasle osobe „Vila Maria“, Pula</w:t>
            </w:r>
          </w:p>
        </w:tc>
      </w:tr>
      <w:tr w:rsidR="00282493" w14:paraId="774845EA" w14:textId="77777777" w:rsidTr="6345BE48">
        <w:trPr>
          <w:trHeight w:val="256"/>
        </w:trPr>
        <w:tc>
          <w:tcPr>
            <w:tcW w:w="602" w:type="dxa"/>
          </w:tcPr>
          <w:p w14:paraId="28F518AE" w14:textId="77777777" w:rsidR="00282493" w:rsidRPr="00D052B0" w:rsidRDefault="6345BE48" w:rsidP="6345BE48">
            <w:pPr>
              <w:pStyle w:val="TableParagraph"/>
              <w:spacing w:line="237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5.</w:t>
            </w:r>
          </w:p>
        </w:tc>
        <w:tc>
          <w:tcPr>
            <w:tcW w:w="5625" w:type="dxa"/>
          </w:tcPr>
          <w:p w14:paraId="0C5B38AC" w14:textId="77777777" w:rsidR="00282493" w:rsidRDefault="6345BE48">
            <w:pPr>
              <w:pStyle w:val="TableParagraph"/>
              <w:spacing w:line="237" w:lineRule="exact"/>
              <w:ind w:left="126"/>
            </w:pPr>
            <w:r>
              <w:t>Centar za pružanje usluga u zajednici Ozalj</w:t>
            </w:r>
          </w:p>
        </w:tc>
      </w:tr>
      <w:tr w:rsidR="00282493" w14:paraId="438504F6" w14:textId="77777777" w:rsidTr="6345BE48">
        <w:trPr>
          <w:trHeight w:val="276"/>
        </w:trPr>
        <w:tc>
          <w:tcPr>
            <w:tcW w:w="602" w:type="dxa"/>
          </w:tcPr>
          <w:p w14:paraId="50764220" w14:textId="77777777" w:rsidR="00282493" w:rsidRPr="00D052B0" w:rsidRDefault="6345BE48" w:rsidP="6345BE48">
            <w:pPr>
              <w:pStyle w:val="TableParagraph"/>
              <w:spacing w:line="248" w:lineRule="exact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6.</w:t>
            </w:r>
          </w:p>
        </w:tc>
        <w:tc>
          <w:tcPr>
            <w:tcW w:w="5625" w:type="dxa"/>
          </w:tcPr>
          <w:p w14:paraId="05241D35" w14:textId="77777777" w:rsidR="00282493" w:rsidRDefault="6345BE48">
            <w:pPr>
              <w:pStyle w:val="TableParagraph"/>
              <w:spacing w:before="12" w:line="244" w:lineRule="exact"/>
              <w:ind w:left="126"/>
            </w:pPr>
            <w:r>
              <w:t>Dom za odrasle osobe „Bidružica“- Desinić</w:t>
            </w:r>
          </w:p>
        </w:tc>
      </w:tr>
      <w:tr w:rsidR="00282493" w14:paraId="624805D2" w14:textId="77777777" w:rsidTr="6345BE48">
        <w:trPr>
          <w:trHeight w:val="283"/>
        </w:trPr>
        <w:tc>
          <w:tcPr>
            <w:tcW w:w="602" w:type="dxa"/>
          </w:tcPr>
          <w:p w14:paraId="5BD4915B" w14:textId="77777777" w:rsidR="00282493" w:rsidRPr="00D052B0" w:rsidRDefault="6345BE48" w:rsidP="6345BE48">
            <w:pPr>
              <w:pStyle w:val="TableParagraph"/>
              <w:spacing w:before="2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7.</w:t>
            </w:r>
          </w:p>
        </w:tc>
        <w:tc>
          <w:tcPr>
            <w:tcW w:w="5625" w:type="dxa"/>
          </w:tcPr>
          <w:p w14:paraId="5F98FEBE" w14:textId="77777777" w:rsidR="00282493" w:rsidRDefault="6345BE48">
            <w:pPr>
              <w:pStyle w:val="TableParagraph"/>
              <w:spacing w:before="19" w:line="244" w:lineRule="exact"/>
              <w:ind w:left="126"/>
            </w:pPr>
            <w:r>
              <w:t>Centar za pružanje usluga u zajednici „JA kao i TI“ - Osijek</w:t>
            </w:r>
          </w:p>
        </w:tc>
      </w:tr>
      <w:tr w:rsidR="00282493" w14:paraId="0D6135A7" w14:textId="77777777" w:rsidTr="6345BE48">
        <w:trPr>
          <w:trHeight w:val="283"/>
        </w:trPr>
        <w:tc>
          <w:tcPr>
            <w:tcW w:w="602" w:type="dxa"/>
          </w:tcPr>
          <w:p w14:paraId="16DF11FB" w14:textId="77777777" w:rsidR="00282493" w:rsidRPr="00D052B0" w:rsidRDefault="6345BE48" w:rsidP="6345BE48">
            <w:pPr>
              <w:pStyle w:val="TableParagraph"/>
              <w:spacing w:before="2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8.</w:t>
            </w:r>
          </w:p>
        </w:tc>
        <w:tc>
          <w:tcPr>
            <w:tcW w:w="5625" w:type="dxa"/>
          </w:tcPr>
          <w:p w14:paraId="4A823711" w14:textId="77777777" w:rsidR="00282493" w:rsidRDefault="6345BE48">
            <w:pPr>
              <w:pStyle w:val="TableParagraph"/>
              <w:spacing w:before="19" w:line="244" w:lineRule="exact"/>
              <w:ind w:left="126"/>
            </w:pPr>
            <w:r>
              <w:t>Dom za odrasle osobe „Ljeskovica“</w:t>
            </w:r>
          </w:p>
        </w:tc>
      </w:tr>
      <w:tr w:rsidR="00282493" w14:paraId="403AFC4F" w14:textId="77777777" w:rsidTr="6345BE48">
        <w:trPr>
          <w:trHeight w:val="277"/>
        </w:trPr>
        <w:tc>
          <w:tcPr>
            <w:tcW w:w="602" w:type="dxa"/>
          </w:tcPr>
          <w:p w14:paraId="4F7EB959" w14:textId="77777777" w:rsidR="00282493" w:rsidRPr="00D052B0" w:rsidRDefault="6345BE48" w:rsidP="6345BE48">
            <w:pPr>
              <w:pStyle w:val="TableParagraph"/>
              <w:spacing w:before="2"/>
              <w:ind w:right="179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9.</w:t>
            </w:r>
          </w:p>
        </w:tc>
        <w:tc>
          <w:tcPr>
            <w:tcW w:w="5625" w:type="dxa"/>
          </w:tcPr>
          <w:p w14:paraId="39FBF4BE" w14:textId="77777777" w:rsidR="00282493" w:rsidRDefault="6345BE48">
            <w:pPr>
              <w:pStyle w:val="TableParagraph"/>
              <w:spacing w:before="14" w:line="243" w:lineRule="exact"/>
              <w:ind w:left="126"/>
            </w:pPr>
            <w:r>
              <w:t>Centar za rehabilitaciju Rijeka</w:t>
            </w:r>
          </w:p>
        </w:tc>
      </w:tr>
      <w:tr w:rsidR="00282493" w14:paraId="41926F06" w14:textId="77777777" w:rsidTr="6345BE48">
        <w:trPr>
          <w:trHeight w:val="266"/>
        </w:trPr>
        <w:tc>
          <w:tcPr>
            <w:tcW w:w="602" w:type="dxa"/>
          </w:tcPr>
          <w:p w14:paraId="55A5F663" w14:textId="77777777" w:rsidR="00282493" w:rsidRPr="00D052B0" w:rsidRDefault="6345BE48" w:rsidP="6345BE48">
            <w:pPr>
              <w:pStyle w:val="TableParagraph"/>
              <w:spacing w:before="1" w:line="245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10.</w:t>
            </w:r>
          </w:p>
        </w:tc>
        <w:tc>
          <w:tcPr>
            <w:tcW w:w="5625" w:type="dxa"/>
          </w:tcPr>
          <w:p w14:paraId="21B96E3D" w14:textId="77777777" w:rsidR="00282493" w:rsidRDefault="6345BE48">
            <w:pPr>
              <w:pStyle w:val="TableParagraph"/>
              <w:spacing w:before="6" w:line="240" w:lineRule="exact"/>
              <w:ind w:left="126"/>
            </w:pPr>
            <w:r>
              <w:t>Dom za odrasle osobe „Turnić“ Rijeka</w:t>
            </w:r>
          </w:p>
        </w:tc>
      </w:tr>
      <w:tr w:rsidR="00282493" w14:paraId="356505C5" w14:textId="77777777" w:rsidTr="6345BE48">
        <w:trPr>
          <w:trHeight w:val="278"/>
        </w:trPr>
        <w:tc>
          <w:tcPr>
            <w:tcW w:w="602" w:type="dxa"/>
          </w:tcPr>
          <w:p w14:paraId="32DC0326" w14:textId="77777777" w:rsidR="00282493" w:rsidRPr="00D052B0" w:rsidRDefault="6345BE48" w:rsidP="6345BE48">
            <w:pPr>
              <w:pStyle w:val="TableParagraph"/>
              <w:spacing w:line="252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11.</w:t>
            </w:r>
          </w:p>
        </w:tc>
        <w:tc>
          <w:tcPr>
            <w:tcW w:w="5625" w:type="dxa"/>
          </w:tcPr>
          <w:p w14:paraId="797D294B" w14:textId="77777777" w:rsidR="00282493" w:rsidRDefault="6345BE48">
            <w:pPr>
              <w:pStyle w:val="TableParagraph"/>
              <w:spacing w:before="13" w:line="245" w:lineRule="exact"/>
              <w:ind w:left="126"/>
            </w:pPr>
            <w:r>
              <w:t>Centar za odgoj i obrazovanje „Juraj Bonači“ – Split</w:t>
            </w:r>
          </w:p>
        </w:tc>
      </w:tr>
      <w:tr w:rsidR="00282493" w14:paraId="63699C52" w14:textId="77777777" w:rsidTr="6345BE48">
        <w:trPr>
          <w:trHeight w:val="276"/>
        </w:trPr>
        <w:tc>
          <w:tcPr>
            <w:tcW w:w="602" w:type="dxa"/>
          </w:tcPr>
          <w:p w14:paraId="4ADDB2DE" w14:textId="77777777" w:rsidR="00282493" w:rsidRPr="00D052B0" w:rsidRDefault="6345BE48" w:rsidP="6345BE48">
            <w:pPr>
              <w:pStyle w:val="TableParagraph"/>
              <w:spacing w:before="3" w:line="252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12.</w:t>
            </w:r>
          </w:p>
        </w:tc>
        <w:tc>
          <w:tcPr>
            <w:tcW w:w="5625" w:type="dxa"/>
          </w:tcPr>
          <w:p w14:paraId="62F01444" w14:textId="77777777" w:rsidR="00282493" w:rsidRDefault="6345BE48">
            <w:pPr>
              <w:pStyle w:val="TableParagraph"/>
              <w:spacing w:before="13" w:line="243" w:lineRule="exact"/>
              <w:ind w:left="126"/>
            </w:pPr>
            <w:r>
              <w:t>Centar za rehabilitaciju „Fra Ante Sekelez“ Vrlika</w:t>
            </w:r>
          </w:p>
        </w:tc>
      </w:tr>
      <w:tr w:rsidR="00282493" w14:paraId="44E1AA93" w14:textId="77777777" w:rsidTr="6345BE48">
        <w:trPr>
          <w:trHeight w:val="280"/>
        </w:trPr>
        <w:tc>
          <w:tcPr>
            <w:tcW w:w="602" w:type="dxa"/>
          </w:tcPr>
          <w:p w14:paraId="2190FC52" w14:textId="77777777" w:rsidR="00282493" w:rsidRPr="00D052B0" w:rsidRDefault="6345BE48" w:rsidP="6345BE48">
            <w:pPr>
              <w:pStyle w:val="TableParagraph"/>
              <w:spacing w:before="1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13.</w:t>
            </w:r>
          </w:p>
        </w:tc>
        <w:tc>
          <w:tcPr>
            <w:tcW w:w="5625" w:type="dxa"/>
          </w:tcPr>
          <w:p w14:paraId="08C936DF" w14:textId="77777777" w:rsidR="00282493" w:rsidRDefault="6345BE48">
            <w:pPr>
              <w:pStyle w:val="TableParagraph"/>
              <w:spacing w:before="15" w:line="245" w:lineRule="exact"/>
              <w:ind w:left="126"/>
            </w:pPr>
            <w:r>
              <w:t>Centar za rehabilitaciju „Mir“, Kaštel Novi – Rudine</w:t>
            </w:r>
          </w:p>
        </w:tc>
      </w:tr>
      <w:tr w:rsidR="00282493" w14:paraId="15E48AED" w14:textId="77777777" w:rsidTr="6345BE48">
        <w:trPr>
          <w:trHeight w:val="283"/>
        </w:trPr>
        <w:tc>
          <w:tcPr>
            <w:tcW w:w="602" w:type="dxa"/>
          </w:tcPr>
          <w:p w14:paraId="57A23871" w14:textId="77777777" w:rsidR="00282493" w:rsidRPr="00D052B0" w:rsidRDefault="6345BE48" w:rsidP="6345BE48">
            <w:pPr>
              <w:pStyle w:val="TableParagraph"/>
              <w:spacing w:before="3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14.</w:t>
            </w:r>
          </w:p>
        </w:tc>
        <w:tc>
          <w:tcPr>
            <w:tcW w:w="5625" w:type="dxa"/>
          </w:tcPr>
          <w:p w14:paraId="0F43EF8A" w14:textId="77777777" w:rsidR="00282493" w:rsidRDefault="6345BE48">
            <w:pPr>
              <w:pStyle w:val="TableParagraph"/>
              <w:spacing w:before="18" w:line="245" w:lineRule="exact"/>
              <w:ind w:left="126"/>
            </w:pPr>
            <w:r>
              <w:t>Dom za odrasle osobe „Trogir“</w:t>
            </w:r>
          </w:p>
        </w:tc>
      </w:tr>
      <w:tr w:rsidR="00282493" w14:paraId="0E359F54" w14:textId="77777777" w:rsidTr="6345BE48">
        <w:trPr>
          <w:trHeight w:val="283"/>
        </w:trPr>
        <w:tc>
          <w:tcPr>
            <w:tcW w:w="602" w:type="dxa"/>
          </w:tcPr>
          <w:p w14:paraId="5C749542" w14:textId="77777777" w:rsidR="00282493" w:rsidRPr="00D052B0" w:rsidRDefault="6345BE48" w:rsidP="6345BE48">
            <w:pPr>
              <w:pStyle w:val="TableParagraph"/>
              <w:spacing w:before="3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15.</w:t>
            </w:r>
          </w:p>
        </w:tc>
        <w:tc>
          <w:tcPr>
            <w:tcW w:w="5625" w:type="dxa"/>
          </w:tcPr>
          <w:p w14:paraId="60B2E7A3" w14:textId="77777777" w:rsidR="00282493" w:rsidRDefault="6345BE48">
            <w:pPr>
              <w:pStyle w:val="TableParagraph"/>
              <w:spacing w:before="18" w:line="245" w:lineRule="exact"/>
              <w:ind w:left="126"/>
            </w:pPr>
            <w:r>
              <w:t>Centar za rehabilitaciju „Mala Terezija“ – Vinkovci</w:t>
            </w:r>
          </w:p>
        </w:tc>
      </w:tr>
      <w:tr w:rsidR="00282493" w14:paraId="78B84E2F" w14:textId="77777777" w:rsidTr="6345BE48">
        <w:trPr>
          <w:trHeight w:val="260"/>
        </w:trPr>
        <w:tc>
          <w:tcPr>
            <w:tcW w:w="602" w:type="dxa"/>
          </w:tcPr>
          <w:p w14:paraId="1A33B41D" w14:textId="77777777" w:rsidR="00282493" w:rsidRPr="00D052B0" w:rsidRDefault="6345BE48" w:rsidP="6345BE48">
            <w:pPr>
              <w:pStyle w:val="TableParagraph"/>
              <w:spacing w:before="3" w:line="237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16.</w:t>
            </w:r>
          </w:p>
        </w:tc>
        <w:tc>
          <w:tcPr>
            <w:tcW w:w="5625" w:type="dxa"/>
          </w:tcPr>
          <w:p w14:paraId="60389D97" w14:textId="77777777" w:rsidR="00282493" w:rsidRDefault="6345BE48">
            <w:pPr>
              <w:pStyle w:val="TableParagraph"/>
              <w:spacing w:before="3" w:line="237" w:lineRule="exact"/>
              <w:ind w:left="126"/>
            </w:pPr>
            <w:r>
              <w:t>Centar za rehabilitaciju „Stančić“ – Dugo Selo</w:t>
            </w:r>
          </w:p>
        </w:tc>
      </w:tr>
      <w:tr w:rsidR="00282493" w14:paraId="67BF8A64" w14:textId="77777777" w:rsidTr="6345BE48">
        <w:trPr>
          <w:trHeight w:val="260"/>
        </w:trPr>
        <w:tc>
          <w:tcPr>
            <w:tcW w:w="602" w:type="dxa"/>
          </w:tcPr>
          <w:p w14:paraId="3CD96FF6" w14:textId="77777777" w:rsidR="00282493" w:rsidRPr="00D052B0" w:rsidRDefault="6345BE48" w:rsidP="6345BE48">
            <w:pPr>
              <w:pStyle w:val="TableParagraph"/>
              <w:spacing w:line="240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17.</w:t>
            </w:r>
          </w:p>
        </w:tc>
        <w:tc>
          <w:tcPr>
            <w:tcW w:w="5625" w:type="dxa"/>
          </w:tcPr>
          <w:p w14:paraId="7F07C9CC" w14:textId="77777777" w:rsidR="00282493" w:rsidRDefault="6345BE48">
            <w:pPr>
              <w:pStyle w:val="TableParagraph"/>
              <w:spacing w:line="240" w:lineRule="exact"/>
              <w:ind w:left="126"/>
            </w:pPr>
            <w:r>
              <w:t>Centar za rehabilitaciju Zagreb</w:t>
            </w:r>
          </w:p>
        </w:tc>
      </w:tr>
      <w:tr w:rsidR="00282493" w14:paraId="037345B8" w14:textId="77777777" w:rsidTr="6345BE48">
        <w:trPr>
          <w:trHeight w:val="268"/>
        </w:trPr>
        <w:tc>
          <w:tcPr>
            <w:tcW w:w="602" w:type="dxa"/>
          </w:tcPr>
          <w:p w14:paraId="420DEEF5" w14:textId="77777777" w:rsidR="00282493" w:rsidRPr="00D052B0" w:rsidRDefault="6345BE48" w:rsidP="6345BE48">
            <w:pPr>
              <w:pStyle w:val="TableParagraph"/>
              <w:spacing w:line="249" w:lineRule="exact"/>
              <w:ind w:right="125"/>
              <w:jc w:val="right"/>
              <w:rPr>
                <w:b/>
                <w:bCs/>
              </w:rPr>
            </w:pPr>
            <w:r w:rsidRPr="6345BE48">
              <w:rPr>
                <w:b/>
                <w:bCs/>
              </w:rPr>
              <w:t>18.</w:t>
            </w:r>
          </w:p>
        </w:tc>
        <w:tc>
          <w:tcPr>
            <w:tcW w:w="5625" w:type="dxa"/>
          </w:tcPr>
          <w:p w14:paraId="1AFAA79F" w14:textId="5176B56A" w:rsidR="00282493" w:rsidRDefault="6345BE48">
            <w:pPr>
              <w:pStyle w:val="TableParagraph"/>
              <w:spacing w:before="15" w:line="233" w:lineRule="exact"/>
              <w:ind w:left="126"/>
            </w:pPr>
            <w:r>
              <w:t>Dom za odrasle osobe Zagreb.</w:t>
            </w:r>
          </w:p>
        </w:tc>
      </w:tr>
    </w:tbl>
    <w:p w14:paraId="4C4F526C" w14:textId="77777777" w:rsidR="00282493" w:rsidRDefault="00282493">
      <w:pPr>
        <w:pStyle w:val="BodyText"/>
        <w:spacing w:before="3"/>
        <w:rPr>
          <w:sz w:val="23"/>
        </w:rPr>
      </w:pPr>
    </w:p>
    <w:p w14:paraId="7D62B68F" w14:textId="77777777" w:rsidR="00282493" w:rsidRDefault="6345BE48">
      <w:pPr>
        <w:pStyle w:val="BodyText"/>
        <w:spacing w:line="252" w:lineRule="exact"/>
        <w:ind w:left="116"/>
      </w:pPr>
      <w:r>
        <w:t>Prijavitelji su odabrani na temelju sljedećih kriterija:</w:t>
      </w:r>
    </w:p>
    <w:p w14:paraId="470D81BA" w14:textId="124C4DAF" w:rsidR="00282493" w:rsidRPr="00D052B0" w:rsidRDefault="00C44921" w:rsidP="6345BE48">
      <w:pPr>
        <w:pStyle w:val="ListParagraph"/>
        <w:numPr>
          <w:ilvl w:val="0"/>
          <w:numId w:val="4"/>
        </w:numPr>
        <w:tabs>
          <w:tab w:val="left" w:pos="837"/>
        </w:tabs>
        <w:ind w:right="111"/>
        <w:jc w:val="both"/>
        <w:rPr>
          <w:i/>
          <w:iCs/>
        </w:rPr>
      </w:pPr>
      <w:r>
        <w:t xml:space="preserve">prijavitelj je jedan od 18 domova socijalne skrbi definiranih </w:t>
      </w:r>
      <w:r w:rsidRPr="6345BE48">
        <w:rPr>
          <w:i/>
          <w:iCs/>
        </w:rPr>
        <w:t>Operativnim planom deinstitucionalizacije i transformacije domova socijalne skrbi i drugih pravnih osoba koje obavljaju djelatnost socijalne skrbi u Republici Hrvatskoj 2014. – 2016.</w:t>
      </w:r>
      <w:r w:rsidR="7CD41AB6" w:rsidRPr="6345BE48">
        <w:rPr>
          <w:i/>
          <w:iCs/>
        </w:rPr>
        <w:t>,</w:t>
      </w:r>
      <w:r w:rsidRPr="6345BE48">
        <w:rPr>
          <w:i/>
          <w:iCs/>
        </w:rPr>
        <w:t xml:space="preserve"> </w:t>
      </w:r>
      <w:r w:rsidRPr="00D052B0">
        <w:t>Tablica 5.1.18 domova koji pružaju usluge smještaja za djecu s teškoćama u razvoju i odrasle osobe s invaliditetom (tjelesnim, intelektualnim, osjetilnim i mentalnim</w:t>
      </w:r>
      <w:r w:rsidRPr="6345BE48">
        <w:t xml:space="preserve"> </w:t>
      </w:r>
      <w:r w:rsidRPr="00D052B0">
        <w:t>oštećenjima);</w:t>
      </w:r>
    </w:p>
    <w:p w14:paraId="08930CF4" w14:textId="77777777" w:rsidR="00282493" w:rsidRDefault="6345BE48">
      <w:pPr>
        <w:pStyle w:val="ListParagraph"/>
        <w:numPr>
          <w:ilvl w:val="0"/>
          <w:numId w:val="4"/>
        </w:numPr>
        <w:tabs>
          <w:tab w:val="left" w:pos="837"/>
        </w:tabs>
        <w:ind w:right="122"/>
        <w:jc w:val="both"/>
      </w:pPr>
      <w:r>
        <w:t xml:space="preserve">prijavitelj je javna ustanova osnovana od Republike Hrvatske prema </w:t>
      </w:r>
      <w:r w:rsidRPr="6345BE48">
        <w:rPr>
          <w:i/>
          <w:iCs/>
        </w:rPr>
        <w:t>Zakonu o ustanovama</w:t>
      </w:r>
      <w:r>
        <w:t xml:space="preserve"> (NN 76/93);</w:t>
      </w:r>
    </w:p>
    <w:p w14:paraId="45AC0643" w14:textId="5D6430C2" w:rsidR="00282493" w:rsidRDefault="6345BE48">
      <w:pPr>
        <w:pStyle w:val="ListParagraph"/>
        <w:numPr>
          <w:ilvl w:val="0"/>
          <w:numId w:val="4"/>
        </w:numPr>
        <w:tabs>
          <w:tab w:val="left" w:pos="837"/>
        </w:tabs>
        <w:ind w:right="122"/>
        <w:jc w:val="both"/>
      </w:pPr>
      <w:r>
        <w:t xml:space="preserve">prijavitelj je javna ustanova registrirana za rad u Republici Hrvatskoj prema </w:t>
      </w:r>
      <w:r w:rsidRPr="6345BE48">
        <w:rPr>
          <w:i/>
          <w:iCs/>
        </w:rPr>
        <w:t>Zakonu o ustanovama</w:t>
      </w:r>
      <w:r>
        <w:t xml:space="preserve"> (NN 76/93);</w:t>
      </w:r>
    </w:p>
    <w:p w14:paraId="67AA6FE2" w14:textId="4BF1FF8A" w:rsidR="00282493" w:rsidRPr="00D052B0" w:rsidRDefault="00C44921" w:rsidP="6345BE48">
      <w:pPr>
        <w:pStyle w:val="ListParagraph"/>
        <w:numPr>
          <w:ilvl w:val="0"/>
          <w:numId w:val="4"/>
        </w:numPr>
        <w:tabs>
          <w:tab w:val="left" w:pos="837"/>
        </w:tabs>
        <w:ind w:right="111"/>
        <w:jc w:val="both"/>
        <w:rPr>
          <w:i/>
          <w:iCs/>
        </w:rPr>
      </w:pPr>
      <w:r>
        <w:t xml:space="preserve">prijavitelj u trenutku predaje projekata posjeduje Individualni plan deinstitucionalizacije i transformacije domova za socijalnu skrb koji je definiran </w:t>
      </w:r>
      <w:r w:rsidRPr="6345BE48">
        <w:rPr>
          <w:i/>
          <w:iCs/>
        </w:rPr>
        <w:t>Operativnim</w:t>
      </w:r>
      <w:r w:rsidRPr="6345BE48">
        <w:rPr>
          <w:i/>
          <w:iCs/>
          <w:spacing w:val="47"/>
        </w:rPr>
        <w:t xml:space="preserve"> </w:t>
      </w:r>
      <w:r w:rsidRPr="6345BE48">
        <w:rPr>
          <w:i/>
          <w:iCs/>
        </w:rPr>
        <w:t>planom</w:t>
      </w:r>
    </w:p>
    <w:p w14:paraId="70663A17" w14:textId="77777777" w:rsidR="00282493" w:rsidRDefault="00D625C7" w:rsidP="00D052B0">
      <w:pPr>
        <w:pStyle w:val="BodyText"/>
        <w:spacing w:before="2"/>
        <w:jc w:val="both"/>
        <w:rPr>
          <w:i/>
          <w:sz w:val="26"/>
        </w:rPr>
      </w:pPr>
      <w:r>
        <w:pict w14:anchorId="4B5CB96A">
          <v:line id="_x0000_s1026" style="position:absolute;left:0;text-align:left;z-index:251657728;mso-wrap-distance-left:0;mso-wrap-distance-right:0;mso-position-horizontal-relative:page" from="70.8pt,17.4pt" to="214.85pt,17.4pt" strokeweight=".72pt">
            <w10:wrap type="topAndBottom" anchorx="page"/>
          </v:line>
        </w:pict>
      </w:r>
    </w:p>
    <w:p w14:paraId="6A9961AB" w14:textId="77777777" w:rsidR="00282493" w:rsidRPr="00D052B0" w:rsidRDefault="00C44921" w:rsidP="6345BE48">
      <w:pPr>
        <w:spacing w:before="67" w:line="242" w:lineRule="auto"/>
        <w:ind w:left="116" w:right="470"/>
        <w:jc w:val="both"/>
        <w:rPr>
          <w:sz w:val="18"/>
          <w:szCs w:val="18"/>
        </w:rPr>
      </w:pPr>
      <w:r w:rsidRPr="00D052B0">
        <w:rPr>
          <w:position w:val="6"/>
          <w:sz w:val="12"/>
          <w:szCs w:val="12"/>
        </w:rPr>
        <w:t xml:space="preserve">1 </w:t>
      </w:r>
      <w:r w:rsidRPr="00D052B0">
        <w:rPr>
          <w:sz w:val="18"/>
          <w:szCs w:val="18"/>
        </w:rPr>
        <w:t>Korisnik je uspješan prijavitelj s kojim se potpisuje Ugovor o dodjeli bespovratnih sredstava te je izravno odgovoran za početak, upravljanje, provedbu i rezultate projekta.</w:t>
      </w:r>
    </w:p>
    <w:p w14:paraId="7A8E1FB0" w14:textId="77777777" w:rsidR="00282493" w:rsidRPr="00D052B0" w:rsidRDefault="00C44921" w:rsidP="6345BE48">
      <w:pPr>
        <w:spacing w:line="242" w:lineRule="auto"/>
        <w:ind w:left="116" w:right="116"/>
        <w:jc w:val="both"/>
        <w:rPr>
          <w:sz w:val="18"/>
          <w:szCs w:val="18"/>
        </w:rPr>
      </w:pPr>
      <w:r w:rsidRPr="00D052B0">
        <w:rPr>
          <w:position w:val="7"/>
          <w:sz w:val="13"/>
          <w:szCs w:val="13"/>
        </w:rPr>
        <w:t xml:space="preserve">2 </w:t>
      </w:r>
      <w:r w:rsidRPr="6345BE48">
        <w:rPr>
          <w:i/>
          <w:iCs/>
          <w:sz w:val="18"/>
          <w:szCs w:val="18"/>
        </w:rPr>
        <w:t xml:space="preserve">Operativni plan deinstitucionalizacije i transformacije domova socijalne skrbi i drugih pravnih osoba koje obavljaju djelatnost socijalne skrbi u Republici Hrvatskoj 2014. – 2016. </w:t>
      </w:r>
      <w:r w:rsidRPr="00D052B0">
        <w:rPr>
          <w:sz w:val="18"/>
          <w:szCs w:val="18"/>
        </w:rPr>
        <w:t>Tablica 5.1.18 domova koji pružaju usluge smještaja za djecu s teškoćama u razvoju i odrasle osobe s invaliditetom (tjelesnim, intelektualnim, osjetilnim i mentalnim oštećenjima)</w:t>
      </w:r>
    </w:p>
    <w:p w14:paraId="18076821" w14:textId="77777777" w:rsidR="00282493" w:rsidRDefault="00282493" w:rsidP="00D052B0">
      <w:pPr>
        <w:spacing w:line="242" w:lineRule="auto"/>
        <w:jc w:val="both"/>
        <w:rPr>
          <w:sz w:val="18"/>
        </w:rPr>
        <w:sectPr w:rsidR="00282493">
          <w:pgSz w:w="11910" w:h="16840"/>
          <w:pgMar w:top="760" w:right="1300" w:bottom="1180" w:left="1300" w:header="0" w:footer="994" w:gutter="0"/>
          <w:cols w:space="720"/>
        </w:sectPr>
      </w:pPr>
    </w:p>
    <w:p w14:paraId="494897A1" w14:textId="77777777" w:rsidR="00282493" w:rsidRPr="00D052B0" w:rsidRDefault="6345BE48" w:rsidP="6345BE48">
      <w:pPr>
        <w:spacing w:before="74"/>
        <w:ind w:left="836" w:right="111"/>
        <w:jc w:val="both"/>
        <w:rPr>
          <w:i/>
          <w:iCs/>
        </w:rPr>
      </w:pPr>
      <w:r w:rsidRPr="6345BE48">
        <w:rPr>
          <w:i/>
          <w:iCs/>
        </w:rPr>
        <w:lastRenderedPageBreak/>
        <w:t>deinstitucionalizacije i transformacije domova socijalne skrbi i drugih pravnih osoba koje obavljaju djelatnost socijalne skrbi u Republici Hrvatskoj 2014. - 2016.</w:t>
      </w:r>
    </w:p>
    <w:p w14:paraId="3CBB62A7" w14:textId="77777777" w:rsidR="00282493" w:rsidRDefault="00282493">
      <w:pPr>
        <w:pStyle w:val="BodyText"/>
        <w:rPr>
          <w:i/>
        </w:rPr>
      </w:pPr>
    </w:p>
    <w:p w14:paraId="13DEA998" w14:textId="77777777" w:rsidR="00282493" w:rsidRDefault="6345BE48">
      <w:pPr>
        <w:pStyle w:val="BodyText"/>
        <w:ind w:left="116"/>
      </w:pPr>
      <w:r>
        <w:t>Prijavitelj može prijaviti i provoditi projekt samostalno ili u partnerstvu. Maksimalni broj partnera u okviru jedne projektne prijave je 5.</w:t>
      </w:r>
    </w:p>
    <w:p w14:paraId="5E1765CF" w14:textId="77777777" w:rsidR="00282493" w:rsidRDefault="00282493">
      <w:pPr>
        <w:pStyle w:val="BodyText"/>
        <w:spacing w:before="11"/>
        <w:rPr>
          <w:sz w:val="21"/>
        </w:rPr>
      </w:pPr>
    </w:p>
    <w:p w14:paraId="296B2467" w14:textId="77777777" w:rsidR="00282493" w:rsidRDefault="6345BE48">
      <w:pPr>
        <w:pStyle w:val="Heading2"/>
        <w:ind w:left="116" w:firstLine="0"/>
      </w:pPr>
      <w:r>
        <w:t>Partneri u okviru ovog Poziva mogu biti:</w:t>
      </w:r>
    </w:p>
    <w:p w14:paraId="7EA35A62" w14:textId="77777777" w:rsidR="00282493" w:rsidRDefault="00C4492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</w:pPr>
      <w:r>
        <w:t>drugi domovi socijalne skrbi, centri za pružanje usluga u zajednici, centri za socijalnu</w:t>
      </w:r>
      <w:r w:rsidRPr="6345BE48">
        <w:t xml:space="preserve"> </w:t>
      </w:r>
      <w:r>
        <w:t>skrb;</w:t>
      </w:r>
    </w:p>
    <w:p w14:paraId="2EE545CE" w14:textId="77777777" w:rsidR="00282493" w:rsidRDefault="6345BE48" w:rsidP="008453A2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2"/>
      </w:pPr>
      <w:r>
        <w:t>udruge i vjerske zajednice;</w:t>
      </w:r>
    </w:p>
    <w:p w14:paraId="7C5AE655" w14:textId="77777777" w:rsidR="00282493" w:rsidRDefault="00C4492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</w:pPr>
      <w:r>
        <w:t>javne ustanove (socijalne, obrazovne, zdravstvene, znanstvene, pravosudne)</w:t>
      </w:r>
      <w:r w:rsidRPr="6345BE48">
        <w:t xml:space="preserve"> </w:t>
      </w:r>
      <w:r>
        <w:t>te</w:t>
      </w:r>
    </w:p>
    <w:p w14:paraId="4C637AE5" w14:textId="77777777" w:rsidR="00282493" w:rsidRDefault="00C44921" w:rsidP="008453A2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"/>
      </w:pPr>
      <w:r>
        <w:t>jedinice lokalne i područne (regionalne)</w:t>
      </w:r>
      <w:r w:rsidRPr="6345BE48">
        <w:t xml:space="preserve"> </w:t>
      </w:r>
      <w:r>
        <w:t>samouprave.</w:t>
      </w:r>
    </w:p>
    <w:p w14:paraId="043258EA" w14:textId="77777777" w:rsidR="00282493" w:rsidRPr="008453A2" w:rsidRDefault="00282493">
      <w:pPr>
        <w:pStyle w:val="BodyText"/>
        <w:rPr>
          <w:sz w:val="24"/>
          <w:szCs w:val="24"/>
        </w:rPr>
      </w:pPr>
    </w:p>
    <w:p w14:paraId="50550F34" w14:textId="77777777" w:rsidR="00282493" w:rsidRDefault="00282493">
      <w:pPr>
        <w:pStyle w:val="BodyText"/>
        <w:spacing w:before="11"/>
        <w:rPr>
          <w:sz w:val="19"/>
        </w:rPr>
      </w:pPr>
    </w:p>
    <w:p w14:paraId="3A6A7CB8" w14:textId="7FF53BB1" w:rsidR="00282493" w:rsidRDefault="00C44921" w:rsidP="008453A2">
      <w:pPr>
        <w:pStyle w:val="Heading2"/>
        <w:numPr>
          <w:ilvl w:val="0"/>
          <w:numId w:val="6"/>
        </w:numPr>
      </w:pPr>
      <w:r>
        <w:t>Prihvatljive</w:t>
      </w:r>
      <w:r w:rsidRPr="008453A2">
        <w:t xml:space="preserve"> </w:t>
      </w:r>
      <w:r>
        <w:t>aktivnosti</w:t>
      </w:r>
    </w:p>
    <w:p w14:paraId="354B053C" w14:textId="7DFFF965" w:rsidR="00282493" w:rsidRDefault="6345BE48">
      <w:pPr>
        <w:pStyle w:val="ListParagraph"/>
        <w:numPr>
          <w:ilvl w:val="0"/>
          <w:numId w:val="3"/>
        </w:numPr>
        <w:tabs>
          <w:tab w:val="left" w:pos="837"/>
        </w:tabs>
        <w:ind w:right="116"/>
        <w:jc w:val="both"/>
      </w:pPr>
      <w:r>
        <w:t>Prihvatljive aktivnosti koje se mogu financirati u okviru ovog Poziva su:</w:t>
      </w:r>
      <w:r w:rsidR="008453A2">
        <w:t xml:space="preserve"> </w:t>
      </w:r>
      <w:r w:rsidR="00C44921">
        <w:t>Građevinski radovi dogradnje, obnove i prilagodbe prostora domova / centara za pružanje izvaninstitucionalnih usluga organiziranog stanovanja i drugih smještajnih jedinica (dnevni centri za skrb, prostori za edukacije, radionice itd.), npr.: zamjena dotrajalih instalacija i stolarije, popravci infrastrukture, sustava grijanja / hlađenja, prilagodba interijera u skladu s potrebama osoba s invaliditetom, uklanjanje arhitektonskih prepreka kao što su nedovoljna širina vrata, neprilagođeni sanitarni čvorovi, izgradnja pristupnih rampi, prilagodba prostora u skladu sa specifičnim potrebama korisnika</w:t>
      </w:r>
      <w:r w:rsidR="00C44921" w:rsidRPr="6345BE48">
        <w:t xml:space="preserve"> </w:t>
      </w:r>
      <w:r w:rsidR="00C44921">
        <w:t>itd.</w:t>
      </w:r>
    </w:p>
    <w:p w14:paraId="59C35726" w14:textId="77777777" w:rsidR="00282493" w:rsidRDefault="00282493">
      <w:pPr>
        <w:pStyle w:val="BodyText"/>
      </w:pPr>
    </w:p>
    <w:p w14:paraId="59D2E4A1" w14:textId="77777777" w:rsidR="00282493" w:rsidRDefault="00C44921">
      <w:pPr>
        <w:pStyle w:val="BodyText"/>
        <w:spacing w:line="252" w:lineRule="exact"/>
        <w:ind w:left="836"/>
        <w:jc w:val="both"/>
      </w:pPr>
      <w:r>
        <w:t xml:space="preserve">NAPOMENA- sukladno </w:t>
      </w:r>
      <w:r w:rsidRPr="008453A2">
        <w:rPr>
          <w:i/>
          <w:iCs/>
        </w:rPr>
        <w:t>Zakonu o gradnji</w:t>
      </w:r>
      <w:r>
        <w:t xml:space="preserve"> NN 153/13 , čl. 3 Pojmovi:</w:t>
      </w:r>
    </w:p>
    <w:p w14:paraId="18CC866D" w14:textId="77777777" w:rsidR="00282493" w:rsidRDefault="6345BE48">
      <w:pPr>
        <w:pStyle w:val="BodyText"/>
        <w:ind w:left="836" w:right="118"/>
        <w:jc w:val="both"/>
      </w:pPr>
      <w:r w:rsidRPr="6345BE48">
        <w:rPr>
          <w:b/>
          <w:bCs/>
        </w:rPr>
        <w:t xml:space="preserve">Održavanje građevine </w:t>
      </w:r>
      <w:r>
        <w:t>je izvedba građevinskih i drugih radova na postojećoj građevini radi očuvanja temeljnih zahtjeva za građevinu tijekom njezina trajanja, kojima se ne mijenja usklađenost građevine s lokacijskim uvjetima u skladu s kojima je izgrađena.</w:t>
      </w:r>
    </w:p>
    <w:p w14:paraId="31F1C00D" w14:textId="600FA0E2" w:rsidR="00282493" w:rsidRDefault="00C44921" w:rsidP="008453A2">
      <w:pPr>
        <w:pStyle w:val="BodyText"/>
        <w:spacing w:before="11"/>
        <w:ind w:left="836" w:right="116"/>
        <w:jc w:val="both"/>
        <w:rPr>
          <w:sz w:val="21"/>
          <w:szCs w:val="21"/>
        </w:rPr>
      </w:pPr>
      <w:r w:rsidRPr="00D052B0">
        <w:rPr>
          <w:b/>
          <w:bCs/>
        </w:rPr>
        <w:t xml:space="preserve">Rekonstrukcija građevine </w:t>
      </w:r>
      <w:r>
        <w:t>je izvedba građevinskih i drugih radova na postojećoj građevini kojima se utječe na ispunjavanje temeljnih zahtjeva za tu građevinu ili kojima se mijenja usklađenost te građevine s lokacijskim uvjetima u skladu s kojima je izgrađena (dograđivanje, nadograđivanje, uklanjanje vanjskog dijela građevine, izvođenje radova radi promjene namjene građevine ili tehnološkog procesa i sl.), odnosno izvedba građevinskih i drugih radova na ruševini postojeće građevine u svrhu njezine</w:t>
      </w:r>
      <w:r w:rsidRPr="6345BE48">
        <w:t xml:space="preserve"> </w:t>
      </w:r>
      <w:r>
        <w:t>obnove.</w:t>
      </w:r>
    </w:p>
    <w:p w14:paraId="6D8B6562" w14:textId="7E382858" w:rsidR="7EDCB584" w:rsidRDefault="7EDCB584" w:rsidP="24996A8F">
      <w:pPr>
        <w:pStyle w:val="BodyText"/>
        <w:ind w:left="836" w:right="116"/>
        <w:jc w:val="both"/>
      </w:pPr>
    </w:p>
    <w:p w14:paraId="5E8281AC" w14:textId="529BEE6B" w:rsidR="00282493" w:rsidRDefault="00C44921" w:rsidP="687B8C4C">
      <w:pPr>
        <w:pStyle w:val="ListParagraph"/>
        <w:numPr>
          <w:ilvl w:val="0"/>
          <w:numId w:val="3"/>
        </w:numPr>
        <w:spacing w:before="1"/>
        <w:ind w:right="118"/>
        <w:jc w:val="both"/>
      </w:pPr>
      <w:r>
        <w:t>Izgradnja novih prostora za pružanje izvaninstitucionalnih usluga uključujući pripremne radove za izgradnju te povezane aktivnosti (npr. dovođenje komunalnih priključaka, rušenje postojećeg objekta, čišćenje zemljišta, iskolčenje i</w:t>
      </w:r>
      <w:r w:rsidRPr="6345BE48">
        <w:t xml:space="preserve"> </w:t>
      </w:r>
      <w:r>
        <w:t>sl.).</w:t>
      </w:r>
    </w:p>
    <w:p w14:paraId="4D7AFC4E" w14:textId="4316636D" w:rsidR="00282493" w:rsidRDefault="00C44921" w:rsidP="008453A2">
      <w:pPr>
        <w:pStyle w:val="BodyText"/>
        <w:spacing w:before="1"/>
        <w:ind w:left="824" w:right="112"/>
        <w:jc w:val="both"/>
      </w:pPr>
      <w:r>
        <w:t>Odgovarajući valjani akt na temelju kojeg se može pristupiti rušenju i/ili građenju, građevinska dozvola, preslika, dostavlja se uz zahtjev za plaćanje / nadoknadu sredstava kojim se potražuju sredstva vezana za prvi izdatak</w:t>
      </w:r>
      <w:r w:rsidRPr="6345BE48">
        <w:t xml:space="preserve"> </w:t>
      </w:r>
      <w:r>
        <w:t>izgradnje.</w:t>
      </w:r>
    </w:p>
    <w:p w14:paraId="5BE4F60E" w14:textId="4CF11D4C" w:rsidR="00282493" w:rsidRDefault="6345BE48">
      <w:pPr>
        <w:pStyle w:val="BodyText"/>
        <w:ind w:left="824" w:right="120"/>
        <w:jc w:val="both"/>
      </w:pPr>
      <w:r>
        <w:t>Glavni projekt za gore navedene aktivnosti dostavlja se uz zahtjev za plaćanje / nadoknadu sredstava kojim se potražuju sredstva vezana za prvi izdatak izgradnje. U izjavi glavnog projektanta ili druge ovlaštene osobe (obrazac 4. koji se dostavlja uz zahtjev za plaćanje / nadoknadu) potvrđuje se koji su dokumenti potrebni za predviđenu gradnju/rekonstrukciju građevine u okviru projekta. Dostavljena dokumentacija treba pružiti uvid u izvršenost pojedinih stavki troškova i u točnost izračuna po kojemu je plaćeno ili će biti plaćeno izvođaču radova.Ugovor o pravu na građenje ili ugovor o pravu na korištenje prostora, u slučaju kada prijavitelj nije ujedno i vlasnik zemljišta i/ili nekretnine koje su predmet projektnih aktivnosti, dostavlja se uz zahtjev za plaćanje / nadoknadu sredstava kojim se potražuju sredstva vezana za prvi izdatak izgradnje.</w:t>
      </w:r>
    </w:p>
    <w:p w14:paraId="211EC6FC" w14:textId="77777777" w:rsidR="00282493" w:rsidRDefault="00282493">
      <w:pPr>
        <w:jc w:val="both"/>
        <w:sectPr w:rsidR="00282493">
          <w:pgSz w:w="11910" w:h="16840"/>
          <w:pgMar w:top="760" w:right="1300" w:bottom="1200" w:left="1300" w:header="0" w:footer="994" w:gutter="0"/>
          <w:cols w:space="720"/>
        </w:sectPr>
      </w:pPr>
    </w:p>
    <w:p w14:paraId="257E50D5" w14:textId="77777777" w:rsidR="00282493" w:rsidRDefault="6345BE48">
      <w:pPr>
        <w:pStyle w:val="BodyText"/>
        <w:spacing w:before="74" w:line="252" w:lineRule="exact"/>
        <w:ind w:left="824"/>
      </w:pPr>
      <w:r>
        <w:lastRenderedPageBreak/>
        <w:t>NAPOMENA:</w:t>
      </w:r>
    </w:p>
    <w:p w14:paraId="0C457F07" w14:textId="77777777" w:rsidR="00282493" w:rsidRDefault="6345BE48">
      <w:pPr>
        <w:pStyle w:val="BodyText"/>
        <w:ind w:left="824" w:right="113"/>
        <w:jc w:val="both"/>
      </w:pPr>
      <w:r>
        <w:t>Glavni projekt s troškovnicima, opis (nacrt, shema) radova i tehničke specifikacije radova, te sva druga obvezna tehnička dokumentacija, kao i sklopljeni pojedinačni ugovori o javnoj nabavi u okviru projekta, te ukoliko postoji izvedbeni projekt, dostavlja se isključivo u elektroničkom formatu, u .pdf formatu, na zasebnom elektroničkom mediju.</w:t>
      </w:r>
    </w:p>
    <w:p w14:paraId="24AA8DDE" w14:textId="77777777" w:rsidR="00282493" w:rsidRPr="008453A2" w:rsidRDefault="00282493" w:rsidP="008453A2">
      <w:pPr>
        <w:pStyle w:val="BodyText"/>
        <w:spacing w:before="1"/>
        <w:rPr>
          <w:sz w:val="14"/>
          <w:szCs w:val="14"/>
        </w:rPr>
      </w:pPr>
    </w:p>
    <w:p w14:paraId="13A77FA3" w14:textId="77777777" w:rsidR="00282493" w:rsidRDefault="00C44921" w:rsidP="008453A2">
      <w:pPr>
        <w:pStyle w:val="ListParagraph"/>
        <w:numPr>
          <w:ilvl w:val="0"/>
          <w:numId w:val="3"/>
        </w:numPr>
        <w:tabs>
          <w:tab w:val="left" w:pos="837"/>
        </w:tabs>
        <w:spacing w:before="91"/>
      </w:pPr>
      <w:r>
        <w:t>Kupovina zemljišta i kupovina nekretnina za pružanje izvaninstitucionalnih</w:t>
      </w:r>
      <w:r w:rsidRPr="6345BE48">
        <w:t xml:space="preserve"> </w:t>
      </w:r>
      <w:r>
        <w:t>usluga.</w:t>
      </w:r>
    </w:p>
    <w:p w14:paraId="446D2D21" w14:textId="77777777" w:rsidR="00282493" w:rsidRDefault="00C44921" w:rsidP="008453A2">
      <w:pPr>
        <w:pStyle w:val="BodyText"/>
        <w:spacing w:before="2"/>
        <w:ind w:left="824" w:right="116"/>
        <w:jc w:val="both"/>
      </w:pPr>
      <w:r>
        <w:t>U slučaju kupnje zemljišta i/ili nekretnina potrebno je u prijavi, u sklopu proračuna (prijavni obrazac A, str. 5) istaknuti procjenu troška temeljem koje se može provjeriti odgovara li traženi iznos vezan za kupnju zemljišta i nekretnina dozvoljenom iznosu od 10% od ukupnih prihvatljivih troškova po pojedinom trošku</w:t>
      </w:r>
      <w:r w:rsidRPr="6345BE48">
        <w:t xml:space="preserve"> </w:t>
      </w:r>
      <w:r>
        <w:t>kupovine.</w:t>
      </w:r>
    </w:p>
    <w:p w14:paraId="176A5002" w14:textId="77777777" w:rsidR="00282493" w:rsidRPr="008453A2" w:rsidRDefault="00282493" w:rsidP="008453A2">
      <w:pPr>
        <w:pStyle w:val="BodyText"/>
        <w:spacing w:before="11"/>
        <w:rPr>
          <w:sz w:val="21"/>
          <w:szCs w:val="21"/>
        </w:rPr>
      </w:pPr>
    </w:p>
    <w:p w14:paraId="3BFCEB88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  <w:ind w:right="122"/>
        <w:jc w:val="both"/>
      </w:pPr>
      <w:r>
        <w:t>Usluge procjene neovisnog kvalificiranog i ovlaštenog službenog tijela (u slučaju kupnje nekretnine ili</w:t>
      </w:r>
      <w:r w:rsidRPr="6345BE48">
        <w:t xml:space="preserve"> </w:t>
      </w:r>
      <w:r>
        <w:t>zemljišta).</w:t>
      </w:r>
    </w:p>
    <w:p w14:paraId="06550A85" w14:textId="77777777" w:rsidR="00282493" w:rsidRPr="008453A2" w:rsidRDefault="00282493" w:rsidP="008453A2">
      <w:pPr>
        <w:pStyle w:val="BodyText"/>
        <w:spacing w:before="11"/>
        <w:rPr>
          <w:sz w:val="21"/>
          <w:szCs w:val="21"/>
        </w:rPr>
      </w:pPr>
    </w:p>
    <w:p w14:paraId="022137C8" w14:textId="77777777" w:rsidR="00282493" w:rsidRDefault="6345BE48">
      <w:pPr>
        <w:pStyle w:val="ListParagraph"/>
        <w:numPr>
          <w:ilvl w:val="0"/>
          <w:numId w:val="3"/>
        </w:numPr>
        <w:tabs>
          <w:tab w:val="left" w:pos="837"/>
        </w:tabs>
        <w:ind w:right="114"/>
        <w:jc w:val="both"/>
      </w:pPr>
      <w:r>
        <w:t>Nabava vozila neophodnih za pružanje izvaninstitucionalnih socijalnih usluga (neophodnih ako korisnici usluga nisu u mogućnosti neovisno ili uz pomoć drugih osoba koristiti javni prijevoz).</w:t>
      </w:r>
    </w:p>
    <w:p w14:paraId="3E5465FD" w14:textId="77777777" w:rsidR="00282493" w:rsidRDefault="00282493" w:rsidP="008453A2">
      <w:pPr>
        <w:pStyle w:val="BodyText"/>
        <w:spacing w:before="1"/>
      </w:pPr>
    </w:p>
    <w:p w14:paraId="3E361593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  <w:ind w:right="115"/>
        <w:jc w:val="both"/>
      </w:pPr>
      <w:r>
        <w:t>Nabava opreme (kao što je informatička oprema i namještaj, tehnička oprema za premošćivanje visinskih arhitektonskih</w:t>
      </w:r>
      <w:r w:rsidRPr="6345BE48">
        <w:t xml:space="preserve"> </w:t>
      </w:r>
      <w:r>
        <w:t>razlika…).</w:t>
      </w:r>
    </w:p>
    <w:p w14:paraId="502283FE" w14:textId="77777777" w:rsidR="00282493" w:rsidRDefault="00282493">
      <w:pPr>
        <w:pStyle w:val="BodyText"/>
      </w:pPr>
    </w:p>
    <w:p w14:paraId="07185F62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  <w:ind w:right="113"/>
        <w:jc w:val="both"/>
      </w:pPr>
      <w:r>
        <w:t>Nabava specijalizirane opreme potrebne za aktivnosti pružanja socijalnih usluga (kao što su standardizirani testovi, didaktička oprema i</w:t>
      </w:r>
      <w:r w:rsidRPr="6345BE48">
        <w:t xml:space="preserve"> </w:t>
      </w:r>
      <w:r>
        <w:t>slično).</w:t>
      </w:r>
    </w:p>
    <w:p w14:paraId="75AA740F" w14:textId="77777777" w:rsidR="00282493" w:rsidRPr="008453A2" w:rsidRDefault="00282493" w:rsidP="008453A2">
      <w:pPr>
        <w:pStyle w:val="BodyText"/>
        <w:spacing w:before="11"/>
        <w:rPr>
          <w:sz w:val="21"/>
          <w:szCs w:val="21"/>
        </w:rPr>
      </w:pPr>
    </w:p>
    <w:p w14:paraId="16C84EB5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  <w:ind w:right="112"/>
        <w:jc w:val="both"/>
      </w:pPr>
      <w:r>
        <w:t>Edukacija pružateljima usluga (za prijavitelje i/ili partnerske organizacije) vezana uz gore spomenutu specijaliziranu opremu potrebnu za aktivnosti pružanja socijalnih usluga koju pruža dobavljač opreme ili podugovoreni</w:t>
      </w:r>
      <w:r w:rsidRPr="6345BE48">
        <w:t xml:space="preserve"> </w:t>
      </w:r>
      <w:r>
        <w:t>stručnjaci</w:t>
      </w:r>
    </w:p>
    <w:p w14:paraId="7BFA4337" w14:textId="77777777" w:rsidR="00282493" w:rsidRDefault="00282493" w:rsidP="008453A2">
      <w:pPr>
        <w:pStyle w:val="BodyText"/>
        <w:spacing w:before="1"/>
      </w:pPr>
    </w:p>
    <w:p w14:paraId="7E37203C" w14:textId="77777777" w:rsidR="00282493" w:rsidRDefault="6345BE48">
      <w:pPr>
        <w:pStyle w:val="ListParagraph"/>
        <w:numPr>
          <w:ilvl w:val="0"/>
          <w:numId w:val="3"/>
        </w:numPr>
        <w:tabs>
          <w:tab w:val="left" w:pos="837"/>
        </w:tabs>
        <w:ind w:right="114"/>
        <w:jc w:val="both"/>
      </w:pPr>
      <w:r>
        <w:t>Priprema projektne i tehničke dokumentacije (npr. građevinski / arhitektonski projekti, revizija građevinskih projekata i ostale dokumentacije potrebne za građevinske radove, projektne prijave).</w:t>
      </w:r>
    </w:p>
    <w:p w14:paraId="0CA30502" w14:textId="77777777" w:rsidR="00282493" w:rsidRPr="008453A2" w:rsidRDefault="00282493" w:rsidP="008453A2">
      <w:pPr>
        <w:pStyle w:val="BodyText"/>
        <w:spacing w:before="10"/>
        <w:rPr>
          <w:sz w:val="21"/>
          <w:szCs w:val="21"/>
        </w:rPr>
      </w:pPr>
    </w:p>
    <w:p w14:paraId="1EC3BD86" w14:textId="77777777" w:rsidR="00282493" w:rsidRDefault="6345BE48">
      <w:pPr>
        <w:pStyle w:val="ListParagraph"/>
        <w:numPr>
          <w:ilvl w:val="0"/>
          <w:numId w:val="3"/>
        </w:numPr>
        <w:tabs>
          <w:tab w:val="left" w:pos="837"/>
        </w:tabs>
      </w:pPr>
      <w:r>
        <w:t>Stručni nadzor radova.</w:t>
      </w:r>
    </w:p>
    <w:p w14:paraId="7E295823" w14:textId="77777777" w:rsidR="00282493" w:rsidRDefault="00282493">
      <w:pPr>
        <w:pStyle w:val="BodyText"/>
      </w:pPr>
    </w:p>
    <w:p w14:paraId="325F6AA6" w14:textId="77777777" w:rsidR="00282493" w:rsidRDefault="00C44921" w:rsidP="008453A2">
      <w:pPr>
        <w:pStyle w:val="ListParagraph"/>
        <w:numPr>
          <w:ilvl w:val="0"/>
          <w:numId w:val="3"/>
        </w:numPr>
        <w:tabs>
          <w:tab w:val="left" w:pos="837"/>
        </w:tabs>
        <w:spacing w:before="1"/>
      </w:pPr>
      <w:r>
        <w:t>Priprema i provedba javne</w:t>
      </w:r>
      <w:r w:rsidRPr="6345BE48">
        <w:t xml:space="preserve"> </w:t>
      </w:r>
      <w:r>
        <w:t>nabave.</w:t>
      </w:r>
    </w:p>
    <w:p w14:paraId="16A2E2F1" w14:textId="77777777" w:rsidR="00282493" w:rsidRDefault="00282493">
      <w:pPr>
        <w:pStyle w:val="BodyText"/>
      </w:pPr>
    </w:p>
    <w:p w14:paraId="7189D4C8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</w:pPr>
      <w:r>
        <w:t>Upravljanje</w:t>
      </w:r>
      <w:r w:rsidRPr="6345BE48">
        <w:t xml:space="preserve"> </w:t>
      </w:r>
      <w:r>
        <w:t>projektom.</w:t>
      </w:r>
    </w:p>
    <w:p w14:paraId="51CCDB3E" w14:textId="77777777" w:rsidR="00282493" w:rsidRDefault="00282493">
      <w:pPr>
        <w:pStyle w:val="BodyText"/>
      </w:pPr>
    </w:p>
    <w:p w14:paraId="57DC7B40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</w:pPr>
      <w:r>
        <w:t>Financijska revizija</w:t>
      </w:r>
      <w:r w:rsidRPr="6345BE48">
        <w:t xml:space="preserve"> </w:t>
      </w:r>
      <w:r>
        <w:t>projekta.</w:t>
      </w:r>
    </w:p>
    <w:p w14:paraId="6615A813" w14:textId="77777777" w:rsidR="00282493" w:rsidRDefault="00282493" w:rsidP="008453A2">
      <w:pPr>
        <w:pStyle w:val="BodyText"/>
        <w:spacing w:before="1"/>
      </w:pPr>
    </w:p>
    <w:p w14:paraId="587A8370" w14:textId="77777777" w:rsidR="00282493" w:rsidRDefault="00C44921">
      <w:pPr>
        <w:pStyle w:val="ListParagraph"/>
        <w:numPr>
          <w:ilvl w:val="0"/>
          <w:numId w:val="3"/>
        </w:numPr>
        <w:tabs>
          <w:tab w:val="left" w:pos="837"/>
        </w:tabs>
      </w:pPr>
      <w:r>
        <w:t>Promotivne aktivnosti s ciljem podizanja vidljivosti projektnih aktivnosti i EU</w:t>
      </w:r>
      <w:r w:rsidRPr="6345BE48">
        <w:t xml:space="preserve"> </w:t>
      </w:r>
      <w:r>
        <w:t>financiranja.</w:t>
      </w:r>
    </w:p>
    <w:p w14:paraId="5E38E0FA" w14:textId="77777777" w:rsidR="00282493" w:rsidRDefault="00282493">
      <w:pPr>
        <w:pStyle w:val="BodyText"/>
        <w:spacing w:before="1"/>
      </w:pPr>
    </w:p>
    <w:p w14:paraId="7CC45FB1" w14:textId="77777777" w:rsidR="00282493" w:rsidRDefault="6345BE48">
      <w:pPr>
        <w:pStyle w:val="BodyText"/>
        <w:spacing w:line="252" w:lineRule="exact"/>
        <w:ind w:left="116"/>
      </w:pPr>
      <w:r>
        <w:t>Uz navedene prihvatljive aktivnosti projekt mora sadržavati minimalno jednu aktivnost koja promiče:</w:t>
      </w:r>
    </w:p>
    <w:p w14:paraId="109C6981" w14:textId="77777777" w:rsidR="00282493" w:rsidRDefault="00C44921">
      <w:pPr>
        <w:pStyle w:val="ListParagraph"/>
        <w:numPr>
          <w:ilvl w:val="1"/>
          <w:numId w:val="3"/>
        </w:numPr>
        <w:tabs>
          <w:tab w:val="left" w:pos="1756"/>
        </w:tabs>
        <w:spacing w:line="252" w:lineRule="exact"/>
      </w:pPr>
      <w:r>
        <w:t>Ravnopravnost žena i muškaraca i zabranu</w:t>
      </w:r>
      <w:r w:rsidRPr="6345BE48">
        <w:t xml:space="preserve"> </w:t>
      </w:r>
      <w:r>
        <w:t>diskriminacije,</w:t>
      </w:r>
    </w:p>
    <w:p w14:paraId="0D8891DD" w14:textId="77777777" w:rsidR="00282493" w:rsidRDefault="00C44921">
      <w:pPr>
        <w:pStyle w:val="ListParagraph"/>
        <w:numPr>
          <w:ilvl w:val="1"/>
          <w:numId w:val="3"/>
        </w:numPr>
        <w:tabs>
          <w:tab w:val="left" w:pos="1756"/>
        </w:tabs>
        <w:spacing w:line="252" w:lineRule="exact"/>
      </w:pPr>
      <w:r>
        <w:t>Pristupačnost za osobe s</w:t>
      </w:r>
      <w:r w:rsidRPr="6345BE48">
        <w:t xml:space="preserve"> </w:t>
      </w:r>
      <w:r>
        <w:t>invaliditetom,</w:t>
      </w:r>
    </w:p>
    <w:p w14:paraId="4254BCC3" w14:textId="77777777" w:rsidR="00282493" w:rsidRDefault="6345BE48">
      <w:pPr>
        <w:pStyle w:val="ListParagraph"/>
        <w:numPr>
          <w:ilvl w:val="1"/>
          <w:numId w:val="3"/>
        </w:numPr>
        <w:tabs>
          <w:tab w:val="left" w:pos="1756"/>
        </w:tabs>
        <w:spacing w:before="1" w:line="252" w:lineRule="exact"/>
      </w:pPr>
      <w:r>
        <w:t>Održivi razvoj.</w:t>
      </w:r>
    </w:p>
    <w:p w14:paraId="53004FBF" w14:textId="77777777" w:rsidR="00282493" w:rsidRDefault="6345BE48">
      <w:pPr>
        <w:pStyle w:val="BodyText"/>
        <w:ind w:left="116"/>
      </w:pPr>
      <w:r>
        <w:t>Pri tome treba imati na umu da se pridržavanje minimalnih zakonskih obaveza pri provedbi horizontalnih aktivnosti neće smatrati aktivnim promicanjem horizontalnih politika EU.</w:t>
      </w:r>
    </w:p>
    <w:p w14:paraId="5B3C1F59" w14:textId="77777777" w:rsidR="00282493" w:rsidRDefault="00282493">
      <w:pPr>
        <w:pStyle w:val="BodyText"/>
        <w:rPr>
          <w:sz w:val="24"/>
        </w:rPr>
      </w:pPr>
    </w:p>
    <w:p w14:paraId="26E52A10" w14:textId="77777777" w:rsidR="00282493" w:rsidRDefault="00282493">
      <w:pPr>
        <w:pStyle w:val="BodyText"/>
        <w:spacing w:before="1"/>
        <w:rPr>
          <w:sz w:val="20"/>
        </w:rPr>
      </w:pPr>
    </w:p>
    <w:p w14:paraId="77ECD9E2" w14:textId="77777777" w:rsidR="00282493" w:rsidRDefault="6345BE48">
      <w:pPr>
        <w:pStyle w:val="Heading2"/>
        <w:ind w:left="392" w:firstLine="0"/>
      </w:pPr>
      <w:r>
        <w:t>6 . Broj projektnih prijedloga i potpora po prijavitelju</w:t>
      </w:r>
    </w:p>
    <w:p w14:paraId="2BAA8156" w14:textId="77777777" w:rsidR="00282493" w:rsidRDefault="00282493">
      <w:pPr>
        <w:pStyle w:val="BodyText"/>
        <w:spacing w:before="1"/>
        <w:rPr>
          <w:b/>
          <w:sz w:val="25"/>
        </w:rPr>
      </w:pPr>
    </w:p>
    <w:p w14:paraId="6B8416AF" w14:textId="77777777" w:rsidR="00282493" w:rsidDel="24996A8F" w:rsidRDefault="6345BE48" w:rsidP="6345BE48">
      <w:pPr>
        <w:pStyle w:val="BodyText"/>
        <w:spacing w:before="1"/>
        <w:ind w:left="116"/>
        <w:rPr>
          <w:sz w:val="25"/>
          <w:szCs w:val="25"/>
        </w:rPr>
      </w:pPr>
      <w:r>
        <w:t>Prijavitelj u okviru ovog Poziva može podnijeti jedan projektni prijedlog.</w:t>
      </w:r>
    </w:p>
    <w:p w14:paraId="5264FF6B" w14:textId="77777777" w:rsidR="00282493" w:rsidRDefault="6345BE48">
      <w:pPr>
        <w:pStyle w:val="BodyText"/>
        <w:ind w:left="116"/>
      </w:pPr>
      <w:r>
        <w:t>Zaključno, jednom prijavitelju može biti dodijeljen 1 ugovor o dodjeli bespovratnih sredstava.</w:t>
      </w:r>
    </w:p>
    <w:p w14:paraId="0B85C297" w14:textId="77777777" w:rsidR="00282493" w:rsidRDefault="00282493">
      <w:pPr>
        <w:sectPr w:rsidR="00282493">
          <w:pgSz w:w="11910" w:h="16840"/>
          <w:pgMar w:top="760" w:right="1300" w:bottom="1200" w:left="1300" w:header="0" w:footer="994" w:gutter="0"/>
          <w:cols w:space="720"/>
        </w:sectPr>
      </w:pPr>
    </w:p>
    <w:p w14:paraId="2EF5FAB7" w14:textId="77777777" w:rsidR="00282493" w:rsidRDefault="00C44921">
      <w:pPr>
        <w:pStyle w:val="Heading2"/>
        <w:numPr>
          <w:ilvl w:val="0"/>
          <w:numId w:val="2"/>
        </w:numPr>
        <w:tabs>
          <w:tab w:val="left" w:pos="785"/>
          <w:tab w:val="left" w:pos="786"/>
        </w:tabs>
        <w:spacing w:before="66" w:line="253" w:lineRule="exact"/>
      </w:pPr>
      <w:r>
        <w:lastRenderedPageBreak/>
        <w:t>Geografska</w:t>
      </w:r>
      <w:r w:rsidRPr="6345BE48">
        <w:t xml:space="preserve"> </w:t>
      </w:r>
      <w:r>
        <w:t>ograničenja</w:t>
      </w:r>
    </w:p>
    <w:p w14:paraId="57A21F5E" w14:textId="77777777" w:rsidR="00282493" w:rsidRDefault="6345BE48">
      <w:pPr>
        <w:pStyle w:val="BodyText"/>
        <w:spacing w:line="253" w:lineRule="exact"/>
        <w:ind w:left="116"/>
      </w:pPr>
      <w:r>
        <w:t>Projektne aktivnosti se moraju provoditi na teritoriju RH.</w:t>
      </w:r>
    </w:p>
    <w:p w14:paraId="1B7E7EA4" w14:textId="77777777" w:rsidR="00282493" w:rsidRDefault="00282493">
      <w:pPr>
        <w:pStyle w:val="BodyText"/>
        <w:rPr>
          <w:sz w:val="24"/>
        </w:rPr>
      </w:pPr>
    </w:p>
    <w:p w14:paraId="5A9670D9" w14:textId="77777777" w:rsidR="00282493" w:rsidRDefault="00282493">
      <w:pPr>
        <w:pStyle w:val="BodyText"/>
        <w:spacing w:before="2"/>
        <w:rPr>
          <w:sz w:val="20"/>
        </w:rPr>
      </w:pPr>
    </w:p>
    <w:p w14:paraId="2AD960AB" w14:textId="188DF427" w:rsidR="00282493" w:rsidRDefault="00C44921" w:rsidP="008453A2">
      <w:pPr>
        <w:pStyle w:val="Heading2"/>
        <w:numPr>
          <w:ilvl w:val="0"/>
          <w:numId w:val="2"/>
        </w:numPr>
        <w:spacing w:before="10"/>
      </w:pPr>
      <w:r>
        <w:t>Administrativni</w:t>
      </w:r>
      <w:r w:rsidRPr="008453A2">
        <w:t xml:space="preserve"> </w:t>
      </w:r>
      <w:r>
        <w:t>podaci</w:t>
      </w:r>
    </w:p>
    <w:p w14:paraId="7B23A020" w14:textId="7CB8589E" w:rsidR="00282493" w:rsidRDefault="00C44921" w:rsidP="6345BE48">
      <w:pPr>
        <w:pStyle w:val="BodyText"/>
        <w:ind w:left="116" w:right="113"/>
        <w:jc w:val="both"/>
        <w:rPr>
          <w:b/>
          <w:bCs/>
        </w:rPr>
      </w:pPr>
      <w:r>
        <w:t xml:space="preserve">Poziv se vodi kao ograničeni poziv na dostavu projektnih prijedloga </w:t>
      </w:r>
      <w:r w:rsidR="008453A2">
        <w:rPr>
          <w:highlight w:val="yellow"/>
        </w:rPr>
        <w:t>trajn</w:t>
      </w:r>
      <w:bookmarkStart w:id="0" w:name="_GoBack"/>
      <w:bookmarkEnd w:id="0"/>
      <w:r w:rsidR="004F4A4C" w:rsidRPr="008453A2">
        <w:rPr>
          <w:highlight w:val="yellow"/>
        </w:rPr>
        <w:t>og</w:t>
      </w:r>
      <w:r w:rsidR="004F4A4C">
        <w:t xml:space="preserve"> </w:t>
      </w:r>
      <w:r>
        <w:t xml:space="preserve">modaliteta s krajnjim rokom dostave projektnih prijedloga </w:t>
      </w:r>
      <w:r w:rsidRPr="00D052B0">
        <w:rPr>
          <w:b/>
          <w:bCs/>
        </w:rPr>
        <w:t xml:space="preserve">do </w:t>
      </w:r>
      <w:r w:rsidR="004F4A4C" w:rsidRPr="008453A2">
        <w:rPr>
          <w:b/>
          <w:bCs/>
          <w:highlight w:val="yellow"/>
        </w:rPr>
        <w:t>28</w:t>
      </w:r>
      <w:r w:rsidRPr="008453A2">
        <w:rPr>
          <w:b/>
          <w:bCs/>
          <w:highlight w:val="yellow"/>
        </w:rPr>
        <w:t xml:space="preserve">. </w:t>
      </w:r>
      <w:r w:rsidR="004F4A4C" w:rsidRPr="008453A2">
        <w:rPr>
          <w:b/>
          <w:bCs/>
          <w:highlight w:val="yellow"/>
        </w:rPr>
        <w:t>veljače</w:t>
      </w:r>
      <w:r w:rsidRPr="008453A2">
        <w:rPr>
          <w:b/>
          <w:bCs/>
          <w:highlight w:val="yellow"/>
        </w:rPr>
        <w:t xml:space="preserve"> 201</w:t>
      </w:r>
      <w:r w:rsidR="004F4A4C" w:rsidRPr="008453A2">
        <w:rPr>
          <w:b/>
          <w:bCs/>
          <w:highlight w:val="yellow"/>
        </w:rPr>
        <w:t>8</w:t>
      </w:r>
      <w:r w:rsidRPr="008453A2">
        <w:rPr>
          <w:b/>
          <w:bCs/>
          <w:highlight w:val="yellow"/>
        </w:rPr>
        <w:t>.</w:t>
      </w:r>
      <w:r w:rsidRPr="00D052B0">
        <w:rPr>
          <w:b/>
          <w:bCs/>
        </w:rPr>
        <w:t xml:space="preserve"> godine.</w:t>
      </w:r>
    </w:p>
    <w:p w14:paraId="47BA32F7" w14:textId="77777777" w:rsidR="00282493" w:rsidRDefault="00282493">
      <w:pPr>
        <w:pStyle w:val="BodyText"/>
        <w:spacing w:before="1"/>
        <w:rPr>
          <w:b/>
        </w:rPr>
      </w:pPr>
    </w:p>
    <w:p w14:paraId="1B2006AE" w14:textId="77777777" w:rsidR="00282493" w:rsidRDefault="6345BE48">
      <w:pPr>
        <w:spacing w:before="1"/>
        <w:ind w:left="116"/>
      </w:pPr>
      <w:r>
        <w:t xml:space="preserve">Najraniji mogući datum dostave/slanja projektnih prijedloga </w:t>
      </w:r>
      <w:r w:rsidRPr="6345BE48">
        <w:rPr>
          <w:b/>
          <w:bCs/>
        </w:rPr>
        <w:t>je 9. rujna 2016. godine</w:t>
      </w:r>
      <w:r>
        <w:t>.</w:t>
      </w:r>
    </w:p>
    <w:p w14:paraId="4F43DC11" w14:textId="77777777" w:rsidR="00282493" w:rsidRDefault="00282493">
      <w:pPr>
        <w:pStyle w:val="BodyText"/>
        <w:spacing w:before="9"/>
        <w:rPr>
          <w:sz w:val="21"/>
        </w:rPr>
      </w:pPr>
    </w:p>
    <w:p w14:paraId="0F3F8D88" w14:textId="77777777" w:rsidR="00282493" w:rsidRDefault="6345BE48">
      <w:pPr>
        <w:pStyle w:val="BodyText"/>
        <w:ind w:left="116" w:right="117"/>
        <w:jc w:val="both"/>
      </w:pPr>
      <w:r>
        <w:t>Projektni prijedlog izrađuje se na hrvatskom jeziku i latiničnim pismom. Sva dokumentacija tražena mora biti na hrvatskom jeziku ili prevedena na hrvatski jezik te ovjerena od odgovarajuće ovlaštene osobe. Dokumentacija koja zahtjeva potpis prijavitelja mora biti u izvorniku, ovjerena pečatom i potpisom ovlaštene osobe za zastupanje.</w:t>
      </w:r>
    </w:p>
    <w:p w14:paraId="1D8AE019" w14:textId="77777777" w:rsidR="00282493" w:rsidRDefault="00282493">
      <w:pPr>
        <w:pStyle w:val="BodyText"/>
        <w:spacing w:before="3"/>
      </w:pPr>
    </w:p>
    <w:p w14:paraId="5DBB9DEA" w14:textId="77777777" w:rsidR="00282493" w:rsidRDefault="6345BE48">
      <w:pPr>
        <w:pStyle w:val="BodyText"/>
        <w:ind w:left="116" w:right="110"/>
        <w:jc w:val="both"/>
      </w:pPr>
      <w:r>
        <w:t xml:space="preserve">Projektni prijedlog podnosi se </w:t>
      </w:r>
      <w:r w:rsidRPr="6345BE48">
        <w:rPr>
          <w:b/>
          <w:bCs/>
        </w:rPr>
        <w:t xml:space="preserve">u jednom izvorniku. </w:t>
      </w:r>
      <w:r>
        <w:t>Projektni prijedlog također mora biti podnesen u jednom primjerku u elektroničkom formatu (u zaštićenom formatu na elektroničkom mediju: CD, DVD, prijenosna memorija) koji je istovjetan papirnatoj verziji. Svaki dokument mora biti u zasebnoj datoteci. U slučaju razlika između papirnate i elektroničke verzije, papirnata verzija projektnog prijedloga smatrat će se vjerodostojnom. Uz papirnatu verziju, Prijavni obrazac A potrebno je dostaviti i u elektroničkom formatu kao zasebnu datoteku u .pdf formatu na elektroničkom mediju, i to upravo onu datoteku koja je generirana od strane web-aplikacije i potom spremljena na računalo radi ispisa. Datum i vrijeme navedeni u donjem desnom kutu stranica Prijavnog obrasca A moraju biti identični u papirnatoj verziji i u elektroničkoj verziji dostavljenog Prijavnog obrasca A.</w:t>
      </w:r>
    </w:p>
    <w:p w14:paraId="6EBF5C55" w14:textId="77777777" w:rsidR="00282493" w:rsidRDefault="00282493">
      <w:pPr>
        <w:pStyle w:val="BodyText"/>
        <w:spacing w:before="9"/>
      </w:pPr>
    </w:p>
    <w:p w14:paraId="0EDB6DE4" w14:textId="77777777" w:rsidR="00282493" w:rsidRDefault="6345BE48">
      <w:pPr>
        <w:pStyle w:val="BodyText"/>
        <w:ind w:left="116" w:right="116"/>
        <w:jc w:val="both"/>
      </w:pPr>
      <w:r>
        <w:t>Projektni prijedlog podnosi se u jednoj zatvorenoj omotnici/paketu isključivo preporučenom poštanskom pošiljkom ili osobnom dostavom na adresu:</w:t>
      </w:r>
    </w:p>
    <w:p w14:paraId="1ABBAA3E" w14:textId="77777777" w:rsidR="00282493" w:rsidRDefault="00282493">
      <w:pPr>
        <w:pStyle w:val="BodyText"/>
        <w:spacing w:before="3"/>
      </w:pPr>
    </w:p>
    <w:p w14:paraId="52DDB29F" w14:textId="77777777" w:rsidR="00282493" w:rsidRDefault="6345BE48">
      <w:pPr>
        <w:pStyle w:val="Heading2"/>
        <w:ind w:left="649" w:firstLine="0"/>
      </w:pPr>
      <w:r>
        <w:t>Središnja agencija za financiranje i ugovaranje programa i projekata Europske unije</w:t>
      </w:r>
    </w:p>
    <w:p w14:paraId="3BCB0462" w14:textId="21BC72B3" w:rsidR="00282493" w:rsidRDefault="6345BE48">
      <w:pPr>
        <w:pStyle w:val="BodyText"/>
        <w:ind w:left="3011" w:right="3012"/>
        <w:jc w:val="center"/>
      </w:pPr>
      <w:r>
        <w:t>Ulica grada Vukovara 284 (objekt C) 10000 Zagreb</w:t>
      </w:r>
    </w:p>
    <w:p w14:paraId="5E57850D" w14:textId="77777777" w:rsidR="00282493" w:rsidRDefault="00282493">
      <w:pPr>
        <w:pStyle w:val="BodyText"/>
        <w:spacing w:before="10"/>
        <w:rPr>
          <w:sz w:val="21"/>
        </w:rPr>
      </w:pPr>
    </w:p>
    <w:p w14:paraId="3EEFCC91" w14:textId="77777777" w:rsidR="00282493" w:rsidRDefault="6345BE48">
      <w:pPr>
        <w:pStyle w:val="BodyText"/>
        <w:ind w:left="116" w:right="119"/>
        <w:jc w:val="both"/>
      </w:pPr>
      <w:r>
        <w:t>MRRFEU zadržava pravo izmjena/dopuna Poziva tijekom razdoblja trajanja Poziva vodeći računa da predmetne izmjene/dopune ne utječu na postupak ocjenjivanja kvalitete projektne prijave.</w:t>
      </w:r>
    </w:p>
    <w:p w14:paraId="5DC40A8D" w14:textId="77777777" w:rsidR="00282493" w:rsidRDefault="00282493">
      <w:pPr>
        <w:pStyle w:val="BodyText"/>
        <w:spacing w:before="11"/>
        <w:rPr>
          <w:sz w:val="21"/>
        </w:rPr>
      </w:pPr>
    </w:p>
    <w:p w14:paraId="0990AAD3" w14:textId="77777777" w:rsidR="00282493" w:rsidRDefault="6345BE48">
      <w:pPr>
        <w:pStyle w:val="BodyText"/>
        <w:ind w:left="116" w:right="114"/>
        <w:jc w:val="both"/>
      </w:pPr>
      <w:r>
        <w:t>MRRFEU zadržava pravo zatvaranja Poziva i u drugim slučajevima kada se utvrdi potreba za značajnijim izmjenama/dopunama Poziva koji bitno mijenjaju uvjete za prijavitelje te onemogućavaju poštivanje načela jednakog postupanja tijekom postupka dodjele.</w:t>
      </w:r>
    </w:p>
    <w:p w14:paraId="7184CE46" w14:textId="77777777" w:rsidR="00282493" w:rsidRDefault="00282493">
      <w:pPr>
        <w:pStyle w:val="BodyText"/>
        <w:spacing w:before="1"/>
      </w:pPr>
    </w:p>
    <w:p w14:paraId="30CBD420" w14:textId="77777777" w:rsidR="00282493" w:rsidRDefault="6345BE48">
      <w:pPr>
        <w:pStyle w:val="BodyText"/>
        <w:ind w:left="116" w:right="113"/>
        <w:jc w:val="both"/>
      </w:pPr>
      <w:r>
        <w:t xml:space="preserve">Navedene izmjene/dopune bit će objavljene na mrežnim stranicama </w:t>
      </w:r>
      <w:hyperlink r:id="rId12">
        <w:r w:rsidRPr="6345BE48">
          <w:rPr>
            <w:color w:val="0000FF"/>
            <w:u w:val="single"/>
          </w:rPr>
          <w:t>www.strukturnifondovi.hr</w:t>
        </w:r>
      </w:hyperlink>
      <w:r w:rsidRPr="6345BE48">
        <w:rPr>
          <w:color w:val="0000FF"/>
        </w:rPr>
        <w:t xml:space="preserve"> </w:t>
      </w:r>
      <w:r>
        <w:t xml:space="preserve">i </w:t>
      </w:r>
      <w:hyperlink r:id="rId13">
        <w:r w:rsidRPr="6345BE48">
          <w:rPr>
            <w:color w:val="0000FF"/>
            <w:u w:val="single"/>
          </w:rPr>
          <w:t>www.razvoj.gov.hr</w:t>
        </w:r>
        <w:r>
          <w:t>.</w:t>
        </w:r>
      </w:hyperlink>
    </w:p>
    <w:sectPr w:rsidR="00282493" w:rsidSect="00D052B0">
      <w:pgSz w:w="11910" w:h="16840"/>
      <w:pgMar w:top="1020" w:right="1300" w:bottom="1200" w:left="13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CB1D" w14:textId="77777777" w:rsidR="00D625C7" w:rsidRDefault="00D625C7">
      <w:r>
        <w:separator/>
      </w:r>
    </w:p>
  </w:endnote>
  <w:endnote w:type="continuationSeparator" w:id="0">
    <w:p w14:paraId="595DC38F" w14:textId="77777777" w:rsidR="00D625C7" w:rsidRDefault="00D6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158CF" w14:textId="77777777" w:rsidR="00282493" w:rsidRDefault="00D625C7">
    <w:pPr>
      <w:pStyle w:val="BodyText"/>
      <w:spacing w:line="14" w:lineRule="auto"/>
      <w:rPr>
        <w:sz w:val="20"/>
      </w:rPr>
    </w:pPr>
    <w:r>
      <w:pict w14:anchorId="6A9961A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pt;margin-top:780.9pt;width:9.6pt;height:13.05pt;z-index:-251658752;mso-position-horizontal-relative:page;mso-position-vertical-relative:page" filled="f" stroked="f">
          <v:textbox inset="0,0,0,0">
            <w:txbxContent>
              <w:p w14:paraId="7D22343E" w14:textId="2119CB74" w:rsidR="00282493" w:rsidRDefault="00C44921">
                <w:pPr>
                  <w:pStyle w:val="Body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53A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2E7FC" w14:textId="77777777" w:rsidR="00D625C7" w:rsidRDefault="00D625C7">
      <w:r>
        <w:separator/>
      </w:r>
    </w:p>
  </w:footnote>
  <w:footnote w:type="continuationSeparator" w:id="0">
    <w:p w14:paraId="2DF8F8F4" w14:textId="77777777" w:rsidR="00D625C7" w:rsidRDefault="00D6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3B85"/>
    <w:multiLevelType w:val="hybridMultilevel"/>
    <w:tmpl w:val="52C60B32"/>
    <w:lvl w:ilvl="0" w:tplc="F312BBEA">
      <w:numFmt w:val="bullet"/>
      <w:lvlText w:val="-"/>
      <w:lvlJc w:val="left"/>
      <w:pPr>
        <w:ind w:left="83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hr-HR" w:eastAsia="hr-HR" w:bidi="hr-HR"/>
      </w:rPr>
    </w:lvl>
    <w:lvl w:ilvl="1" w:tplc="7982D46E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35BA7E60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BD588A54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51C8D3AC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2D660D08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2AE87604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198C50C8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3645D2E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2114F3F"/>
    <w:multiLevelType w:val="hybridMultilevel"/>
    <w:tmpl w:val="E8B64F1C"/>
    <w:lvl w:ilvl="0" w:tplc="41D27B7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91B661F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2" w:tplc="D5A6DEB6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A1A855EE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106664CA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07ACC652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CB58865A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BC58353C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8DC2E6B2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328312FC"/>
    <w:multiLevelType w:val="hybridMultilevel"/>
    <w:tmpl w:val="EBA6F382"/>
    <w:lvl w:ilvl="0" w:tplc="82DE07A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BB320234">
      <w:start w:val="1"/>
      <w:numFmt w:val="decimal"/>
      <w:lvlText w:val="%2."/>
      <w:lvlJc w:val="left"/>
      <w:pPr>
        <w:ind w:left="175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EEEC1E8">
      <w:numFmt w:val="bullet"/>
      <w:lvlText w:val="•"/>
      <w:lvlJc w:val="left"/>
      <w:pPr>
        <w:ind w:left="2598" w:hanging="221"/>
      </w:pPr>
      <w:rPr>
        <w:rFonts w:hint="default"/>
        <w:lang w:val="hr-HR" w:eastAsia="hr-HR" w:bidi="hr-HR"/>
      </w:rPr>
    </w:lvl>
    <w:lvl w:ilvl="3" w:tplc="9670ACB0">
      <w:numFmt w:val="bullet"/>
      <w:lvlText w:val="•"/>
      <w:lvlJc w:val="left"/>
      <w:pPr>
        <w:ind w:left="3436" w:hanging="221"/>
      </w:pPr>
      <w:rPr>
        <w:rFonts w:hint="default"/>
        <w:lang w:val="hr-HR" w:eastAsia="hr-HR" w:bidi="hr-HR"/>
      </w:rPr>
    </w:lvl>
    <w:lvl w:ilvl="4" w:tplc="58E24ADE">
      <w:numFmt w:val="bullet"/>
      <w:lvlText w:val="•"/>
      <w:lvlJc w:val="left"/>
      <w:pPr>
        <w:ind w:left="4275" w:hanging="221"/>
      </w:pPr>
      <w:rPr>
        <w:rFonts w:hint="default"/>
        <w:lang w:val="hr-HR" w:eastAsia="hr-HR" w:bidi="hr-HR"/>
      </w:rPr>
    </w:lvl>
    <w:lvl w:ilvl="5" w:tplc="A0127CDC">
      <w:numFmt w:val="bullet"/>
      <w:lvlText w:val="•"/>
      <w:lvlJc w:val="left"/>
      <w:pPr>
        <w:ind w:left="5113" w:hanging="221"/>
      </w:pPr>
      <w:rPr>
        <w:rFonts w:hint="default"/>
        <w:lang w:val="hr-HR" w:eastAsia="hr-HR" w:bidi="hr-HR"/>
      </w:rPr>
    </w:lvl>
    <w:lvl w:ilvl="6" w:tplc="7AFC7B38">
      <w:numFmt w:val="bullet"/>
      <w:lvlText w:val="•"/>
      <w:lvlJc w:val="left"/>
      <w:pPr>
        <w:ind w:left="5952" w:hanging="221"/>
      </w:pPr>
      <w:rPr>
        <w:rFonts w:hint="default"/>
        <w:lang w:val="hr-HR" w:eastAsia="hr-HR" w:bidi="hr-HR"/>
      </w:rPr>
    </w:lvl>
    <w:lvl w:ilvl="7" w:tplc="B4349E96">
      <w:numFmt w:val="bullet"/>
      <w:lvlText w:val="•"/>
      <w:lvlJc w:val="left"/>
      <w:pPr>
        <w:ind w:left="6790" w:hanging="221"/>
      </w:pPr>
      <w:rPr>
        <w:rFonts w:hint="default"/>
        <w:lang w:val="hr-HR" w:eastAsia="hr-HR" w:bidi="hr-HR"/>
      </w:rPr>
    </w:lvl>
    <w:lvl w:ilvl="8" w:tplc="5720E956">
      <w:numFmt w:val="bullet"/>
      <w:lvlText w:val="•"/>
      <w:lvlJc w:val="left"/>
      <w:pPr>
        <w:ind w:left="7629" w:hanging="221"/>
      </w:pPr>
      <w:rPr>
        <w:rFonts w:hint="default"/>
        <w:lang w:val="hr-HR" w:eastAsia="hr-HR" w:bidi="hr-HR"/>
      </w:rPr>
    </w:lvl>
  </w:abstractNum>
  <w:abstractNum w:abstractNumId="3" w15:restartNumberingAfterBreak="0">
    <w:nsid w:val="576333A7"/>
    <w:multiLevelType w:val="hybridMultilevel"/>
    <w:tmpl w:val="9A24FAB6"/>
    <w:lvl w:ilvl="0" w:tplc="B0E828CA">
      <w:numFmt w:val="bullet"/>
      <w:lvlText w:val="▪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  <w:lang w:val="hr-HR" w:eastAsia="hr-HR" w:bidi="hr-HR"/>
      </w:rPr>
    </w:lvl>
    <w:lvl w:ilvl="1" w:tplc="24F67C8E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D152DB1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2C8C6CBC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D0BC7354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F37A409A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C3E847C8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319CB234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F47A9AB0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71DF413A"/>
    <w:multiLevelType w:val="hybridMultilevel"/>
    <w:tmpl w:val="36303982"/>
    <w:lvl w:ilvl="0" w:tplc="A2984F18">
      <w:start w:val="7"/>
      <w:numFmt w:val="decimal"/>
      <w:lvlText w:val="%1."/>
      <w:lvlJc w:val="left"/>
      <w:pPr>
        <w:ind w:left="78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 w:tplc="9BF22276">
      <w:numFmt w:val="bullet"/>
      <w:lvlText w:val="•"/>
      <w:lvlJc w:val="left"/>
      <w:pPr>
        <w:ind w:left="1632" w:hanging="387"/>
      </w:pPr>
      <w:rPr>
        <w:rFonts w:hint="default"/>
        <w:lang w:val="hr-HR" w:eastAsia="hr-HR" w:bidi="hr-HR"/>
      </w:rPr>
    </w:lvl>
    <w:lvl w:ilvl="2" w:tplc="5B8800A4">
      <w:numFmt w:val="bullet"/>
      <w:lvlText w:val="•"/>
      <w:lvlJc w:val="left"/>
      <w:pPr>
        <w:ind w:left="2485" w:hanging="387"/>
      </w:pPr>
      <w:rPr>
        <w:rFonts w:hint="default"/>
        <w:lang w:val="hr-HR" w:eastAsia="hr-HR" w:bidi="hr-HR"/>
      </w:rPr>
    </w:lvl>
    <w:lvl w:ilvl="3" w:tplc="F76C9EFA">
      <w:numFmt w:val="bullet"/>
      <w:lvlText w:val="•"/>
      <w:lvlJc w:val="left"/>
      <w:pPr>
        <w:ind w:left="3337" w:hanging="387"/>
      </w:pPr>
      <w:rPr>
        <w:rFonts w:hint="default"/>
        <w:lang w:val="hr-HR" w:eastAsia="hr-HR" w:bidi="hr-HR"/>
      </w:rPr>
    </w:lvl>
    <w:lvl w:ilvl="4" w:tplc="64580CCC">
      <w:numFmt w:val="bullet"/>
      <w:lvlText w:val="•"/>
      <w:lvlJc w:val="left"/>
      <w:pPr>
        <w:ind w:left="4190" w:hanging="387"/>
      </w:pPr>
      <w:rPr>
        <w:rFonts w:hint="default"/>
        <w:lang w:val="hr-HR" w:eastAsia="hr-HR" w:bidi="hr-HR"/>
      </w:rPr>
    </w:lvl>
    <w:lvl w:ilvl="5" w:tplc="31EA69A8">
      <w:numFmt w:val="bullet"/>
      <w:lvlText w:val="•"/>
      <w:lvlJc w:val="left"/>
      <w:pPr>
        <w:ind w:left="5043" w:hanging="387"/>
      </w:pPr>
      <w:rPr>
        <w:rFonts w:hint="default"/>
        <w:lang w:val="hr-HR" w:eastAsia="hr-HR" w:bidi="hr-HR"/>
      </w:rPr>
    </w:lvl>
    <w:lvl w:ilvl="6" w:tplc="C4EE989E">
      <w:numFmt w:val="bullet"/>
      <w:lvlText w:val="•"/>
      <w:lvlJc w:val="left"/>
      <w:pPr>
        <w:ind w:left="5895" w:hanging="387"/>
      </w:pPr>
      <w:rPr>
        <w:rFonts w:hint="default"/>
        <w:lang w:val="hr-HR" w:eastAsia="hr-HR" w:bidi="hr-HR"/>
      </w:rPr>
    </w:lvl>
    <w:lvl w:ilvl="7" w:tplc="774C1B98">
      <w:numFmt w:val="bullet"/>
      <w:lvlText w:val="•"/>
      <w:lvlJc w:val="left"/>
      <w:pPr>
        <w:ind w:left="6748" w:hanging="387"/>
      </w:pPr>
      <w:rPr>
        <w:rFonts w:hint="default"/>
        <w:lang w:val="hr-HR" w:eastAsia="hr-HR" w:bidi="hr-HR"/>
      </w:rPr>
    </w:lvl>
    <w:lvl w:ilvl="8" w:tplc="F84C14E8">
      <w:numFmt w:val="bullet"/>
      <w:lvlText w:val="•"/>
      <w:lvlJc w:val="left"/>
      <w:pPr>
        <w:ind w:left="7601" w:hanging="387"/>
      </w:pPr>
      <w:rPr>
        <w:rFonts w:hint="default"/>
        <w:lang w:val="hr-HR" w:eastAsia="hr-HR" w:bidi="hr-HR"/>
      </w:rPr>
    </w:lvl>
  </w:abstractNum>
  <w:abstractNum w:abstractNumId="5" w15:restartNumberingAfterBreak="0">
    <w:nsid w:val="7F302D9F"/>
    <w:multiLevelType w:val="hybridMultilevel"/>
    <w:tmpl w:val="CD189848"/>
    <w:lvl w:ilvl="0" w:tplc="6BC85E8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 w:tplc="38C2F8C4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3974776E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4F920560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968011C4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D3E82590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F9EA488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87F41EE0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BAE8E734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2493"/>
    <w:rsid w:val="00282493"/>
    <w:rsid w:val="00310954"/>
    <w:rsid w:val="004F4A4C"/>
    <w:rsid w:val="00776394"/>
    <w:rsid w:val="008453A2"/>
    <w:rsid w:val="00C44921"/>
    <w:rsid w:val="00D052B0"/>
    <w:rsid w:val="00D625C7"/>
    <w:rsid w:val="00DD493F"/>
    <w:rsid w:val="00EC6B38"/>
    <w:rsid w:val="0AD5D8BA"/>
    <w:rsid w:val="0B047F03"/>
    <w:rsid w:val="130C9C8B"/>
    <w:rsid w:val="1A03260C"/>
    <w:rsid w:val="1C8BDE24"/>
    <w:rsid w:val="24996A8F"/>
    <w:rsid w:val="3848628C"/>
    <w:rsid w:val="389A993E"/>
    <w:rsid w:val="3F9994B4"/>
    <w:rsid w:val="4E50F281"/>
    <w:rsid w:val="5D6FB158"/>
    <w:rsid w:val="6345BE48"/>
    <w:rsid w:val="687B8C4C"/>
    <w:rsid w:val="6CFF4143"/>
    <w:rsid w:val="7CD41AB6"/>
    <w:rsid w:val="7EDCB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F1EA3C"/>
  <w15:docId w15:val="{1D09095B-D633-4D80-A82E-AC3919F2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4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6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4C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azvoj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7D53073132942AF3E2C8593AD53AA" ma:contentTypeVersion="7" ma:contentTypeDescription="Stvaranje novog dokumenta." ma:contentTypeScope="" ma:versionID="83dbe9b3f48f0bdcb8cba3b4566a798f">
  <xsd:schema xmlns:xsd="http://www.w3.org/2001/XMLSchema" xmlns:xs="http://www.w3.org/2001/XMLSchema" xmlns:p="http://schemas.microsoft.com/office/2006/metadata/properties" xmlns:ns2="e7897449-8e6f-4cef-be58-e81a4abd4035" xmlns:ns3="f14e6dd8-7df8-49d8-9541-95452fd4cd12" targetNamespace="http://schemas.microsoft.com/office/2006/metadata/properties" ma:root="true" ma:fieldsID="f7868e5e729d3b784ee0514785486e6b" ns2:_="" ns3:_="">
    <xsd:import namespace="e7897449-8e6f-4cef-be58-e81a4abd4035"/>
    <xsd:import namespace="f14e6dd8-7df8-49d8-9541-95452fd4cd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e6dd8-7df8-49d8-9541-95452fd4c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72EE9-F9F9-433A-B028-A03B3A6BE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C635F-E459-4921-96B4-08BA5AEB2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A27E7E-0ADB-45BE-8E9E-AFD8B70E7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f14e6dd8-7df8-49d8-9541-95452fd4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2089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Dukarić</dc:creator>
  <cp:lastModifiedBy>Vladimir Hunjak Štula</cp:lastModifiedBy>
  <cp:revision>22</cp:revision>
  <dcterms:created xsi:type="dcterms:W3CDTF">2017-11-27T15:25:00Z</dcterms:created>
  <dcterms:modified xsi:type="dcterms:W3CDTF">2017-12-14T11:02:00Z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2017-11-27T00:00:00Z</vt:filetime>
  </property>
  <property fmtid="{D5CDD505-2E9C-101B-9397-08002B2CF9AE}" pid="5" name="ContentTypeId">
    <vt:lpwstr>0x0101009217D53073132942AF3E2C8593AD53AA</vt:lpwstr>
  </property>
</Properties>
</file>